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20, 2020 (May 20,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35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Common Stock, $0.001</w:t>
            </w:r>
          </w:p>
        </w:tc>
        <w:tc>
          <w:tcPr>
            <w:tcW w:w="760" w:type="dxa"/>
            <w:vAlign w:val="bottom"/>
          </w:tcPr>
          <w:p>
            <w:pPr>
              <w:spacing w:after="0"/>
              <w:rPr>
                <w:sz w:val="20"/>
                <w:szCs w:val="20"/>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CLRO</w:t>
            </w:r>
          </w:p>
        </w:tc>
        <w:tc>
          <w:tcPr>
            <w:tcW w:w="740" w:type="dxa"/>
            <w:vAlign w:val="bottom"/>
          </w:tcPr>
          <w:p>
            <w:pPr>
              <w:spacing w:after="0"/>
              <w:rPr>
                <w:sz w:val="20"/>
                <w:szCs w:val="20"/>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95"/>
              </w:rPr>
              <w:t>The NASDAQ Capital Market</w:t>
            </w:r>
          </w:p>
        </w:tc>
      </w:tr>
      <w:tr>
        <w:trPr>
          <w:trHeight w:val="317"/>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May 20, ClearOne, Inc. (the “Company”) issued a press release announcing its financial results for the three months ended March 31, 2020.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May 20, 2020.</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CLEARONE, INC.</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Date: May 20, 2020</w:t>
            </w: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2"/>
        </w:trPr>
        <w:tc>
          <w:tcPr>
            <w:tcW w:w="3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25755"/>
                    </a:xfrm>
                    <a:prstGeom prst="rect">
                      <a:avLst/>
                    </a:prstGeom>
                    <a:noFill/>
                  </pic:spPr>
                </pic:pic>
              </a:graphicData>
            </a:graphic>
          </wp:anchor>
        </w:drawing>
        <w:t>ClearOne Reports First Quarter 2020 Financial Results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BMA CT drives year-over-year Pro Audio revenue growth</w:t>
      </w:r>
    </w:p>
    <w:p>
      <w:pPr>
        <w:spacing w:after="0" w:line="144"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Q1 Non-GAAP Operating expenses declined by 10% year-over-year</w:t>
      </w:r>
    </w:p>
    <w:p>
      <w:pPr>
        <w:spacing w:after="0" w:line="144"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Overall revenue down 9% year-over-year.</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SALT LAKE CITY, UTAH – May 20, 2020 – ClearOne (NASDAQ: CLRO), a global provider of audio and visual communication solutions, reported financial results for the three month period ended March 31, 2020.</w:t>
      </w:r>
    </w:p>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“Despite the economic challenges posed by the COVID-19 pandemic, our innovative Beamforming Microphone Array Ceiling Tile (BMA CT) continued to be popular driving year-over-year growth in revenue of Pro Audio products,” said Zee Hakimoglu, CEO and Chair of ClearOne.</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added another benchmark to our lineup of technology achievements with the recent award of a new strategic patent relating to power transmission for Power over Ethernet (PoE) systems by the US Patent and Trademark Office. This patent describes a simple method for providing power to multiple devices in a “daisy-chain” series connection using PoE. Use of this new method can eliminate the 100-meter Ethernet distance constraint for power and data transmission. An important application of this patent is the elimination of redundant electrical wiring and outlets to distribute power by using existing and common Ethernet cabling," Hakimoglu added.</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the legal front, we thwarted Shure's misguided efforts to stop our most innovative products from reaching our customers. During a worldwide pandemic, Shure asked a court in Delaware to prevent customers from continuing to purchase ClearOne's BMA CTH products. The court rejected Shure's request, allowing ClearOne to continue providing its new and exciting solutions to customers around the world, particularly those products that enhance and enable effective audio and video conferences," Hakimoglu concluded.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144" w:lineRule="exact"/>
        <w:rPr>
          <w:sz w:val="20"/>
          <w:szCs w:val="20"/>
          <w:color w:val="auto"/>
        </w:rPr>
      </w:pPr>
    </w:p>
    <w:p>
      <w:pPr>
        <w:jc w:val="both"/>
        <w:ind w:left="420" w:hanging="408"/>
        <w:spacing w:after="0" w:line="301"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Q1 2020 revenue was $5.7 million, compared to $6.3 million in Q1 2019 and $6.3 million in Q4 2019. The year-over-year decrease is mainly due to decline in revenue from video products partially offset by increase in revenue from audio conferencing products and microphones. The year-over-year growth in audio conferencing products and microphones was largely due to significant increase in revenue from our recently introduced BMA-CT even though the revenue from our audio conferencing products and microphones are far below the levels prior to infringement of our patents.</w:t>
      </w:r>
    </w:p>
    <w:p>
      <w:pPr>
        <w:spacing w:after="0" w:line="143" w:lineRule="exact"/>
        <w:rPr>
          <w:rFonts w:ascii="Arial" w:cs="Arial" w:eastAsia="Arial" w:hAnsi="Arial"/>
          <w:sz w:val="16"/>
          <w:szCs w:val="16"/>
          <w:color w:val="auto"/>
        </w:rPr>
      </w:pPr>
    </w:p>
    <w:p>
      <w:pPr>
        <w:jc w:val="both"/>
        <w:ind w:left="420" w:right="20" w:hanging="408"/>
        <w:spacing w:after="0" w:line="26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Q1 2020 was $2.8 million compared to $2.7 million in Q1 2019 and $3.0 million in Q4 2019. GAAP gross profit margin was 49% in Q1 2020, compared to 43% in Q1 2019 and 48% in Q4 2019. Gross profit margin increased year over year mainly due to decreases in material costs, overhead costs and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 w:name="page5"/>
    <w:bookmarkEnd w:id="4"/>
    <w:p>
      <w:pPr>
        <w:jc w:val="both"/>
        <w:ind w:left="400" w:hanging="388"/>
        <w:spacing w:after="0" w:line="296"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expenses in Q1 2020 were $4.6 million, compared to $5.1 million in Q1 2019 and $5.0 million in Q4 2019. Non-GAAP operating expenses in Q1 2020 were $4.2 million, compared to $4.7 million in Q1 2019 and $4.6 million in Q4 2019. The majority of the decrease in Q1 2020 operating expenses over Q1 2019 is attributable to decreases in employee-related costs including benefits and commissions and marketing expenses, partially offset by increases in trade-show related costs and legal expenses. The sequential decline in operating expenses is mainly due to decrease in audit and accounting fees and sales tax accruals offset by increases in legal expenses and trade show related expenses.</w:t>
      </w:r>
    </w:p>
    <w:p>
      <w:pPr>
        <w:spacing w:after="0" w:line="161" w:lineRule="exact"/>
        <w:rPr>
          <w:rFonts w:ascii="Arial" w:cs="Arial" w:eastAsia="Arial" w:hAnsi="Arial"/>
          <w:sz w:val="16"/>
          <w:szCs w:val="16"/>
          <w:color w:val="auto"/>
        </w:rPr>
      </w:pPr>
    </w:p>
    <w:p>
      <w:pPr>
        <w:jc w:val="both"/>
        <w:ind w:left="400" w:hanging="388"/>
        <w:spacing w:after="0" w:line="26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in Q1 2020 was $1.8 million, or $0.11 per share, compared to net loss of $2.3 million, or $0.14 per share, in Q1 2019 and net loss of $2.0 million, or $0.12 per share, in Q4 2019. The decrease in net loss in Q1 2020 compared to Q1 2019 was mainly due to decrease in operating expenses and due to increase in gross profit.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2660" w:type="dxa"/>
            <w:vAlign w:val="bottom"/>
          </w:tcPr>
          <w:p>
            <w:pPr>
              <w:spacing w:after="0"/>
              <w:rPr>
                <w:sz w:val="18"/>
                <w:szCs w:val="18"/>
                <w:color w:val="auto"/>
              </w:rPr>
            </w:pPr>
          </w:p>
        </w:tc>
        <w:tc>
          <w:tcPr>
            <w:tcW w:w="290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jc w:val="right"/>
              <w:ind w:right="931"/>
              <w:spacing w:after="0"/>
              <w:rPr>
                <w:sz w:val="20"/>
                <w:szCs w:val="20"/>
                <w:color w:val="auto"/>
              </w:rPr>
            </w:pPr>
            <w:r>
              <w:rPr>
                <w:rFonts w:ascii="Arial" w:cs="Arial" w:eastAsia="Arial" w:hAnsi="Arial"/>
                <w:sz w:val="16"/>
                <w:szCs w:val="16"/>
                <w:b w:val="1"/>
                <w:bCs w:val="1"/>
                <w:color w:val="auto"/>
              </w:rPr>
              <w:t>2019</w:t>
            </w:r>
          </w:p>
        </w:tc>
        <w:tc>
          <w:tcPr>
            <w:tcW w:w="146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5"/>
              </w:rPr>
              <w:t>GAAP</w:t>
            </w:r>
          </w:p>
        </w:tc>
        <w:tc>
          <w:tcPr>
            <w:tcW w:w="3720" w:type="dxa"/>
            <w:vAlign w:val="bottom"/>
            <w:tcBorders>
              <w:bottom w:val="single" w:sz="8" w:color="CCEEFF"/>
            </w:tcBorders>
            <w:gridSpan w:val="2"/>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660" w:type="dxa"/>
            <w:vAlign w:val="bottom"/>
          </w:tcPr>
          <w:p>
            <w:pPr>
              <w:jc w:val="right"/>
              <w:ind w:right="853"/>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5,734</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6,305</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29"/>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2,838</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2,704</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29"/>
        </w:trPr>
        <w:tc>
          <w:tcPr>
            <w:tcW w:w="4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4,589</w:t>
            </w:r>
          </w:p>
        </w:tc>
        <w:tc>
          <w:tcPr>
            <w:tcW w:w="560" w:type="dxa"/>
            <w:vAlign w:val="bottom"/>
          </w:tcPr>
          <w:p>
            <w:pPr>
              <w:spacing w:after="0"/>
              <w:rPr>
                <w:sz w:val="19"/>
                <w:szCs w:val="19"/>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5,095</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30"/>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(1,751)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(2,391)</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29"/>
        </w:trPr>
        <w:tc>
          <w:tcPr>
            <w:tcW w:w="4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6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87"/>
              </w:rPr>
              <w:t>(1,847)</w:t>
            </w:r>
          </w:p>
        </w:tc>
        <w:tc>
          <w:tcPr>
            <w:tcW w:w="560" w:type="dxa"/>
            <w:vAlign w:val="bottom"/>
          </w:tcPr>
          <w:p>
            <w:pPr>
              <w:spacing w:after="0"/>
              <w:rPr>
                <w:sz w:val="19"/>
                <w:szCs w:val="19"/>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(2,349)</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30"/>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6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(0.14)</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189"/>
        </w:trPr>
        <w:tc>
          <w:tcPr>
            <w:tcW w:w="40" w:type="dxa"/>
            <w:vAlign w:val="bottom"/>
          </w:tcPr>
          <w:p>
            <w:pPr>
              <w:spacing w:after="0"/>
              <w:rPr>
                <w:sz w:val="16"/>
                <w:szCs w:val="16"/>
                <w:color w:val="auto"/>
              </w:rPr>
            </w:pPr>
          </w:p>
        </w:tc>
        <w:tc>
          <w:tcPr>
            <w:tcW w:w="4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2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26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2,840</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2,706</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0"/>
        </w:trPr>
        <w:tc>
          <w:tcPr>
            <w:tcW w:w="4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26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4,186</w:t>
            </w:r>
          </w:p>
        </w:tc>
        <w:tc>
          <w:tcPr>
            <w:tcW w:w="560" w:type="dxa"/>
            <w:vAlign w:val="bottom"/>
          </w:tcPr>
          <w:p>
            <w:pPr>
              <w:spacing w:after="0"/>
              <w:rPr>
                <w:sz w:val="19"/>
                <w:szCs w:val="19"/>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4,659</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29"/>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26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(1,346)</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(1,953)</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29"/>
        </w:trPr>
        <w:tc>
          <w:tcPr>
            <w:tcW w:w="4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26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87"/>
              </w:rPr>
              <w:t>(1,442)</w:t>
            </w:r>
          </w:p>
        </w:tc>
        <w:tc>
          <w:tcPr>
            <w:tcW w:w="560" w:type="dxa"/>
            <w:vAlign w:val="bottom"/>
          </w:tcPr>
          <w:p>
            <w:pPr>
              <w:spacing w:after="0"/>
              <w:rPr>
                <w:sz w:val="19"/>
                <w:szCs w:val="19"/>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(1,911)</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30"/>
        </w:trPr>
        <w:tc>
          <w:tcPr>
            <w:tcW w:w="4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6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87"/>
              </w:rPr>
              <w:t>(1,207)</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(1,779)</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0"/>
        </w:trPr>
        <w:tc>
          <w:tcPr>
            <w:tcW w:w="4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Non-GAAP loss per share (diluted)</w:t>
            </w:r>
          </w:p>
        </w:tc>
        <w:tc>
          <w:tcPr>
            <w:tcW w:w="266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(0.09)</w:t>
            </w:r>
          </w:p>
        </w:tc>
        <w:tc>
          <w:tcPr>
            <w:tcW w:w="560" w:type="dxa"/>
            <w:vAlign w:val="bottom"/>
          </w:tcPr>
          <w:p>
            <w:pPr>
              <w:spacing w:after="0"/>
              <w:rPr>
                <w:sz w:val="20"/>
                <w:szCs w:val="20"/>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color w:val="auto"/>
              </w:rPr>
              <w:t>(0.11)</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cash, cash equivalents and investments were $7.3 million, as compared with $8.6 million at December 31, 2019. The Company carries a debt of $2.3 million on account of senior convertible notes issued in December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Coronavirus Aid, Relief, and Economic Security Act ("CARES Act") was enacted on March 27, 2020 in the United States. On April 24, 2020, the Company was approved by US Bancorp for a loan under the Small Business Administration’s ("SBA") Paycheck Protection Program (“PPP Loan”) created as part of the recently enacted CARES Act. Under the terms of the loan, the Company received $1.5 million. In accordance with the requirements of the CARES Act, the Company intends to use the proceeds from the PPP Loan primarily for payroll costs. The PPP Loan is scheduled to mature in April 2022, has a 1.00% interest rate, and is subject to the terms and conditions applicable to all loans made pursuant to the Paycheck Protection Program as administered by the SBA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2019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8020" w:type="dxa"/>
            <w:vAlign w:val="bottom"/>
            <w:tcBorders>
              <w:top w:val="single" w:sz="8" w:color="CCEEFF"/>
            </w:tcBorders>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$439 and $424, respectively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0"/>
        </w:trPr>
        <w:tc>
          <w:tcPr>
            <w:tcW w:w="80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8020" w:type="dxa"/>
            <w:vAlign w:val="bottom"/>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product revenue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Senior convertible notes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40"/>
              <w:spacing w:after="0" w:line="201" w:lineRule="exact"/>
              <w:rPr>
                <w:sz w:val="20"/>
                <w:szCs w:val="20"/>
                <w:color w:val="auto"/>
              </w:rPr>
            </w:pPr>
            <w:r>
              <w:rPr>
                <w:rFonts w:ascii="Arial" w:cs="Arial" w:eastAsia="Arial" w:hAnsi="Arial"/>
                <w:sz w:val="18"/>
                <w:szCs w:val="18"/>
                <w:color w:val="auto"/>
                <w:w w:val="99"/>
              </w:rPr>
              <w:t>Common stock, par value $0.001, 50,000,000 shares authorized, 16,650,725 and 16,650,725 shares</w:t>
            </w:r>
          </w:p>
        </w:tc>
        <w:tc>
          <w:tcPr>
            <w:tcW w:w="26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30"/>
        </w:trPr>
        <w:tc>
          <w:tcPr>
            <w:tcW w:w="80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r>
      <w:tr>
        <w:trPr>
          <w:trHeight w:val="212"/>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r>
      <w:tr>
        <w:trPr>
          <w:trHeight w:val="229"/>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r>
      <w:tr>
        <w:trPr>
          <w:trHeight w:val="21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3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r>
      <w:tr>
        <w:trPr>
          <w:trHeight w:val="20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ind w:left="280"/>
              <w:spacing w:after="0"/>
              <w:rPr>
                <w:sz w:val="20"/>
                <w:szCs w:val="20"/>
                <w:color w:val="auto"/>
              </w:rPr>
            </w:pPr>
            <w:r>
              <w:rPr>
                <w:rFonts w:ascii="Arial" w:cs="Arial" w:eastAsia="Arial" w:hAnsi="Arial"/>
                <w:sz w:val="18"/>
                <w:szCs w:val="18"/>
                <w:color w:val="FFFFFF"/>
              </w:rPr>
              <w:t>TRUE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FFFFFF"/>
              </w:rPr>
              <w:t>TRUE</w:t>
            </w: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16"/>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29"/>
        </w:trPr>
        <w:tc>
          <w:tcPr>
            <w:tcW w:w="8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49"/>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r>
      <w:tr>
        <w:trPr>
          <w:trHeight w:val="197"/>
        </w:trPr>
        <w:tc>
          <w:tcPr>
            <w:tcW w:w="8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16,650,725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16,630,597</w:t>
            </w:r>
          </w:p>
        </w:tc>
      </w:tr>
      <w:tr>
        <w:trPr>
          <w:trHeight w:val="270"/>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16,650,725</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16,630,597</w:t>
            </w:r>
          </w:p>
        </w:tc>
      </w:tr>
      <w:tr>
        <w:trPr>
          <w:trHeight w:val="230"/>
        </w:trPr>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806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8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70"/>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30"/>
        </w:trPr>
        <w:tc>
          <w:tcPr>
            <w:tcW w:w="8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r>
      <w:tr>
        <w:trPr>
          <w:trHeight w:val="212"/>
        </w:trPr>
        <w:tc>
          <w:tcPr>
            <w:tcW w:w="8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2,704</w:t>
            </w:r>
          </w:p>
        </w:tc>
      </w:tr>
      <w:tr>
        <w:trPr>
          <w:trHeight w:val="206"/>
        </w:trPr>
        <w:tc>
          <w:tcPr>
            <w:tcW w:w="80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
        </w:trPr>
        <w:tc>
          <w:tcPr>
            <w:tcW w:w="8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7"/>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2,706</w:t>
            </w:r>
          </w:p>
        </w:tc>
      </w:tr>
      <w:tr>
        <w:trPr>
          <w:trHeight w:val="20"/>
        </w:trPr>
        <w:tc>
          <w:tcPr>
            <w:tcW w:w="8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GAAP operating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Non-GAAP operating loss</w:t>
            </w: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GAAP net loss</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20" w:type="dxa"/>
            <w:vAlign w:val="bottom"/>
            <w:vMerge w:val="continue"/>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Non-GAAP net loss</w:t>
            </w: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GAAP net loss</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8020" w:type="dxa"/>
            <w:vAlign w:val="bottom"/>
            <w:vMerge w:val="continue"/>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Arial" w:cs="Arial" w:eastAsia="Arial" w:hAnsi="Arial"/>
                <w:sz w:val="16"/>
                <w:szCs w:val="16"/>
                <w:color w:val="auto"/>
              </w:rPr>
              <w:t>Number of shares used in computing GAAP loss per share (diluted)</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16,650,725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020" w:type="dxa"/>
            <w:vAlign w:val="bottom"/>
          </w:tcPr>
          <w:p>
            <w:pPr>
              <w:spacing w:after="0"/>
              <w:rPr>
                <w:sz w:val="20"/>
                <w:szCs w:val="20"/>
                <w:color w:val="auto"/>
              </w:rPr>
            </w:pPr>
            <w:r>
              <w:rPr>
                <w:rFonts w:ascii="Arial" w:cs="Arial" w:eastAsia="Arial" w:hAnsi="Arial"/>
                <w:sz w:val="16"/>
                <w:szCs w:val="16"/>
                <w:b w:val="1"/>
                <w:bCs w:val="1"/>
                <w:color w:val="auto"/>
              </w:rPr>
              <w:t>GAAP loss per share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Non-GAAP net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Arial" w:cs="Arial" w:eastAsia="Arial" w:hAnsi="Arial"/>
                <w:sz w:val="16"/>
                <w:szCs w:val="16"/>
                <w:color w:val="auto"/>
              </w:rPr>
              <w:t>Number of shares used in computing Non-GAAP loss per share (diluted)</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16,650,725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0"/>
                <w:szCs w:val="20"/>
                <w:color w:val="auto"/>
              </w:rPr>
            </w:pPr>
            <w:r>
              <w:rPr>
                <w:rFonts w:ascii="Arial" w:cs="Arial" w:eastAsia="Arial" w:hAnsi="Arial"/>
                <w:sz w:val="16"/>
                <w:szCs w:val="16"/>
                <w:b w:val="1"/>
                <w:bCs w:val="1"/>
                <w:color w:val="auto"/>
              </w:rPr>
              <w:t>Non-GAAP loss per share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5"/>
        </w:trPr>
        <w:tc>
          <w:tcPr>
            <w:tcW w:w="8020" w:type="dxa"/>
            <w:vAlign w:val="bottom"/>
          </w:tcPr>
          <w:p>
            <w:pPr>
              <w:spacing w:after="0"/>
              <w:rPr>
                <w:sz w:val="20"/>
                <w:szCs w:val="20"/>
                <w:color w:val="auto"/>
              </w:rPr>
            </w:pPr>
            <w:r>
              <w:rPr>
                <w:rFonts w:ascii="Arial" w:cs="Arial" w:eastAsia="Arial" w:hAnsi="Arial"/>
                <w:sz w:val="16"/>
                <w:szCs w:val="16"/>
                <w:b w:val="1"/>
                <w:bCs w:val="1"/>
                <w:color w:val="auto"/>
              </w:rPr>
              <w:t>GAAP net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Depreciation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2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802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Non-GAAP Adjusted EBITDA</w:t>
            </w: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-3788410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6"/>
          <w:szCs w:val="16"/>
          <w:color w:val="auto"/>
        </w:rPr>
        <w:t>(2,391)</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74</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34925</wp:posOffset>
            </wp:positionV>
            <wp:extent cx="9512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951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(2,349)</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74</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364</w:t>
      </w:r>
    </w:p>
    <w:p>
      <w:pPr>
        <w:spacing w:after="0" w:line="7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34925</wp:posOffset>
            </wp:positionV>
            <wp:extent cx="951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8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(2,349)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16,630,597</w:t>
      </w:r>
    </w:p>
    <w:p>
      <w:pPr>
        <w:spacing w:after="0" w:line="9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(0.14)</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(1,911)</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16,630,597</w:t>
      </w:r>
    </w:p>
    <w:p>
      <w:pPr>
        <w:spacing w:after="0" w:line="9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(0.11)</w:t>
      </w:r>
    </w:p>
    <w:p>
      <w:pPr>
        <w:spacing w:after="0" w:line="27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(2,349)</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74</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132</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364</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34925</wp:posOffset>
            </wp:positionV>
            <wp:extent cx="951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951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34925</wp:posOffset>
            </wp:positionV>
            <wp:extent cx="951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sectPr>
      <w:pgSz w:w="11900" w:h="16838" w:orient="portrait"/>
      <w:cols w:equalWidth="0" w:num="2">
        <w:col w:w="9840" w:space="640"/>
        <w:col w:w="76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2020-05-20T16:11:54Z</dcterms:created>
  <dcterms:modified xsi:type="dcterms:W3CDTF">2020-05-20T16:11:54Z</dcterms:modified>
</cp:coreProperties>
</file>