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5, 2026 (March 2,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March 2, 2026, ClearOne, Inc., a Delaware corporation (the “Company”), entered into a Securities Purchase Agreement (the “Purchase Agreement”) with First Finance Ltd., a California corporation (the “Purchaser”), pursuant to which the Company agreed to issue and sell, in a private placement 437,500 shares (the “Shares”) of the Company’s common stock, par value $0.001 per share (the “Common Stock”), at a purchase price of $4.00 per share of Common Stock (the “Offering”), and a warrant (the “Warrant”) to purchase up to 437,500 shares of Common Stock (the “Warrant Shares” and, together with the Shares and Warrant, the “Securities”), for aggregate gross proceeds of $1,750,000 to the Company. The Warrant has an exercise price of $5.00 per share, a term of two years, and shall be exercisable six months from the date of issuance. The Purchaser is an affiliate of the Company and the Company’s single largest stockholder.</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Securities are not being registered under the Securities Act of 1933, as amended (the “Securities Act”), and were offered pursuant to the exemption provided in Section 4(a)(2) under the Securities Act, and Rule 506(b) promulgated thereunder.</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a registration rights agreement dated March 2, 2026 by and among the Company and the Purchaser (the “Registration Rights Agreement”), the Company agreed to use best efforts to cause a registration statement on Form S-3 providing for the resale by the Purchaser of the Shares and Warrant Shares to become effective 90 calendar days following the date that the Company files with the SEC all of the information in its annual report on Form 10-K for the year ended December 31, 2025, including all of the information required by Part III of Form 10-K.</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Purchasers and customary indemnification rights and obligations of the parties. Pursuant to the terms of the Purchase Agreement, the Company will hold the proceeds of the Offering in a segregated bank account pending disbursement in accordance with the Purchase Agreement. $500,000 of the Offering proceeds will be immediately available to the Company, and the remaining $1,250,000 will become available to the Company upon the completion of a reincorporation of the Company from Delaware to Nevada. In addition, the Company has agreed to certain restrictions on the incurrence of indebtedness greater than $10,000 or the entry into any other material transactions without the consent of Purchaser.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Offering is expected to close on or about March 6, 2026, subject to customary closing conditions.</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Purchase Agreement, Registration Rights Agreement and Warrant do not purport to be complete and are subject to, and qualified in their entirety by, such documents attached as Exhibits 10.1, 10.2 and 4.1, respectively, to this Current Report on Form 8-K, which are incorporated herein by reference.</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of the Offering under Item 1.01 above is incorporate herein by reference.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5"/>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64"/>
        </w:trPr>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Form of Warrant.</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Purchase Agreement.</w:t>
            </w:r>
          </w:p>
        </w:tc>
        <w:tc>
          <w:tcPr>
            <w:tcW w:w="7120" w:type="dxa"/>
            <w:vAlign w:val="bottom"/>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r>
      <w:tr>
        <w:trPr>
          <w:trHeight w:val="250"/>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104.1</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198" w:lineRule="exact"/>
        <w:rPr>
          <w:sz w:val="20"/>
          <w:szCs w:val="20"/>
          <w:color w:val="auto"/>
        </w:rPr>
      </w:pPr>
    </w:p>
    <w:p>
      <w:pPr>
        <w:ind w:right="2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Regulation S-K. The Company hereby undertakes to furnish supplemental copies of any of the omitted schedules and exhibits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2026</w:t>
            </w:r>
          </w:p>
        </w:tc>
        <w:tc>
          <w:tcPr>
            <w:tcW w:w="79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Simon Brewer</w:t>
            </w:r>
          </w:p>
        </w:tc>
      </w:tr>
      <w:tr>
        <w:trPr>
          <w:trHeight w:val="228"/>
        </w:trPr>
        <w:tc>
          <w:tcPr>
            <w:tcW w:w="3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r>
        <w:trPr>
          <w:trHeight w:val="427"/>
        </w:trPr>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33"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70" w:lineRule="exact"/>
        <w:rPr>
          <w:sz w:val="20"/>
          <w:szCs w:val="20"/>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18"/>
          <w:szCs w:val="18"/>
          <w:color w:val="auto"/>
        </w:rPr>
        <w:t>Warrant Shares: 437,500</w:t>
      </w:r>
      <w:r>
        <w:rPr>
          <w:sz w:val="20"/>
          <w:szCs w:val="20"/>
          <w:color w:val="auto"/>
        </w:rPr>
        <w:tab/>
      </w:r>
      <w:r>
        <w:rPr>
          <w:rFonts w:ascii="Times New Roman" w:cs="Times New Roman" w:eastAsia="Times New Roman" w:hAnsi="Times New Roman"/>
          <w:sz w:val="18"/>
          <w:szCs w:val="18"/>
          <w:color w:val="auto"/>
        </w:rPr>
        <w:t>Initial Exercise Date: September [__], 2026</w:t>
      </w:r>
    </w:p>
    <w:p>
      <w:pPr>
        <w:spacing w:after="0" w:line="26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First Finance Ltd., a California corporation,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March [__], 2028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but not thereafter, to subscribe for and purchase from ClearOne,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437,500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March 2, 2026, among the Company and the Holder.</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1" w:lineRule="auto"/>
        <w:tabs>
          <w:tab w:leader="none" w:pos="19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0" w:lineRule="exact"/>
        <w:rPr>
          <w:rFonts w:ascii="Times New Roman" w:cs="Times New Roman" w:eastAsia="Times New Roman" w:hAnsi="Times New Roman"/>
          <w:sz w:val="18"/>
          <w:szCs w:val="18"/>
          <w:color w:val="auto"/>
        </w:rPr>
      </w:pPr>
    </w:p>
    <w:p>
      <w:pPr>
        <w:ind w:left="660" w:firstLine="644"/>
        <w:spacing w:after="0" w:line="286" w:lineRule="auto"/>
        <w:tabs>
          <w:tab w:leader="none" w:pos="19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$5.00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144" w:hanging="496"/>
        <w:spacing w:after="0" w:line="253" w:lineRule="auto"/>
        <w:tabs>
          <w:tab w:leader="none" w:pos="9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24" w:hanging="276"/>
        <w:spacing w:after="0"/>
        <w:tabs>
          <w:tab w:leader="none" w:pos="9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144" w:right="20" w:hanging="496"/>
        <w:spacing w:after="0" w:line="282" w:lineRule="auto"/>
        <w:tabs>
          <w:tab w:leader="none" w:pos="9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4" w:hanging="4"/>
        <w:spacing w:after="0" w:line="255"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6"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8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5" w:name="page6"/>
    <w:bookmarkEnd w:id="5"/>
    <w:p>
      <w:pPr>
        <w:ind w:left="368" w:hanging="368"/>
        <w:spacing w:after="0"/>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8" w:firstLine="424"/>
        <w:spacing w:after="0" w:line="251" w:lineRule="auto"/>
        <w:tabs>
          <w:tab w:leader="none" w:pos="24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4" w:lineRule="exact"/>
        <w:rPr>
          <w:rFonts w:ascii="Times New Roman" w:cs="Times New Roman" w:eastAsia="Times New Roman" w:hAnsi="Times New Roman"/>
          <w:sz w:val="18"/>
          <w:szCs w:val="18"/>
          <w:color w:val="auto"/>
        </w:rPr>
      </w:pPr>
    </w:p>
    <w:p>
      <w:pPr>
        <w:jc w:val="both"/>
        <w:ind w:left="1628" w:firstLine="424"/>
        <w:spacing w:after="0" w:line="261" w:lineRule="auto"/>
        <w:tabs>
          <w:tab w:leader="none" w:pos="2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628" w:firstLine="424"/>
        <w:spacing w:after="0" w:line="282" w:lineRule="auto"/>
        <w:tabs>
          <w:tab w:leader="none" w:pos="25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553" w:right="339" w:bottom="1440" w:gutter="0" w:footer="0" w:header="0"/>
        </w:sectPr>
      </w:pPr>
    </w:p>
    <w:bookmarkStart w:id="6" w:name="page7"/>
    <w:bookmarkEnd w:id="6"/>
    <w:p>
      <w:pPr>
        <w:jc w:val="both"/>
        <w:ind w:left="840" w:firstLine="424"/>
        <w:spacing w:after="0" w:line="252" w:lineRule="auto"/>
        <w:tabs>
          <w:tab w:leader="none" w:pos="16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left="840" w:firstLine="424"/>
        <w:spacing w:after="0" w:line="261" w:lineRule="auto"/>
        <w:tabs>
          <w:tab w:leader="none" w:pos="17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Scrip.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424"/>
        <w:spacing w:after="0" w:line="254" w:lineRule="auto"/>
        <w:tabs>
          <w:tab w:leader="none" w:pos="17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424"/>
        <w:spacing w:after="0" w:line="282" w:lineRule="auto"/>
        <w:tabs>
          <w:tab w:leader="none" w:pos="17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-2242820</wp:posOffset>
            </wp:positionV>
            <wp:extent cx="1412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1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4"/>
        <w:spacing w:after="0" w:line="220" w:lineRule="exact"/>
        <w:tabs>
          <w:tab w:leader="none" w:pos="11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179"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55" w:lineRule="auto"/>
        <w:tabs>
          <w:tab w:leader="none" w:pos="11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88" w:lineRule="exact"/>
        <w:rPr>
          <w:rFonts w:ascii="Times New Roman" w:cs="Times New Roman" w:eastAsia="Times New Roman" w:hAnsi="Times New Roman"/>
          <w:sz w:val="18"/>
          <w:szCs w:val="18"/>
          <w:color w:val="auto"/>
        </w:rPr>
      </w:pPr>
    </w:p>
    <w:p>
      <w:pPr>
        <w:jc w:val="both"/>
        <w:ind w:firstLine="644"/>
        <w:spacing w:after="0" w:line="254" w:lineRule="auto"/>
        <w:tabs>
          <w:tab w:leader="none" w:pos="11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immediately before the date of which a record is taken for such Distribution, or, if no such record is taken, the date as of which the record holders of shares of Common Stock are to be determined for the participation in such Distribution.</w:t>
      </w:r>
    </w:p>
    <w:p>
      <w:pPr>
        <w:spacing w:after="0" w:line="2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8" w:name="page9"/>
    <w:bookmarkEnd w:id="8"/>
    <w:p>
      <w:pPr>
        <w:jc w:val="both"/>
        <w:ind w:left="-460" w:firstLine="644"/>
        <w:spacing w:after="0" w:line="230" w:lineRule="auto"/>
        <w:tabs>
          <w:tab w:leader="none" w:pos="6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283" w:right="339" w:bottom="1440" w:gutter="0" w:footer="0" w:header="0"/>
        </w:sectPr>
      </w:pPr>
    </w:p>
    <w:bookmarkStart w:id="9" w:name="page10"/>
    <w:bookmarkEnd w:id="9"/>
    <w:p>
      <w:pPr>
        <w:jc w:val="both"/>
        <w:ind w:firstLine="644"/>
        <w:spacing w:after="0" w:line="266" w:lineRule="auto"/>
        <w:tabs>
          <w:tab w:leader="none" w:pos="10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120" w:hanging="476"/>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40" w:firstLine="435"/>
        <w:spacing w:after="0" w:line="261" w:lineRule="auto"/>
        <w:tabs>
          <w:tab w:leader="none" w:pos="198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140" w:firstLine="435"/>
        <w:spacing w:after="0" w:line="251" w:lineRule="auto"/>
        <w:tabs>
          <w:tab w:leader="none" w:pos="203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rFonts w:ascii="Times New Roman" w:cs="Times New Roman" w:eastAsia="Times New Roman" w:hAnsi="Times New Roman"/>
          <w:sz w:val="18"/>
          <w:szCs w:val="18"/>
          <w:color w:val="auto"/>
        </w:rPr>
      </w:pPr>
    </w:p>
    <w:p>
      <w:pPr>
        <w:jc w:val="both"/>
        <w:ind w:firstLine="644"/>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4"/>
        <w:spacing w:after="0" w:line="253" w:lineRule="auto"/>
        <w:tabs>
          <w:tab w:leader="none" w:pos="11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5.4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10" w:name="page11"/>
    <w:bookmarkEnd w:id="10"/>
    <w:p>
      <w:pPr>
        <w:jc w:val="both"/>
        <w:ind w:firstLine="644"/>
        <w:spacing w:after="0" w:line="256" w:lineRule="auto"/>
        <w:tabs>
          <w:tab w:leader="none" w:pos="11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11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11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11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11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11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firstLine="644"/>
        <w:spacing w:after="0" w:line="282" w:lineRule="auto"/>
        <w:tabs>
          <w:tab w:leader="none" w:pos="11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1180" w:hanging="536"/>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11" w:name="page12"/>
    <w:bookmarkEnd w:id="11"/>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54"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35" w:lineRule="exact"/>
        <w:rPr>
          <w:sz w:val="20"/>
          <w:szCs w:val="20"/>
          <w:color w:val="auto"/>
        </w:rPr>
      </w:pPr>
    </w:p>
    <w:p>
      <w:pPr>
        <w:ind w:firstLine="644"/>
        <w:spacing w:after="0" w:line="282" w:lineRule="auto"/>
        <w:tabs>
          <w:tab w:leader="none" w:pos="1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34" w:lineRule="exact"/>
        <w:rPr>
          <w:rFonts w:ascii="Times New Roman" w:cs="Times New Roman" w:eastAsia="Times New Roman" w:hAnsi="Times New Roman"/>
          <w:sz w:val="18"/>
          <w:szCs w:val="18"/>
          <w:color w:val="auto"/>
        </w:rPr>
      </w:pPr>
    </w:p>
    <w:p>
      <w:pPr>
        <w:ind w:firstLine="644"/>
        <w:spacing w:after="0" w:line="282" w:lineRule="auto"/>
        <w:tabs>
          <w:tab w:leader="none" w:pos="11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21" w:lineRule="exact"/>
        <w:rPr>
          <w:rFonts w:ascii="Times New Roman" w:cs="Times New Roman" w:eastAsia="Times New Roman" w:hAnsi="Times New Roman"/>
          <w:sz w:val="18"/>
          <w:szCs w:val="18"/>
          <w:color w:val="auto"/>
        </w:rPr>
      </w:pPr>
    </w:p>
    <w:p>
      <w:pPr>
        <w:jc w:val="both"/>
        <w:ind w:firstLine="644"/>
        <w:spacing w:after="0" w:line="256" w:lineRule="auto"/>
        <w:tabs>
          <w:tab w:leader="none" w:pos="11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46" w:lineRule="exact"/>
        <w:rPr>
          <w:rFonts w:ascii="Times New Roman" w:cs="Times New Roman" w:eastAsia="Times New Roman" w:hAnsi="Times New Roman"/>
          <w:sz w:val="18"/>
          <w:szCs w:val="18"/>
          <w:color w:val="auto"/>
        </w:rPr>
      </w:pPr>
    </w:p>
    <w:p>
      <w:pPr>
        <w:ind w:firstLine="644"/>
        <w:spacing w:after="0" w:line="282" w:lineRule="auto"/>
        <w:tabs>
          <w:tab w:leader="none" w:pos="11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34" w:lineRule="exact"/>
        <w:rPr>
          <w:rFonts w:ascii="Times New Roman" w:cs="Times New Roman" w:eastAsia="Times New Roman" w:hAnsi="Times New Roman"/>
          <w:sz w:val="18"/>
          <w:szCs w:val="18"/>
          <w:color w:val="auto"/>
        </w:rPr>
      </w:pPr>
    </w:p>
    <w:p>
      <w:pPr>
        <w:jc w:val="both"/>
        <w:ind w:firstLine="644"/>
        <w:spacing w:after="0" w:line="261" w:lineRule="auto"/>
        <w:tabs>
          <w:tab w:leader="none" w:pos="11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39" w:lineRule="exact"/>
        <w:rPr>
          <w:rFonts w:ascii="Times New Roman" w:cs="Times New Roman" w:eastAsia="Times New Roman" w:hAnsi="Times New Roman"/>
          <w:sz w:val="18"/>
          <w:szCs w:val="18"/>
          <w:color w:val="auto"/>
        </w:rPr>
      </w:pPr>
    </w:p>
    <w:p>
      <w:pPr>
        <w:jc w:val="both"/>
        <w:ind w:right="20" w:firstLine="644"/>
        <w:spacing w:after="0" w:line="261" w:lineRule="auto"/>
        <w:tabs>
          <w:tab w:leader="none" w:pos="11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39" w:lineRule="exact"/>
        <w:rPr>
          <w:rFonts w:ascii="Times New Roman" w:cs="Times New Roman" w:eastAsia="Times New Roman" w:hAnsi="Times New Roman"/>
          <w:sz w:val="18"/>
          <w:szCs w:val="18"/>
          <w:color w:val="auto"/>
        </w:rPr>
      </w:pPr>
    </w:p>
    <w:p>
      <w:pPr>
        <w:jc w:val="both"/>
        <w:ind w:firstLine="644"/>
        <w:spacing w:after="0" w:line="261" w:lineRule="auto"/>
        <w:tabs>
          <w:tab w:leader="none" w:pos="11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39" w:lineRule="exact"/>
        <w:rPr>
          <w:rFonts w:ascii="Times New Roman" w:cs="Times New Roman" w:eastAsia="Times New Roman" w:hAnsi="Times New Roman"/>
          <w:sz w:val="18"/>
          <w:szCs w:val="18"/>
          <w:color w:val="auto"/>
        </w:rPr>
      </w:pPr>
    </w:p>
    <w:p>
      <w:pPr>
        <w:ind w:left="1140" w:hanging="49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Holder.</w:t>
      </w:r>
    </w:p>
    <w:p>
      <w:pPr>
        <w:spacing w:after="0" w:line="179" w:lineRule="exact"/>
        <w:rPr>
          <w:rFonts w:ascii="Times New Roman" w:cs="Times New Roman" w:eastAsia="Times New Roman" w:hAnsi="Times New Roman"/>
          <w:sz w:val="18"/>
          <w:szCs w:val="18"/>
          <w:color w:val="auto"/>
        </w:rPr>
      </w:pPr>
    </w:p>
    <w:p>
      <w:pPr>
        <w:jc w:val="both"/>
        <w:ind w:firstLine="644"/>
        <w:spacing w:after="0" w:line="289" w:lineRule="auto"/>
        <w:tabs>
          <w:tab w:leader="none" w:pos="116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17" w:lineRule="exact"/>
        <w:rPr>
          <w:rFonts w:ascii="Times New Roman" w:cs="Times New Roman" w:eastAsia="Times New Roman" w:hAnsi="Times New Roman"/>
          <w:sz w:val="17"/>
          <w:szCs w:val="17"/>
          <w:color w:val="auto"/>
        </w:rPr>
      </w:pPr>
    </w:p>
    <w:p>
      <w:pPr>
        <w:ind w:firstLine="644"/>
        <w:spacing w:after="0" w:line="282" w:lineRule="auto"/>
        <w:tabs>
          <w:tab w:leader="none" w:pos="11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12" w:name="page13"/>
    <w:bookmarkEnd w:id="1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6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374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CLEARONE, INC.</w:t>
      </w:r>
    </w:p>
    <w:p>
      <w:pPr>
        <w:spacing w:after="0" w:line="229" w:lineRule="exact"/>
        <w:rPr>
          <w:sz w:val="20"/>
          <w:szCs w:val="20"/>
          <w:color w:val="auto"/>
        </w:rPr>
      </w:pPr>
    </w:p>
    <w:p>
      <w:pPr>
        <w:ind w:right="20" w:firstLine="1304"/>
        <w:spacing w:after="0" w:line="282" w:lineRule="auto"/>
        <w:tabs>
          <w:tab w:leader="none" w:pos="1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hanging="8"/>
        <w:spacing w:after="0" w:line="266" w:lineRule="auto"/>
        <w:tabs>
          <w:tab w:leader="none" w:pos="20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600" w:hanging="306"/>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183" w:lineRule="exact"/>
        <w:rPr>
          <w:sz w:val="20"/>
          <w:szCs w:val="20"/>
          <w:color w:val="auto"/>
        </w:rPr>
      </w:pPr>
    </w:p>
    <w:p>
      <w:pPr>
        <w:ind w:left="220" w:right="1840"/>
        <w:spacing w:after="0" w:line="46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1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Purchaser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Dated as of 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868680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1233170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18"/>
                <w:szCs w:val="18"/>
                <w:color w:val="auto"/>
              </w:rPr>
              <w:t>​</w:t>
            </w:r>
          </w:p>
        </w:tc>
        <w:tc>
          <w:tcPr>
            <w:tcW w:w="2160" w:type="dxa"/>
            <w:vAlign w:val="bottom"/>
          </w:tcPr>
          <w:p>
            <w:pPr>
              <w:spacing w:after="0"/>
              <w:rPr>
                <w:sz w:val="17"/>
                <w:szCs w:val="17"/>
                <w:color w:val="auto"/>
              </w:rPr>
            </w:pPr>
          </w:p>
        </w:tc>
      </w:tr>
      <w:tr>
        <w:trPr>
          <w:trHeight w:val="412"/>
        </w:trPr>
        <w:tc>
          <w:tcPr>
            <w:tcW w:w="46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Article 1 DEFINITIONS</w:t>
            </w:r>
          </w:p>
        </w:tc>
        <w:tc>
          <w:tcPr>
            <w:tcW w:w="1920" w:type="dxa"/>
            <w:vAlign w:val="bottom"/>
            <w:tcBorders>
              <w:top w:val="single" w:sz="8" w:color="auto"/>
            </w:tcBorders>
            <w:gridSpan w:val="5"/>
          </w:tcPr>
          <w:p>
            <w:pPr>
              <w:spacing w:after="0"/>
              <w:rPr>
                <w:sz w:val="24"/>
                <w:szCs w:val="24"/>
                <w:color w:val="auto"/>
              </w:rPr>
            </w:pPr>
          </w:p>
        </w:tc>
        <w:tc>
          <w:tcPr>
            <w:tcW w:w="2040" w:type="dxa"/>
            <w:vAlign w:val="bottom"/>
          </w:tcPr>
          <w:p>
            <w:pPr>
              <w:spacing w:after="0"/>
              <w:rPr>
                <w:sz w:val="24"/>
                <w:szCs w:val="24"/>
                <w:color w:val="auto"/>
              </w:rPr>
            </w:pP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1</w:t>
            </w:r>
          </w:p>
        </w:tc>
      </w:tr>
      <w:tr>
        <w:trPr>
          <w:trHeight w:val="331"/>
        </w:trPr>
        <w:tc>
          <w:tcPr>
            <w:tcW w:w="660" w:type="dxa"/>
            <w:vAlign w:val="bottom"/>
            <w:tcBorders>
              <w:top w:val="single" w:sz="8" w:color="0000EE"/>
            </w:tcBorders>
            <w:gridSpan w:val="2"/>
          </w:tcPr>
          <w:p>
            <w:pPr>
              <w:ind w:left="420"/>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1140" w:type="dxa"/>
            <w:vAlign w:val="bottom"/>
            <w:tcBorders>
              <w:top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rPr>
              <w:t>Definitions</w:t>
            </w:r>
          </w:p>
        </w:tc>
        <w:tc>
          <w:tcPr>
            <w:tcW w:w="6820" w:type="dxa"/>
            <w:vAlign w:val="bottom"/>
            <w:gridSpan w:val="24"/>
          </w:tcPr>
          <w:p>
            <w:pPr>
              <w:spacing w:after="0"/>
              <w:rPr>
                <w:sz w:val="24"/>
                <w:szCs w:val="24"/>
                <w:color w:val="auto"/>
              </w:rPr>
            </w:pP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2</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Accounting Terms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31"/>
        </w:trPr>
        <w:tc>
          <w:tcPr>
            <w:tcW w:w="53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Article 2 PURCHASE AND SALE OF THE SHARES AND WARRANT</w:t>
            </w:r>
          </w:p>
        </w:tc>
        <w:tc>
          <w:tcPr>
            <w:tcW w:w="3280" w:type="dxa"/>
            <w:vAlign w:val="bottom"/>
            <w:gridSpan w:val="3"/>
          </w:tcPr>
          <w:p>
            <w:pPr>
              <w:spacing w:after="0"/>
              <w:rPr>
                <w:sz w:val="24"/>
                <w:szCs w:val="24"/>
                <w:color w:val="auto"/>
              </w:rPr>
            </w:pP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7</w:t>
            </w:r>
          </w:p>
        </w:tc>
      </w:tr>
      <w:tr>
        <w:trPr>
          <w:trHeight w:val="331"/>
        </w:trPr>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796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EE"/>
              </w:rPr>
              <w:t>Purchase and Sale of the Shares and Warrant</w:t>
            </w: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2</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Closing</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31"/>
        </w:trPr>
        <w:tc>
          <w:tcPr>
            <w:tcW w:w="1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Article 3 CLOSING</w:t>
            </w:r>
          </w:p>
        </w:tc>
        <w:tc>
          <w:tcPr>
            <w:tcW w:w="7140" w:type="dxa"/>
            <w:vAlign w:val="bottom"/>
            <w:gridSpan w:val="27"/>
          </w:tcPr>
          <w:p>
            <w:pPr>
              <w:spacing w:after="0"/>
              <w:rPr>
                <w:sz w:val="24"/>
                <w:szCs w:val="24"/>
                <w:color w:val="auto"/>
              </w:rPr>
            </w:pP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7</w:t>
            </w:r>
          </w:p>
        </w:tc>
      </w:tr>
      <w:tr>
        <w:trPr>
          <w:trHeight w:val="331"/>
        </w:trPr>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796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EE"/>
              </w:rPr>
              <w:t>Conditions Precedent to the Closing</w:t>
            </w: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Closing Deliverables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31"/>
        </w:trPr>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Article 4 REPRESENTATIONS AND WARRANTIES OF THE COMPANY</w:t>
            </w: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8</w:t>
            </w:r>
          </w:p>
        </w:tc>
      </w:tr>
      <w:tr>
        <w:trPr>
          <w:trHeight w:val="331"/>
        </w:trPr>
        <w:tc>
          <w:tcPr>
            <w:tcW w:w="660" w:type="dxa"/>
            <w:vAlign w:val="bottom"/>
            <w:tcBorders>
              <w:top w:val="single" w:sz="8" w:color="0000EE"/>
            </w:tcBorders>
            <w:gridSpan w:val="2"/>
          </w:tcPr>
          <w:p>
            <w:pPr>
              <w:ind w:left="420"/>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4900" w:type="dxa"/>
            <w:vAlign w:val="bottom"/>
            <w:tcBorders>
              <w:top w:val="single" w:sz="8" w:color="0000EE"/>
            </w:tcBorders>
            <w:gridSpan w:val="30"/>
          </w:tcPr>
          <w:p>
            <w:pPr>
              <w:ind w:left="20"/>
              <w:spacing w:after="0"/>
              <w:rPr>
                <w:sz w:val="20"/>
                <w:szCs w:val="20"/>
                <w:color w:val="auto"/>
              </w:rPr>
            </w:pPr>
            <w:r>
              <w:rPr>
                <w:rFonts w:ascii="Times New Roman" w:cs="Times New Roman" w:eastAsia="Times New Roman" w:hAnsi="Times New Roman"/>
                <w:sz w:val="18"/>
                <w:szCs w:val="18"/>
                <w:color w:val="0000EE"/>
              </w:rPr>
              <w:t>Existence and Power</w:t>
            </w:r>
          </w:p>
        </w:tc>
        <w:tc>
          <w:tcPr>
            <w:tcW w:w="3060" w:type="dxa"/>
            <w:vAlign w:val="bottom"/>
            <w:gridSpan w:val="2"/>
          </w:tcPr>
          <w:p>
            <w:pPr>
              <w:spacing w:after="0"/>
              <w:rPr>
                <w:sz w:val="24"/>
                <w:szCs w:val="24"/>
                <w:color w:val="auto"/>
              </w:rPr>
            </w:pPr>
          </w:p>
        </w:tc>
        <w:tc>
          <w:tcPr>
            <w:tcW w:w="21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Authorization; No Contravention</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Governmental Authorization; Third Party Consents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Binding Effect</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No Legal Bar</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Litigation</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Compliance with Laws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8</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No Breach</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9</w:t>
            </w:r>
          </w:p>
        </w:tc>
        <w:tc>
          <w:tcPr>
            <w:tcW w:w="796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Title to Properties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Real Property</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196"/>
        </w:trPr>
        <w:tc>
          <w:tcPr>
            <w:tcW w:w="420" w:type="dxa"/>
            <w:vAlign w:val="bottom"/>
          </w:tcPr>
          <w:p>
            <w:pPr>
              <w:spacing w:after="0"/>
              <w:rPr>
                <w:sz w:val="17"/>
                <w:szCs w:val="17"/>
                <w:color w:val="auto"/>
              </w:rPr>
            </w:pPr>
          </w:p>
        </w:tc>
        <w:tc>
          <w:tcPr>
            <w:tcW w:w="1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Taxes</w:t>
            </w:r>
          </w:p>
        </w:tc>
        <w:tc>
          <w:tcPr>
            <w:tcW w:w="6880" w:type="dxa"/>
            <w:vAlign w:val="bottom"/>
            <w:gridSpan w:val="25"/>
          </w:tcPr>
          <w:p>
            <w:pPr>
              <w:spacing w:after="0"/>
              <w:rPr>
                <w:sz w:val="17"/>
                <w:szCs w:val="17"/>
                <w:color w:val="auto"/>
              </w:rPr>
            </w:pP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Financial Condition; SEC Filings; Contingent Obligations</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Absence of Certain Changes or Events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Environmental Matters.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Investment Company/Government Regulations.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Subsidiaries.</w:t>
            </w:r>
          </w:p>
        </w:tc>
        <w:tc>
          <w:tcPr>
            <w:tcW w:w="2160" w:type="dxa"/>
            <w:vAlign w:val="bottom"/>
          </w:tcPr>
          <w:p>
            <w:pPr>
              <w:jc w:val="center"/>
              <w:ind w:left="1870"/>
              <w:spacing w:after="0" w:line="19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Solvency.</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Licenses and Approvals.</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Change of Control and Similar Payments.</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OFAC; Anti-Terrorism; Patriot Act.</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Internal Controls.</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420" w:type="dxa"/>
            <w:vAlign w:val="bottom"/>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8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0000EE"/>
              </w:rPr>
              <w:t xml:space="preserve"> Accounts and Notes Receivable; Accounts and Notes Payable.</w:t>
            </w:r>
          </w:p>
        </w:tc>
        <w:tc>
          <w:tcPr>
            <w:tcW w:w="3320" w:type="dxa"/>
            <w:vAlign w:val="bottom"/>
            <w:gridSpan w:val="4"/>
          </w:tcPr>
          <w:p>
            <w:pPr>
              <w:spacing w:after="0"/>
              <w:rPr>
                <w:sz w:val="17"/>
                <w:szCs w:val="17"/>
                <w:color w:val="auto"/>
              </w:rPr>
            </w:pP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24</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Inventory</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25</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Issuance of the Securities.</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26</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Labor Relations.</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340" w:type="dxa"/>
            <w:vAlign w:val="bottom"/>
            <w:gridSpan w:val="1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27</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7"/>
            <w:shd w:val="clear" w:color="auto" w:fill="0000EE"/>
          </w:tcPr>
          <w:p>
            <w:pPr>
              <w:spacing w:after="0" w:line="20" w:lineRule="exact"/>
              <w:rPr>
                <w:sz w:val="1"/>
                <w:szCs w:val="1"/>
                <w:color w:val="auto"/>
              </w:rPr>
            </w:pPr>
          </w:p>
        </w:tc>
        <w:tc>
          <w:tcPr>
            <w:tcW w:w="6340" w:type="dxa"/>
            <w:vAlign w:val="bottom"/>
            <w:gridSpan w:val="1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28</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Insurance.</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960" w:type="dxa"/>
            <w:vAlign w:val="bottom"/>
            <w:gridSpan w:val="2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29</w:t>
            </w:r>
          </w:p>
        </w:tc>
        <w:tc>
          <w:tcPr>
            <w:tcW w:w="7860" w:type="dxa"/>
            <w:vAlign w:val="bottom"/>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Certain Fees.</w:t>
            </w:r>
          </w:p>
        </w:tc>
        <w:tc>
          <w:tcPr>
            <w:tcW w:w="2160" w:type="dxa"/>
            <w:vAlign w:val="bottom"/>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ind w:right="-459"/>
        <w:spacing w:after="0"/>
        <w:rPr>
          <w:sz w:val="20"/>
          <w:szCs w:val="20"/>
          <w:color w:val="auto"/>
        </w:rPr>
      </w:pPr>
      <w:r>
        <w:rPr>
          <w:rFonts w:ascii="Calibri" w:cs="Calibri" w:eastAsia="Calibri" w:hAnsi="Calibri"/>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540" w:right="7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30</w:t>
            </w:r>
          </w:p>
        </w:tc>
        <w:tc>
          <w:tcPr>
            <w:tcW w:w="740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EE"/>
              </w:rPr>
              <w:t>Private Placement.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31</w:t>
            </w:r>
          </w:p>
        </w:tc>
        <w:tc>
          <w:tcPr>
            <w:tcW w:w="740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Listing and Maintenance Requirements.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32</w:t>
            </w:r>
          </w:p>
        </w:tc>
        <w:tc>
          <w:tcPr>
            <w:tcW w:w="740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No Integrated Offering.</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33</w:t>
            </w:r>
          </w:p>
        </w:tc>
        <w:tc>
          <w:tcPr>
            <w:tcW w:w="740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No Disqualification Events.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31"/>
        </w:trPr>
        <w:tc>
          <w:tcPr>
            <w:tcW w:w="57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8"/>
              </w:rPr>
              <w:t>Article 5 REPRESENTATIONS AND WARRANTIES OF THE PURCHASER</w:t>
            </w:r>
          </w:p>
        </w:tc>
        <w:tc>
          <w:tcPr>
            <w:tcW w:w="242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31"/>
        </w:trPr>
        <w:tc>
          <w:tcPr>
            <w:tcW w:w="420" w:type="dxa"/>
            <w:vAlign w:val="bottom"/>
          </w:tcPr>
          <w:p>
            <w:pPr>
              <w:spacing w:after="0"/>
              <w:rPr>
                <w:sz w:val="24"/>
                <w:szCs w:val="24"/>
                <w:color w:val="auto"/>
              </w:rPr>
            </w:pPr>
          </w:p>
        </w:tc>
        <w:tc>
          <w:tcPr>
            <w:tcW w:w="77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Authorization; No Contravention.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2</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Binding Effect.</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3</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No Legal Bar.</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4</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Securities Laws.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2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31"/>
        </w:trPr>
        <w:tc>
          <w:tcPr>
            <w:tcW w:w="46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Article 6 AFFIRMATIVE COVENANTS OF THE COMPANY</w:t>
            </w:r>
          </w:p>
        </w:tc>
        <w:tc>
          <w:tcPr>
            <w:tcW w:w="3540" w:type="dxa"/>
            <w:vAlign w:val="bottom"/>
            <w:gridSpan w:val="4"/>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31"/>
        </w:trPr>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1</w:t>
            </w:r>
          </w:p>
        </w:tc>
        <w:tc>
          <w:tcPr>
            <w:tcW w:w="75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Use of Offering Proceeds.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2</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Cash Controls.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3</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Maintenance of Existence; Conduct of Business; Compliance.</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4</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Maintenance of Property; Insurance.</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4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5</w:t>
            </w:r>
            <w:r>
              <w:rPr>
                <w:rFonts w:ascii="Times New Roman" w:cs="Times New Roman" w:eastAsia="Times New Roman" w:hAnsi="Times New Roman"/>
                <w:sz w:val="18"/>
                <w:szCs w:val="18"/>
                <w:color w:val="0000EE"/>
                <w:w w:val="97"/>
              </w:rPr>
              <w:t xml:space="preserve"> Access to Facilities.</w:t>
            </w:r>
          </w:p>
        </w:tc>
        <w:tc>
          <w:tcPr>
            <w:tcW w:w="1180" w:type="dxa"/>
            <w:vAlign w:val="bottom"/>
            <w:tcBorders>
              <w:top w:val="single" w:sz="8" w:color="0000EE"/>
            </w:tcBorders>
            <w:gridSpan w:val="13"/>
          </w:tcPr>
          <w:p>
            <w:pPr>
              <w:spacing w:after="0"/>
              <w:rPr>
                <w:sz w:val="17"/>
                <w:szCs w:val="17"/>
                <w:color w:val="auto"/>
              </w:rPr>
            </w:pPr>
          </w:p>
        </w:tc>
        <w:tc>
          <w:tcPr>
            <w:tcW w:w="4840" w:type="dxa"/>
            <w:vAlign w:val="bottom"/>
            <w:gridSpan w:val="7"/>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20" w:type="dxa"/>
            <w:vAlign w:val="bottom"/>
          </w:tcPr>
          <w:p>
            <w:pPr>
              <w:spacing w:after="0"/>
              <w:rPr>
                <w:sz w:val="17"/>
                <w:szCs w:val="17"/>
                <w:color w:val="auto"/>
              </w:rPr>
            </w:pPr>
          </w:p>
        </w:tc>
        <w:tc>
          <w:tcPr>
            <w:tcW w:w="77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0000EE"/>
              </w:rPr>
              <w:t xml:space="preserve"> Taxes and Claims.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7</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Compliance with Laws.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8</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Further Assurances.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9</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Form D; Blue Sky Filings.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10</w:t>
            </w:r>
          </w:p>
        </w:tc>
        <w:tc>
          <w:tcPr>
            <w:tcW w:w="740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Future Litigation.</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162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31"/>
        </w:trPr>
        <w:tc>
          <w:tcPr>
            <w:tcW w:w="27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Article 7 NEGATIVE COVENANTS</w:t>
            </w:r>
          </w:p>
        </w:tc>
        <w:tc>
          <w:tcPr>
            <w:tcW w:w="5380" w:type="dxa"/>
            <w:vAlign w:val="bottom"/>
            <w:gridSpan w:val="11"/>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31"/>
        </w:trPr>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1</w:t>
            </w:r>
          </w:p>
        </w:tc>
        <w:tc>
          <w:tcPr>
            <w:tcW w:w="75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Limitation on Debt.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2</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Liens.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3</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Mergers; Nature of Business.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4</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Investments.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5</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Dispositions.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6</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Sales and Leasebacks.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7</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Restricted Payments.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8</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Transactions with Affiliates.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9</w:t>
            </w:r>
          </w:p>
        </w:tc>
        <w:tc>
          <w:tcPr>
            <w:tcW w:w="750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Amendments of Organizational Documents.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10</w:t>
            </w:r>
          </w:p>
        </w:tc>
        <w:tc>
          <w:tcPr>
            <w:tcW w:w="740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Future Financings.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420" w:type="dxa"/>
            <w:vAlign w:val="bottom"/>
          </w:tcPr>
          <w:p>
            <w:pPr>
              <w:spacing w:after="0"/>
              <w:rPr>
                <w:sz w:val="17"/>
                <w:szCs w:val="17"/>
                <w:color w:val="auto"/>
              </w:rPr>
            </w:pPr>
          </w:p>
        </w:tc>
        <w:tc>
          <w:tcPr>
            <w:tcW w:w="27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Conduct of Business.</w:t>
            </w:r>
          </w:p>
        </w:tc>
        <w:tc>
          <w:tcPr>
            <w:tcW w:w="5000" w:type="dxa"/>
            <w:vAlign w:val="bottom"/>
            <w:gridSpan w:val="9"/>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860" w:type="dxa"/>
            <w:vAlign w:val="bottom"/>
            <w:gridSpan w:val="18"/>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12</w:t>
            </w:r>
          </w:p>
        </w:tc>
        <w:tc>
          <w:tcPr>
            <w:tcW w:w="740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Restricted Issuance.</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right="-459"/>
        <w:spacing w:after="0"/>
        <w:rPr>
          <w:sz w:val="20"/>
          <w:szCs w:val="20"/>
          <w:color w:val="auto"/>
        </w:rPr>
      </w:pPr>
      <w:r>
        <w:rPr>
          <w:rFonts w:ascii="Calibri" w:cs="Calibri" w:eastAsia="Calibri" w:hAnsi="Calibri"/>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540" w:right="7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Article 8 MISCELLANEOUS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31"/>
        </w:trPr>
        <w:tc>
          <w:tcPr>
            <w:tcW w:w="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67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EE"/>
              </w:rPr>
              <w:t>Survival of Representations and Warranties.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2</w:t>
            </w:r>
          </w:p>
        </w:tc>
        <w:tc>
          <w:tcPr>
            <w:tcW w:w="674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Notices.</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3</w:t>
            </w:r>
          </w:p>
        </w:tc>
        <w:tc>
          <w:tcPr>
            <w:tcW w:w="674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Successors and Assigns.</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9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Amendment and Waiver.</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5</w:t>
            </w:r>
          </w:p>
        </w:tc>
        <w:tc>
          <w:tcPr>
            <w:tcW w:w="674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 Counterparts.</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6</w:t>
            </w:r>
          </w:p>
        </w:tc>
        <w:tc>
          <w:tcPr>
            <w:tcW w:w="674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Headings.</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9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0000EE"/>
              </w:rPr>
              <w:t xml:space="preserve"> GOVERNING LAW.</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9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0000EE"/>
              </w:rPr>
              <w:t xml:space="preserve"> JURISDICTION, JURY TRIAL WAIVER, ETC.</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60" w:type="dxa"/>
            <w:vAlign w:val="bottom"/>
            <w:tcBorders>
              <w:left w:val="single" w:sz="8" w:color="0000EE"/>
            </w:tcBorders>
            <w:gridSpan w:val="2"/>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6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9</w:t>
            </w:r>
          </w:p>
        </w:tc>
        <w:tc>
          <w:tcPr>
            <w:tcW w:w="674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Severability.</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10</w:t>
            </w:r>
          </w:p>
        </w:tc>
        <w:tc>
          <w:tcPr>
            <w:tcW w:w="664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Rules of Construction.</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20" w:type="dxa"/>
            <w:vAlign w:val="bottom"/>
          </w:tcPr>
          <w:p>
            <w:pPr>
              <w:spacing w:after="0"/>
              <w:rPr>
                <w:sz w:val="17"/>
                <w:szCs w:val="17"/>
                <w:color w:val="auto"/>
              </w:rPr>
            </w:pPr>
          </w:p>
        </w:tc>
        <w:tc>
          <w:tcPr>
            <w:tcW w:w="20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Entire Agreement.</w:t>
            </w:r>
          </w:p>
        </w:tc>
        <w:tc>
          <w:tcPr>
            <w:tcW w:w="4960" w:type="dxa"/>
            <w:vAlign w:val="bottom"/>
            <w:gridSpan w:val="4"/>
          </w:tcPr>
          <w:p>
            <w:pPr>
              <w:spacing w:after="0"/>
              <w:rPr>
                <w:sz w:val="17"/>
                <w:szCs w:val="17"/>
                <w:color w:val="auto"/>
              </w:rPr>
            </w:pP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12</w:t>
            </w:r>
          </w:p>
        </w:tc>
        <w:tc>
          <w:tcPr>
            <w:tcW w:w="664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Indemnification.</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13</w:t>
            </w:r>
          </w:p>
        </w:tc>
        <w:tc>
          <w:tcPr>
            <w:tcW w:w="664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No Strict Construction.</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14</w:t>
            </w:r>
          </w:p>
        </w:tc>
        <w:tc>
          <w:tcPr>
            <w:tcW w:w="664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Remedies.</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4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760" w:type="dxa"/>
            <w:vAlign w:val="bottom"/>
            <w:gridSpan w:val="3"/>
          </w:tcPr>
          <w:p>
            <w:pPr>
              <w:ind w:left="420"/>
              <w:spacing w:after="0" w:line="196"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15</w:t>
            </w:r>
          </w:p>
        </w:tc>
        <w:tc>
          <w:tcPr>
            <w:tcW w:w="664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Confidential Information.</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Form of Registration Rights Agreement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Exhibit B </w:t>
      </w:r>
      <w:r>
        <w:rPr>
          <w:rFonts w:ascii="Times New Roman" w:cs="Times New Roman" w:eastAsia="Times New Roman" w:hAnsi="Times New Roman"/>
          <w:sz w:val="18"/>
          <w:szCs w:val="18"/>
          <w:color w:val="auto"/>
        </w:rPr>
        <w:t>Form of Warrant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Form of Opinion of Counsel to Company</w:t>
      </w:r>
    </w:p>
    <w:p>
      <w:pPr>
        <w:spacing w:after="0" w:line="281" w:lineRule="exact"/>
        <w:rPr>
          <w:sz w:val="20"/>
          <w:szCs w:val="20"/>
          <w:color w:val="auto"/>
        </w:rPr>
      </w:pPr>
    </w:p>
    <w:p>
      <w:pPr>
        <w:jc w:val="center"/>
        <w:ind w:right="-479"/>
        <w:spacing w:after="0"/>
        <w:rPr>
          <w:sz w:val="20"/>
          <w:szCs w:val="20"/>
          <w:color w:val="auto"/>
        </w:rPr>
      </w:pPr>
      <w:r>
        <w:rPr>
          <w:rFonts w:ascii="Calibri" w:cs="Calibri" w:eastAsia="Calibri" w:hAnsi="Calibri"/>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540" w:right="8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dated as of February March 2, 2026 (as amended, restated, supplemented or otherwise modified from time to time in accordance with the terms hereof,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CLEARONE,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FIRST FINANCE LTD.</w:t>
      </w:r>
      <w:r>
        <w:rPr>
          <w:rFonts w:ascii="Times New Roman" w:cs="Times New Roman" w:eastAsia="Times New Roman" w:hAnsi="Times New Roman"/>
          <w:sz w:val="18"/>
          <w:szCs w:val="18"/>
          <w:color w:val="auto"/>
        </w:rPr>
        <w:t>, a California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PURPOSE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wishes to issue and sell to the Purchaser, and the Purchaser wishes to purchase, on the terms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herein, 437,500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for $4.00 per share, and a warrant to purchase up to 437,500 shares of Common Stock with an exercise price of $5.00 per share exercisable for a term of two (2) years from the Closing Date (as defined herein below) for an aggregate of $1,750,000.00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adequacy of which is hereby acknowledged, the parties hereto agree as follows:</w:t>
      </w:r>
    </w:p>
    <w:p>
      <w:pPr>
        <w:spacing w:after="0" w:line="15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and unless the context requires a different meaning, the following terms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has the meaning given to that term in the Uniform Commercial Code.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any Person means any other Person directly or indirectly controlling, controlled by or under common control with such Person.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Capital Stock,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Purchaser, or any Affiliates of Purchaser, on the one hand, and the Company and any of its Subsidiaries, on the other hand, be deemed to be “Affiliates” of one another.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given to that term in the introductory paragraph.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laws, rules and regulations applicable to the Person, conduct, transaction, covenant, document or contract in question, including all applicable common law and equitable principles, all provisions of all applicable state, federal and foreign constitutions, statutes, rules, regulations, treaties, directives and orders of any Governmental Authority, and all orders, judgments and decrees of all courts and arbitrators.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or Utah are authorized or required by law or executive order to close.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of a Person means any lease of Property by such Person as lessee which would be classified as a capital lease on a balance sheet of such Person prepared in accordance with GAAP.</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of any Person means all obligations (including sales tax obligations) of such Person under Capital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(a) any capital stock, partnership, membership, limited liability company, joint venture or other ownership or equity interest or other equivalent, participation or securities (whether voting or non-voting, whether preferred, common or otherwise, whether certificated or uncertificated, and however designated), and (b) any option, warrant, security, appreciation right, profits interests or other right (including Indebtedness securities or other evidence of Indebtedness) directly or indirectly convertible into or exercisable or exchangeable for, or otherwise to acquire directly or indirectly, any capital stock, partnership, membership, limited liability company, joint venture or other ownership or equity interest, participation or security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with respect to any property, any of the following: (a) any casualty, loss, destruction, damage or taking of such property (or any part thereof), (b) any condemnation, loss of title, seizure, or taking, by exercise of the power of eminent domain or other similar proceeding, of such property (or any part thereof), or confiscation of such property (or any part thereof) or the requisition of the use of such property by any Governmental Authority, or (c) any event that results in the receipt of business interruption insurance.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means the Comprehensive Environmental Response, Compensation and Liability Act of 1980,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means the articles or certificate of incorporation or formation (as applicable), the bylaws or operating or limited liability company agreement (as applicable), and other similar organizational and governing documents of any Person, as amended, restated, supplemented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given to that term in the recitals to this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which would entitle the holder thereof to acquire at any time Common Stock, including whether or not presently convertible, exchangeable or exercisable, any debt, preferred stock, right, option, warrant or other instrument that is at any time convertible into or exercisable or exchangeable for, or otherwise entitles the holder thereof to purchase, subscribe or otherwise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given to that term in the introductory paragraph of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means as to any Person, any provision of any security issued by such Person or of any agreement, undertaking, contract, indenture, mortgage, deed of trust or other instrument or arrangement (whether in writing or otherwise) to which such Person is a party or by which it or any of such Person’s property is bound.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CWA</w:t>
      </w:r>
      <w:r>
        <w:rPr>
          <w:rFonts w:ascii="Times New Roman" w:cs="Times New Roman" w:eastAsia="Times New Roman" w:hAnsi="Times New Roman"/>
          <w:sz w:val="18"/>
          <w:szCs w:val="18"/>
          <w:color w:val="auto"/>
        </w:rPr>
        <w:t>” has the meaning set forth in the definition of “Environmental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federal, state, local and foreign statutes, laws, judicial decisions, regulations, ordinances, rules, judgments, orders, decrees, plans, injunctions, Licenses, concessions, grants, franchises, agreements and other governmental restrictions relating to (a) the protection of the environment, (b) the effect of the environment on human health, (c) emissions, discharges or releases of pollutants, contaminants, hazardous substances or wastes into surface water, ground water, air or land, or (d) the manufacture, processing, distribution, use, treatment, storage, disposal, transport or handling of pollutants, contaminants, hazardous substances or wastes or the clean-up or other remediation thereof, including, without limitation, the Clean Air Act, 42 U.S.C. § 7401 et seq., the Clean Water Act, 33 U.S.C. § 1251 et seq. (“</w:t>
      </w:r>
      <w:r>
        <w:rPr>
          <w:rFonts w:ascii="Times New Roman" w:cs="Times New Roman" w:eastAsia="Times New Roman" w:hAnsi="Times New Roman"/>
          <w:sz w:val="18"/>
          <w:szCs w:val="18"/>
          <w:b w:val="1"/>
          <w:bCs w:val="1"/>
          <w:color w:val="auto"/>
        </w:rPr>
        <w:t>CWA</w:t>
      </w:r>
      <w:r>
        <w:rPr>
          <w:rFonts w:ascii="Times New Roman" w:cs="Times New Roman" w:eastAsia="Times New Roman" w:hAnsi="Times New Roman"/>
          <w:sz w:val="18"/>
          <w:szCs w:val="18"/>
          <w:color w:val="auto"/>
        </w:rPr>
        <w:t>”), the Solid Waste Disposal Act (as amended by the Resource Conservation and Recovery Act), 42 U.S.C. § 6901 et seq. (“</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and CERCLA.</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Line of Credit” </w:t>
      </w:r>
      <w:r>
        <w:rPr>
          <w:rFonts w:ascii="Times New Roman" w:cs="Times New Roman" w:eastAsia="Times New Roman" w:hAnsi="Times New Roman"/>
          <w:sz w:val="18"/>
          <w:szCs w:val="18"/>
          <w:color w:val="auto"/>
        </w:rPr>
        <w:t>means any transaction involving a Contractual Obligation of any Person with a counterparty whereby such Person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to Sell its Securities to such counterparty over an agreed period of time and at future determined price or price formula, other than customary “preemptive” or “participation” rights or “weighted average” or “full-ratchet” anti-dilution provisions and other than in connection with fixed-price rights public offerings.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the Company and its Subsidiaries, ending on March 31, June 30, September 30, and December 31 of each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a fiscal year of the Company and its Subsidiaries, ending on December 31 of each year.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effect within the United States from time to time, consistently applied. If there are any changes to GAAP during the term of this Agreement, the parties shall continue to determine compliance with the financial covenants, and make all other financial determinations hereunder, without giving effect to any such changes until such time that the parties hereto can agree to amend the financial covenants and other provisions requiring financial determinations hereunder to take into account the effect of such changes to GAAP in a mutually acceptable manner.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any nation, state, city, locality or other political subdivision of any thereof, any entity exercising executive, legislative, judicial, regulatory or administrative functions of or pertaining to government, regulation or compliance, including, without limitation, any federal, state or local public utility commission, and any corporation or other entity owned or controlled, through stock or capital ownership or otherwise, by any of the foregoing.</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 any “hazardous substance”, as defined by CERCLA, (b) any “hazardous waste”, as defined by RCRA, (c) any petroleum product, (d) any “pollutant,” as defined by the CWA, or (e) any contaminant or hazardous, dangerous or toxic chemical, material or substance within the meaning of any other Environmental Law.</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such Person’s (a) obligations for borrowed money, (b) obligations representing the deferred purchase price of Property or services (other than accounts payable arising in the ordinary course of such Person’s business payable on terms customary in the trade and not outstanding more than 90 days past the date of invoice), (c) obligations, whether or not assumed, secured by Liens or payable out of the proceeds or production from Property now or hereafter owned or acquired by such Person, (d) obligations which are evidenced by bonds, debentures, notes, acceptances, or other similar instruments, (e) obligations of such Person to purchase securities or other Property arising out of or in connection with the sale of the same or substantially similar securities or Property, (f) Capital Lease Obligations and obligations created or arising under any conditional sale or other title retention agreement, (h) net obligations under or relating to Hedging Agreements, (i) attributable indebtedness related to Sale and Leaseback Transactions, (j) the aggregate undrawn face amount of all letters of credit issued for the account and/or upon the application of such Person together with all unreimbursed drawings with respect thereto, (k) “earnouts” and similar payment obligations of such Person to the extent such obligations become fixed or are considered liabilities under GAAP, (l) any obligation guaranteeing or intended to guarantee (whether directly or indirectly guaranteed, endorsed, co-made, discounted, or sold with recourse) any obligation of any other Person that constitutes Indebtedness under any of clauses (a) through (k), and (m) any other obligation for borrowed money or other financial accommodation which, in accordance with GAAP, would be shown as a liability on the balance sheet of such Person. The amount of Indebtedness under any Hedging Agreement on any date shall be deemed to be the swap termination value thereof as of such date.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and similar property of a Person, including inventions, designs, patents, copyrights, trademarks, service marks, trade names, trade secrets, confidential or proprietary information, customer lists, know-how, software and databases.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of the “inventory” (as that term is defined in the UNIFORM COMMERCIAL CODE) of the Company, whether now existing or hereafter acquired or created.</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direct or indirect purchase, acquisition or other investment (including, without limitation, any loan or advance or capital contribution) in or to any Person, whether payment therefor is made in cash or Capital Stock or otherwise, and whether such investment is by acquisition of Capital Stock or Indebtedness, or by loan, advance, transfer of property out of the ordinary course of business, capital contribution (excluding (a) commission, travel, and similar advances to officers and employees of such Person made in the ordinary course of business, and (b) bona fide Accounts arising in the ordinary course of business consistent with past practice), equity or profit sharing interest, extension of credit on terms other than those normal in the ordinary course of business or otherwise. The amount of any Investment shall be the original cost of such Investment plus the cost of all additions thereto, without any adjustments for increases or decreases in value, or write downs or write offs with respect to such Investment.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the Company</w:t>
      </w:r>
      <w:r>
        <w:rPr>
          <w:rFonts w:ascii="Times New Roman" w:cs="Times New Roman" w:eastAsia="Times New Roman" w:hAnsi="Times New Roman"/>
          <w:sz w:val="18"/>
          <w:szCs w:val="18"/>
          <w:color w:val="auto"/>
        </w:rPr>
        <w:t>” or any similar phrases means the actual knowledge of any director or executive officer of the Company, in the case of any officer, after due and reasonable inquiry of the individuals in the organization of the Company involved in, and responsible for, the subject matter area covered by the relevant representation and warranty.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means all licenses, permits, authorizations, determinations, and registrations issued by any Governmental Authority to the Company or any Subsidiary in connection with the conduct of its business.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(statutory or otherwise), security interest, mortgage, pledge, hypothecation, deed of trust, assignment, deposit arrangement, encumbrance, or preference, priority or other security agreement or preferential arrangement of any kind or nature whatsoever (including, without limitation, the interest of a vendor or lessor under any conditional sale, Capital Lease, or other title retention agreement (and any lease in the nature thereof)) and any agreement to give any of the foregoing.</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individually or in the aggregate (a) a material adverse condition, event, occurrence or development related to, or material adverse change or effect on, the assets, business, properties, liabilities, results of operations, cash flows or financial condition of the Company and its Subsidiaries (taken as a whole), (b) a material adverse effect upon (i) the legality, validity, binding effect or enforceability against the Company of this Agreement or any other Transaction Document, or (ii) the rights, remedies and benefits (taken as a whole) available to, or conferred upon, the Purchaser under this Agreement or any other Transaction Document, or (c) a material adverse effect on the ability of the Company to perform its obligations under this Agreement or any other Transaction Document.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statutory Liens for current Taxes or assessments, or other similar governmental charges, not yet delinquent or the amount or validity of which is being contested in good faith by appropriate proceedings (b) carriers’, warehousemen’s, mechanics’, materialmen’s, repairmen’s or other similar Liens arising or incurred in the ordinary course of business not yet delinquent or the amount or validity of which is being contested in good faith by appropriate proceedings and for which adequate reserves have been established consistent with past accounting practices, (c) zoning, entitlement and other land use or environmental regulations by any Governmental Authority that have not been violated and that do not materially impair the ability to operate in the ordinary course of business, or (d) Liens that represent purchase money security interests for personal property purchased in the ordinary course of business.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limited liability company, partnership, trust, incorporated or unincorporated association, joint venture, joint stock company, Governmental Authority or other entity of any kind, and shall include any successor (by merger or otherwise) of such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date of this Agreement, shall be the Nasdaq Capital Market.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of a Person means any and all property, whether real, personal, tangible, intangible, or mixed, of such Person, or other assets owned, leased, or operated by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First Finance Ltd., a California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has the meaning set forth in the definition of “Environmental Laws.”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“Registration Rights Agreement” </w:t>
      </w:r>
      <w:r>
        <w:rPr>
          <w:rFonts w:ascii="Times New Roman" w:cs="Times New Roman" w:eastAsia="Times New Roman" w:hAnsi="Times New Roman"/>
          <w:sz w:val="18"/>
          <w:szCs w:val="18"/>
          <w:color w:val="auto"/>
        </w:rPr>
        <w:t>means the Registration Rights Agreement, dated as of the date hereof, among the Company and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“Registration Statement” </w:t>
      </w:r>
      <w:r>
        <w:rPr>
          <w:rFonts w:ascii="Times New Roman" w:cs="Times New Roman" w:eastAsia="Times New Roman" w:hAnsi="Times New Roman"/>
          <w:sz w:val="18"/>
          <w:szCs w:val="18"/>
          <w:color w:val="auto"/>
        </w:rPr>
        <w:t>means a registration statement meeting the requirements set forth in the Registration Rights Agreement and covering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resale by the Purchaser of the Shares and Warrant Shares.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as to any Person, provisions of the Charter Documents of such Person, or any law, treaty, code, rule, regulation, right, privilege, qualification, License or franchise, or any determination of an arbitrator or a court or other Governmental Authority, in each case applicable to such Person or any of such Person’s property or to which such Person or any of such Person’s property is subject or pertaining to any or all of the Transactions or other transactions contemplated or referred to in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any sale or other transfer of Property by any Person with the intent to lease such Property as lessee.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any other governmental authority then having jurisdiction to enforce the Securities Act and/or the Exchange Act,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Shares and Warrant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thereunder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any Person that (a) the fair value of the assets and the property of such Person exceeds the fair value of the aggregate liabilities (including contingent and unliquidated liabilities) of such Person, (b) after giving effect to the transactions contemplated by this Agreement, such Person will not be left with unreasonably small capital, and (c) after giving effect to the transactions contemplated by this Agreement, such Person is able to both service and pay its liabilities as they mature. In computing the amount of contingent or unliquidated liabilities at any time, such liabilities will be computed as the amount that, in light of all the facts and circumstances existing at such time, represents the amount that is likely to become an actual or matured liability.</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corporation or other entity of which more than fifty percent (50%) of the voting power of the voting equity securities or equity interest is owned, directly or indirectly, by such Person. Unless otherwise qualified, all references to a “Subsidiary” or to “Subsidiaries” in this Agreement shall refer to a Subsidiary or Subsidiaries of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present or future United States federal, state, local or foreign income, gross receipts, license, payroll, employment, excise, severance, stamp, occupation, premium, windfall profits, environmental (including taxes under Code §59A), customs duties, capital stock, franchise profits, withholding, social security (or similar), unemployment, disability, real property, personal property, sales, use, transfer, registration, value added, alternative or add-on-minimum, estimated, or other taxes, levies, assessments, fees or other charges imposed by any Governmental Authority, including any interest, penalty, or addition thereto, whether disputed or not.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all exhibits and schedules hereto, the Warrant, the Registration Rights Agreement, and any other documents or agreements executed in connection with the transactions contemplated hereunder.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transfer of funds from the Purchaser to the Company and the issuance of the Shares and Warrant hereunder on the Closing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means the Common Stock purchase warrant delivered to the Purchaser at the Closing in accordance with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hereof for the purchase of , which Warrant shall be exercisable six months from the date of issuance, have an exercise price of $5.00 per share, and have a term of exercise equal to two (2) years from the Closing Date,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the shares of Common Stock issuable upon exercise of the Warrant.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Accounting Terms</w:t>
      </w:r>
      <w:r>
        <w:rPr>
          <w:rFonts w:ascii="Times New Roman" w:cs="Times New Roman" w:eastAsia="Times New Roman" w:hAnsi="Times New Roman"/>
          <w:sz w:val="18"/>
          <w:szCs w:val="18"/>
          <w:color w:val="auto"/>
        </w:rPr>
        <w:t>. All accounting terms used herein and not expressly defined in this Agreement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given to them in conformance with GAAP. Where the character or amount of any asset or liability or item of income or expense is required to be determined or any consolidation or other accounting computation is required to be made for the purposes of this Agreement, this shall be done in accordance with GAAP, consistently applied, to the extent applicable, except as otherwise expressly provided in this Agreement. If any changes in accounting principles from those in effect on the date hereof are hereafter occasioned by promulgation of rules, regulations, pronouncements or opinions by or are otherwise required by the Financial Accounting Standards Board or the American Institute of Certified Public Accountants (or successors thereto or agencies with similar functions), and any of such changes results in a change in the method of calculation of, or affects the results of such calculation of, any of the financial covenants, standards or terms found herein, then the parties hereto agree upon the request of the Company or the Purchaser to enter into and diligently pursue negotiations in order to amend such financial covenants, standards or terms so as to equitably reflect such changes, with the desired result that the criteria for evaluating financial condition and results of operations of the Company and its Subsidiaries shall be the same after such changes as if such changes had not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any such amendments have been agreed upon by the Purchaser, the provisions in this Agreement shall be calculated as if no such changes in accounting principles had occurred. Notwithstanding any other provision contained herein, all terms of an accounting or financial nature used herein shall be construed, and all computations of amounts and ratios shall be made, without giving effect to any election under Accounting Standards Codification 825-10 (or any other Financial Accounting Standard having a similar result or effect) to value any Indebtedness or other liabilities of the Company at “fair value.” Notwithstanding any accounting change after the Closing Date that would require lease obligations that would be treated as operating leases as of the Closing Date to be classified and accounted for as capital leases or otherwise reflected on the Company’s and its Subsidiaries’ consolidated balance sheet, for the purposes of determining compliance with any covenant contained herein, such obligations shall be treated in the same manner as operating leases are treated as of the Closing Date.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 OF THE SHARES AND WARRANT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Purchase and Sale of the Shares and Warrant</w:t>
      </w:r>
      <w:r>
        <w:rPr>
          <w:rFonts w:ascii="Times New Roman" w:cs="Times New Roman" w:eastAsia="Times New Roman" w:hAnsi="Times New Roman"/>
          <w:sz w:val="18"/>
          <w:szCs w:val="18"/>
          <w:color w:val="auto"/>
        </w:rPr>
        <w:t>. Subject to the terms and conditions herein set forth, on the Closing Date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issue and sell to the Purchaser, and the Purchaser will acquire from the Company, the Shares and the Warrant in exchange for the Purchase Price in cash or wire transfer of immediately available funds from the Purchaser.</w:t>
      </w:r>
    </w:p>
    <w:p>
      <w:pPr>
        <w:spacing w:after="0" w:line="1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The purchase and issuance of the Shares and Warrant shall take place at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on the date hereof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subject to the satisfaction or waiver of the conditions to closing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At the Closing, the Company and Purchaser shall deliver the items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Upon satisfaction of the covenants and conditions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 Closing shall occur at the offices of Company Counsel or such other location (including remotely by facsimile or other electronic transmission) as the parties shall mutually agree.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Conditions Precedent to the Closing</w:t>
      </w:r>
      <w:r>
        <w:rPr>
          <w:rFonts w:ascii="Times New Roman" w:cs="Times New Roman" w:eastAsia="Times New Roman" w:hAnsi="Times New Roman"/>
          <w:sz w:val="18"/>
          <w:szCs w:val="18"/>
          <w:color w:val="auto"/>
        </w:rPr>
        <w:t>. The obligation of the Purchaser to purchase the Shares, and to perform any obligations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the following conditions on or before the Closing Date.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u w:val="single" w:color="auto"/>
          <w:color w:val="auto"/>
        </w:rPr>
        <w:t>Closing Deliverables</w:t>
      </w:r>
    </w:p>
    <w:p>
      <w:pPr>
        <w:spacing w:after="0" w:line="229" w:lineRule="exact"/>
        <w:rPr>
          <w:sz w:val="20"/>
          <w:szCs w:val="20"/>
          <w:color w:val="auto"/>
        </w:rPr>
      </w:pPr>
    </w:p>
    <w:p>
      <w:pPr>
        <w:ind w:left="1920" w:hanging="616"/>
        <w:spacing w:after="0"/>
        <w:tabs>
          <w:tab w:leader="none" w:pos="1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of the Company</w:t>
      </w:r>
      <w:r>
        <w:rPr>
          <w:rFonts w:ascii="Times New Roman" w:cs="Times New Roman" w:eastAsia="Times New Roman" w:hAnsi="Times New Roman"/>
          <w:sz w:val="18"/>
          <w:szCs w:val="18"/>
          <w:color w:val="auto"/>
        </w:rPr>
        <w:t>. At the Closing, the Company shall deliver to the Purchaser the following:</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Agreement duly executed by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A Warrant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registered in the name of the Purchaser to purchase up to 437,500 shares of Common Stock with an exercise price of $5.00 per share, exercisable on or after the date that is six months from the Closing Date and expiring on the two (2) year anniversary of the Closing Date.</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Registration Rights Agreement duly executed by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 certificate, dated as of the Closing Date and signed by an officer of the Company, certifying (i) that the attached copies of the Charter Documents of Company, and resolutions of the Board approving the issuance and sale of the Shares and Warrant and this Agreement and the Transactions are all true, complete and correct and remain unamended and in full force and effect, and (ii) to the incumbency and specimen signature of each officer of the Company executing this Agreement or any other document delivered in connection herewith and therewith on behalf of the Company.</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True, complete and correct copies of each such other agreements, schedules, exhibits, certificates, documents, financial information and filings as the Purchaser may reasonably request in connection with or relating to the Transactions all in form and substance reasonably satisfactory to the Purchaser, and executed by the Company, as applicable.</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All consents, exemptions, authorizations, or other actions by, or notices to, or filings with, Governmental Authorities, the Principal Trading Market and other Persons in respect of all Requirements of Law and otherwise and with respect to those Contractual Obligations of the Company necessary in connection with the execution, delivery or performance by the Company, or enforcement against the Company, of this Agreement shall have been made or obtained and be in full force and effect.</w:t>
      </w:r>
    </w:p>
    <w:p>
      <w:pPr>
        <w:spacing w:after="0" w:line="166" w:lineRule="exact"/>
        <w:rPr>
          <w:rFonts w:ascii="Times New Roman" w:cs="Times New Roman" w:eastAsia="Times New Roman" w:hAnsi="Times New Roman"/>
          <w:sz w:val="18"/>
          <w:szCs w:val="18"/>
          <w:color w:val="auto"/>
        </w:rPr>
      </w:pPr>
    </w:p>
    <w:p>
      <w:pPr>
        <w:ind w:firstLine="1952"/>
        <w:spacing w:after="0" w:line="282" w:lineRule="auto"/>
        <w:tabs>
          <w:tab w:leader="none" w:pos="25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Certificates</w:t>
      </w:r>
      <w:r>
        <w:rPr>
          <w:rFonts w:ascii="Times New Roman" w:cs="Times New Roman" w:eastAsia="Times New Roman" w:hAnsi="Times New Roman"/>
          <w:sz w:val="18"/>
          <w:szCs w:val="18"/>
          <w:color w:val="auto"/>
        </w:rPr>
        <w:t>. The Company shall have delivered to the Purchaser as of a date not more than two (2) days before the Closing Date a good standing certificate for the Company for its jurisdiction of incorporation.</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Schedule</w:t>
      </w:r>
      <w:r>
        <w:rPr>
          <w:rFonts w:ascii="Times New Roman" w:cs="Times New Roman" w:eastAsia="Times New Roman" w:hAnsi="Times New Roman"/>
          <w:sz w:val="18"/>
          <w:szCs w:val="18"/>
          <w:color w:val="auto"/>
        </w:rPr>
        <w:t xml:space="preserve">. The intended disbursement schedule, included as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xml:space="preserve">. An opinion of counsel to the Company in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xml:space="preserve"> The Board shall have duly adopted resolutions approving the Transactions;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ind w:left="1920" w:hanging="616"/>
        <w:spacing w:after="0"/>
        <w:tabs>
          <w:tab w:leader="none" w:pos="1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of the Purchaser</w:t>
      </w:r>
      <w:r>
        <w:rPr>
          <w:rFonts w:ascii="Times New Roman" w:cs="Times New Roman" w:eastAsia="Times New Roman" w:hAnsi="Times New Roman"/>
          <w:sz w:val="18"/>
          <w:szCs w:val="18"/>
          <w:color w:val="auto"/>
        </w:rPr>
        <w:t>. At the Closing, the Purchaser shall deliver to the Company the following:</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Agreement duly executed by the Purchaser.</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Registration Rights Agreement duly executed by the Purchaser.</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2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 certificate, dated as of the Closing Date and signed by an officer of the Purchaser, certifying (i) that the attached copies of the resolutions of the board of directors of the Purchaser approving the issuance and Sale of the Shares and Warrant and this Agreement and the Transactions are all true, complete and correct and remain unamended and in full force and effect, and (ii) to the incumbency and specimen signature of each officer of the Purchaser executing this Agreement or any other document delivered in connection herewith and therewith on behalf of the Purchaser.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Existence and Power</w:t>
      </w:r>
      <w:r>
        <w:rPr>
          <w:rFonts w:ascii="Times New Roman" w:cs="Times New Roman" w:eastAsia="Times New Roman" w:hAnsi="Times New Roman"/>
          <w:sz w:val="18"/>
          <w:szCs w:val="18"/>
          <w:color w:val="auto"/>
        </w:rPr>
        <w:t>. The Company: (a) is duly organized, validly existing and in good standing under the laws of the jurisdiction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formation, and (b) and has all requisite corporate power and authority to carry on its business as now conducted. Neither the Company nor any Subsidiary is in violation nor default of any of the provisions of its respective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would not reasonably be expected to have, either individually or in the aggregate, a Material Adverse Effect, and, to, no proceeding has been instituted in any such jurisdiction revoking, limiting or curtailing or seeking to revoke, limit or curtail such power and authority or qualification.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Authorization; No Contravention</w:t>
      </w:r>
      <w:r>
        <w:rPr>
          <w:rFonts w:ascii="Times New Roman" w:cs="Times New Roman" w:eastAsia="Times New Roman" w:hAnsi="Times New Roman"/>
          <w:sz w:val="18"/>
          <w:szCs w:val="18"/>
          <w:color w:val="auto"/>
        </w:rPr>
        <w:t>. The execution, delivery and performance by the Company of this Agreement and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Transactions: (a) have been duly authorized by all necessary organizational action and no further action is required by the Company, the Board or the Company’s stockholders in connection herewith or therewith; (b) do not and will not contravene or violate the terms of the Charter Documents of the Company or any of its Subsidiaries or any amendment thereto or any material Requirement of Law applicable to the Company or the Company’s assets, business or properties; (c) do not and will not (i) conflict with, contravene, result in any violation or breach of or default under any Contractual Obligation of the Company (with or without the giving of notice or the lapse of time or both) other than any right to consent, which consents have been obtained, (ii) create in any other Person a right or claim of termination or amendment of any Contractual Obligation of the Company, or (iii) require modification, acceleration or cancellation of any Contractual Obligation of the Company; and (d) do not and will not result in the creation of any Lien (or obligation to create a Lien) against any property, asset or business of the Company or any Subsidiary. Company has the requisite corporate power and authority to enter into and to consummate the transactions contemplated by this Agreement and each of the other Transaction Documents and otherwise to carry out its obligations hereunder and thereunder.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Governmental Authorization; Third Party Consents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4.3</w:t>
      </w:r>
      <w:r>
        <w:rPr>
          <w:rFonts w:ascii="Times New Roman" w:cs="Times New Roman" w:eastAsia="Times New Roman" w:hAnsi="Times New Roman"/>
          <w:sz w:val="18"/>
          <w:szCs w:val="18"/>
          <w:color w:val="auto"/>
        </w:rPr>
        <w:t>, no approval, consent,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authorization, or other action by, or notice to, or filing with, the Principal Trading Market or any Governmental Authority is necessary or required in connection with the execution, delivery or performance by, or enforcement against, the Company of this Agreement, the other Transaction Documents, or the consummation of the Transactions, other than (i) the filing with the Commission of one or more Registration Statements in accordance with the requirements of the Registration Rights Agreement, and (ii) those that have otherwise been obtained or made on or prior to the Closing Date and which remain in full force and effect on the Closing Date.</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The Company has duly executed and delivered this Agreement and this Agreement constitute the legal, valid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obligations of the Company, enforceable against the Company in accordance with its terms, except as enforceability may be limited by applicable bankruptcy, insolvency, reorganization, moratorium and similar laws of general applicability relating to or affecting creditors’ rights and by general principles of equity.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No Legal Bar</w:t>
      </w:r>
      <w:r>
        <w:rPr>
          <w:rFonts w:ascii="Times New Roman" w:cs="Times New Roman" w:eastAsia="Times New Roman" w:hAnsi="Times New Roman"/>
          <w:sz w:val="18"/>
          <w:szCs w:val="18"/>
          <w:color w:val="auto"/>
        </w:rPr>
        <w:t>. The Company has not previously entered into any agreement which is currently in effect or to which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bound granting any rights to any Person which conflict with the rights to be granted by the Company this Agreement.</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are no legal actions, suits, proceedings, claims or disputes pending or, to the Knowledge of the Company, threatened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at law, in equity, in arbitration or before any Governmental Authority against or affecting the Company; (b) there is no injunction, writ, temporary restraining order, decree or any order or determination of any nature by any arbitrator, court or other Governmental Authority purporting to enjoin or restrain the execution, delivery or performance of this Agreement or which relates to the assets or the business of the Company or its Subsidiaries; and (c) there is no litigation, claim, audit, dispute, review, proceeding or investigation currently pending or, to the Knowledge of the Company, threatened in writing against the Company for any violation or alleged violation of any Requirements of Law, and the Company has not received written notice of any threat of any suit, action, claim, dispute, investigation, review or other proceeding pursuant to or involving any Requirements of Law.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SEC involving the Company or any current or former director or officer of the Company. The SEC has not issued any stop order or other order suspending the effectiveness of any registration statement filed by the Company or any Subsidiary under the Exchange Act or the Securities Act.</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The Company is in compliance with all Requirements of Law, except to the extent such non-compliance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reasonably be expected to have a Material Adverse Effect. There are no actual or pending appeals, audits, inquiries, investigations, proceedings or notices of intent to audit or investigate by any Governmental Authority against the Company.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No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Subsidiary is in default under or in violation of (and no event has occurred that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good title to, or a valid leasehold interest in, all Property used by it in its business and none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Property is subject to any Lien, except for Permitted Liens.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correct and complete list of all real property owned or leased by the Company. Each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relating to such leased real property is in full force and effect and the Company enjoys peaceful and undisturbed possession thereunder. There is no material default on the part of the Company or any event or condition which (with notice or lapse of time, or both) would constitute a default on the part of the Company under any such lease. The Company has good and marketable title in fee simple to the real property identified on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as owned by the Company, free and clear of any Liens other than Permitted Liens. There are no actions, suits or proceedings pending or, to the Knowledge of the Company, threatened in writing against the owned real property or the leased real property used in connection with the business of the Company, at law or in equity, in arbitration or before any Governmental Authority which would in any way affect title to or the right to use such owned real property or leased real property.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ind w:left="6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7"/>
          <w:szCs w:val="17"/>
          <w:b w:val="1"/>
          <w:bCs w:val="1"/>
          <w:u w:val="single" w:color="auto"/>
          <w:color w:val="auto"/>
        </w:rPr>
        <w:t>Taxes</w:t>
      </w:r>
    </w:p>
    <w:p>
      <w:pPr>
        <w:spacing w:after="0" w:line="229" w:lineRule="exact"/>
        <w:rPr>
          <w:sz w:val="20"/>
          <w:szCs w:val="20"/>
          <w:color w:val="auto"/>
        </w:rPr>
      </w:pPr>
    </w:p>
    <w:p>
      <w:pPr>
        <w:jc w:val="both"/>
        <w:ind w:firstLine="1304"/>
        <w:spacing w:after="0" w:line="254" w:lineRule="auto"/>
        <w:tabs>
          <w:tab w:leader="none" w:pos="1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4.11(a)</w:t>
      </w:r>
      <w:r>
        <w:rPr>
          <w:rFonts w:ascii="Times New Roman" w:cs="Times New Roman" w:eastAsia="Times New Roman" w:hAnsi="Times New Roman"/>
          <w:sz w:val="18"/>
          <w:szCs w:val="18"/>
          <w:color w:val="auto"/>
        </w:rPr>
        <w:t>, the Company has timely filed all foreign, United States federal and state income and other Tax Returns that it was required to file, in each case with due regard for any extension of time within which to file such Tax Return. All such Tax returns were correct and complete in all respects. All Taxes due and payable by the Company have been paid, in each case with due regard for any extension of time within which to file such Tax Return, other than any Taxes the amount or validity of which is being actively contested by the Company in good faith and by appropriate proceedings and with respect to which adequate reserves or other appropriate provisions, if any, as shall be required in conformity with GAAP shall have been made or provided therefor. There are no Liens, other than Permitted Liens, on any of the assets of the Company that arose in connection with any failure (or alleged failure) to pay any Tax. No written claim has been made by a Governmental Authority in a jurisdiction where the Company does not file Tax Returns that the Company is or may be subject to taxation by that jurisdiction.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4.11(b)</w:t>
      </w:r>
      <w:r>
        <w:rPr>
          <w:rFonts w:ascii="Times New Roman" w:cs="Times New Roman" w:eastAsia="Times New Roman" w:hAnsi="Times New Roman"/>
          <w:sz w:val="18"/>
          <w:szCs w:val="18"/>
          <w:color w:val="auto"/>
        </w:rPr>
        <w:t>, there is no action, suit, proceeding, investigation, examination, audit, or claim now pending or threatened in writing by any Governmental Authority regarding any Taxes payable or alleged to be payable by the Company. The Company has not entered into an agreement or waiver or been requested to enter into an agreement or waiver extending any statute of limitations relating to the payment or collection of Taxes of such Person and there are no circumstances that would cause the taxable years of the Company or its Subsidiaries not to be subject to the normally applicable statute of limitations.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collected all sales, use, value added and other taxes required to be collected, and have remitted such amounts to the appropriate Governmental Authority or, if applicable, have furnished properly completed exemption certificates for all exempt transactions.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or participated in (i) a “reportable transaction” within the meaning of Section 6707A of the Code or Treasury Regulation Section 1.6011-4 (and all predecessor regulations) as in effect at the relevant time, or (ii) any act, transaction or arrangement which has been reported, or has been required to be reported, under any similar provision of state, local or non-U.S. law or a transaction similar to any such reportable or notifiable transaction.</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u w:val="single" w:color="auto"/>
          <w:color w:val="auto"/>
        </w:rPr>
        <w:t>Financial Condition; SEC Filings; Contingent Obligations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left="1920" w:hanging="616"/>
        <w:spacing w:after="0"/>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furnished the Purchaser with true, correct and complete copies of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jc w:val="both"/>
        <w:ind w:firstLine="8"/>
        <w:spacing w:after="0" w:line="251"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balance sheets of the Company and its Subsidiaries as of December 31, 2024, 2023 and 2022, and the related audited consolidated statements of operations and comprehensive (loss) income, shareholders’ equity and cash flows for each of the Fiscal Years in the three-year period ended December 31, 2024, together with the notes thereto and the reports thereon as of December 31, 2024, certified by the Company’s independent certified public accountants, and (ii) the unaudited consolidated balance sheets of the Company and its Subsidiaries for the Fiscal Quarter ended as of March 31, 2025 and the related unaudited consolidated statements of operations and comprehensive (loss) income and cash flows for such period. The Financial Statements fairly present, in all material respects, the consolidated financial position of the Company, as of the respective dates thereof, and the results of operations and cash flows thereof, as of the respective dates or for the respective periods set forth therein, and are in conformity with the past historical practices of the Company, with GAAP consistently applied during the periods involved. Except as set forth on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as of the dates of the Financial Statements, the Company did not have any known obligation, Indebtedness or liability (whether accrued, absolute, contingent or otherwise, and whether due or to become due), which was not reflected or reserved against in the balance sheets which are part of the Financial Statements as required by GAAP, except for those incurred in the ordinary course of business and which are fully reflected on the books of account of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jc w:val="both"/>
        <w:ind w:firstLine="1304"/>
        <w:spacing w:after="0" w:line="254" w:lineRule="auto"/>
        <w:tabs>
          <w:tab w:leader="none" w:pos="19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w:t>
      </w:r>
      <w:r>
        <w:rPr>
          <w:rFonts w:ascii="Times New Roman" w:cs="Times New Roman" w:eastAsia="Times New Roman" w:hAnsi="Times New Roman"/>
          <w:sz w:val="18"/>
          <w:szCs w:val="18"/>
          <w:u w:val="single" w:color="auto"/>
          <w:color w:val="auto"/>
        </w:rPr>
        <w:t>chedule 5.12</w:t>
      </w:r>
      <w:r>
        <w:rPr>
          <w:rFonts w:ascii="Times New Roman" w:cs="Times New Roman" w:eastAsia="Times New Roman" w:hAnsi="Times New Roman"/>
          <w:sz w:val="18"/>
          <w:szCs w:val="18"/>
          <w:color w:val="auto"/>
        </w:rPr>
        <w:t>, all statements, reports, schedules, forms and other documents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required to have been filed or furnished by the Company with or to the SEC since January 1, 2024 have been so filed or furnished on a timely basis. As of the time it was filed with or furnished to the SEC as of the date of filing: (i) each of the SEC Documents complied as to form in all material respects with the applicable requirements of the Securities Act or the Exchange Act (as the case may be); and (ii) none of the SEC Documents contained any untrue statement of a material fact or omitted to state a material fact required to be stated therein or necessary in order to make the statements therein, in the light of the circumstances under which they were made, not misleading, except to the extent corrected by the filing or furnishing of the applicable amending or superseding SEC Document. Each of the certifications and statements relating to SEC Documents required by: (1) the SEC’s Order dated June 27, 2002 pursuant to Section 21(a)(1) of the Exchange Act (File No. 4-460); (2) Rule 13a-14 or 15d-14 under the Exchange Act; or (3) 18 U.S.C. §1350 (Section 906 of the Sarbanes-Oxley Act) (collectively, the “</w:t>
      </w:r>
      <w:r>
        <w:rPr>
          <w:rFonts w:ascii="Times New Roman" w:cs="Times New Roman" w:eastAsia="Times New Roman" w:hAnsi="Times New Roman"/>
          <w:sz w:val="18"/>
          <w:szCs w:val="18"/>
          <w:b w:val="1"/>
          <w:bCs w:val="1"/>
          <w:color w:val="auto"/>
        </w:rPr>
        <w:t>Certifications</w:t>
      </w:r>
      <w:r>
        <w:rPr>
          <w:rFonts w:ascii="Times New Roman" w:cs="Times New Roman" w:eastAsia="Times New Roman" w:hAnsi="Times New Roman"/>
          <w:sz w:val="18"/>
          <w:szCs w:val="18"/>
          <w:color w:val="auto"/>
        </w:rPr>
        <w:t>”) is accurate and complete, and complied as to form and content with all Applicable Laws in effect at the time such Certification was filed with or furnished to the SEC.</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Absence of Certain Changes or Events</w:t>
      </w:r>
      <w:r>
        <w:rPr>
          <w:rFonts w:ascii="Times New Roman" w:cs="Times New Roman" w:eastAsia="Times New Roman" w:hAnsi="Times New Roman"/>
          <w:sz w:val="18"/>
          <w:szCs w:val="18"/>
          <w:color w:val="auto"/>
        </w:rPr>
        <w:t>. Since September 30, 2025, (i) there has been no development, event, circumstance, or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would reasonably be expected to have, either individually or in the aggregate,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w:t>
      </w:r>
    </w:p>
    <w:p>
      <w:pPr>
        <w:spacing w:after="0" w:line="3" w:lineRule="exact"/>
        <w:rPr>
          <w:sz w:val="20"/>
          <w:szCs w:val="20"/>
          <w:color w:val="auto"/>
        </w:rPr>
      </w:pPr>
    </w:p>
    <w:p>
      <w:pPr>
        <w:jc w:val="both"/>
        <w:ind w:firstLine="8"/>
        <w:spacing w:after="0" w:line="251" w:lineRule="auto"/>
        <w:tabs>
          <w:tab w:leader="none" w:pos="3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To the Knowledge of the Company, there exists no present condition or state of facts or circumstances that could reasonably be expected to have a Material Adverse Effect or prevent the Company or any of its Subsidiaries from conducting its business after the consummation of the Transactions, in substantially the same manner in which such business has heretofore been conducted. The Company does not have pending before the SEC any request for confidential treatment of information. Except for the Transactions,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w:t>
      </w:r>
    </w:p>
    <w:p>
      <w:pPr>
        <w:spacing w:after="0" w:line="18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4.14</w:t>
      </w:r>
      <w:r>
        <w:rPr>
          <w:sz w:val="20"/>
          <w:szCs w:val="20"/>
          <w:color w:val="auto"/>
        </w:rPr>
        <w:tab/>
      </w:r>
      <w:r>
        <w:rPr>
          <w:rFonts w:ascii="Times New Roman" w:cs="Times New Roman" w:eastAsia="Times New Roman" w:hAnsi="Times New Roman"/>
          <w:sz w:val="17"/>
          <w:szCs w:val="17"/>
          <w:b w:val="1"/>
          <w:bCs w:val="1"/>
          <w:u w:val="single" w:color="auto"/>
          <w:color w:val="auto"/>
        </w:rPr>
        <w:t>Environmental Matters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The Company is and has been in compliance in all material respects with all applicable Environmental Laws relating to its Property, assets and operations.</w:t>
      </w:r>
    </w:p>
    <w:p>
      <w:pPr>
        <w:spacing w:after="0" w:line="162" w:lineRule="exact"/>
        <w:rPr>
          <w:sz w:val="20"/>
          <w:szCs w:val="20"/>
          <w:color w:val="auto"/>
        </w:rPr>
      </w:pPr>
    </w:p>
    <w:p>
      <w:pPr>
        <w:jc w:val="both"/>
        <w:ind w:firstLine="1304"/>
        <w:spacing w:after="0" w:line="261" w:lineRule="auto"/>
        <w:tabs>
          <w:tab w:leader="none" w:pos="19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none of the Property, assets or operations of (or used by) the Company is the subject of any federal, state or local investigation evaluating whether (i) any remedial action is needed to respond to a Release (as defined under CERCLA) or threatened Release of any Hazardous Materials into the environment or (ii) any Release or threatened Release of any Hazardous Materials into the environment is in contravention of any Environmental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or claim, nor to the Knowledge of the Company are there any pending, threatened in writing, or anticipated lawsuits or proceedings against it, with respect to violations of an Environmental Law or in connection with the presence of or exposure to any Hazardous Materials in the environment or any Release or threatened Release of any Hazardous Materials into the environment.</w:t>
      </w:r>
    </w:p>
    <w:p>
      <w:pPr>
        <w:spacing w:after="0" w:line="18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has no present or contingent liability in connection with the presence either on or off the Property or assets of, or used by, the Company of any Hazardous Materials in the environment or any Release or threatened Release of any Hazardous Materials into the environment.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Investment Company/Government Regulations</w:t>
      </w:r>
      <w:r>
        <w:rPr>
          <w:rFonts w:ascii="Times New Roman" w:cs="Times New Roman" w:eastAsia="Times New Roman" w:hAnsi="Times New Roman"/>
          <w:sz w:val="18"/>
          <w:szCs w:val="18"/>
          <w:color w:val="auto"/>
        </w:rPr>
        <w:t>. The Company is not an “investment company” within the meaning of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Act of 1940, as amended. The Company is not subject to regulation under the Public Utility Holding Company Act of 1935, as amended, the Federal Power Act, the Interstate Commerce Act, or any federal or state statute or regulation limiting its ability to incur Indebtedness.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4.16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the Company does not (a) have any Subsidiaries or (b) own of record or beneficially,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any (i) Capital Stock issued by any other Person or (ii) equity, voting or participating interest in any joint venture or other enterprise.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4.17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Closing Date, after giving effect to the transactions contemplated hereby, the capitalization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(including the maximum amount of diluted shares) is as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lists all warrants, options, and other securities convertible or exercisable into shares of Capital Stock of the Company and lists the exercise or strike price applicable to such warrant, option or security. All of the issued and outstanding Capital Stock of the Company has been, and Capital Stock of the Company issuable upon the exercise of outstanding securities when issued will be, duly authorized and validly issued and are fully paid and nonassessable. All outstanding Capital Stock of the Company’s Subsidiaries are 100% owned by the Company or one of its Subsidiaries free and clear of all Liens other than Permitted Liens. The issuance of the foregoing Capital Stock is not and has not been subject to any rights of participation or preemptive rights in favor of any Person other than such rights that have been waived or complied with, and will not result in the issuance of any additional Capital Stock of the Company or the triggering of any anti-dilution or similar rights contained in any options warrants, debentures or other securities or agreements of the Company or any of its Subsidiaries. On the Closing Date, except as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there are no outstanding securities convertible into or exchangeable for Capital Stock of the Company or any of its Subsidiaries or options, warrants or other rights to purchase or subscribe for Capital Stock of the Company or any of its Subsidiaries, or contracts, commitments, agreements, understandings or arrangements of any kind to which the Company or any of its Subsidiaries is a party relating to the issuance of any Capital Stock of the Company or any of its Subsidiaries, or any such convertible or exchangeable securities or any such options, warrants or rights. On the Closing Date, except as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neither the Company nor any of its Subsidiaries has any obligation, whether mandatory or at the option of any other Person, at any time to redeem or repurchase any Capital Stock of the Company or any of its Subsidiaries, pursuant to the terms of their respective Charter Documents or otherwise. On the Closing Date, except as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neither the Company nor any of its Subsidiaries maintains nor has any obligations under any stock option plan or other equity compensation related plans or agreements. No issued and outstanding shares of the Company’s Capital Stock are subject to a right of first refusal or condition of forfeiture in favor of the Company, and no shares of the Capital Stock of the Company are subject to vesting restrictions. Since January 1, 2023, except for the cash dividends paid by the Company to holders of its Common Stock on May 31, 2023 and April 10, 2024 and the Series A Preferred Stock dividend paid by the Company to holders of its Common Stock on July 11, 2025, the Company has not declared or paid, or become responsible to declare or pay, and the Company is not responsible for or has any obligation to declare or pay, a dividend or other distribution on its securities or otherwise combined, split, recapitalized or taken similar actions with respect to its outstanding Capital Stock. There are no voting trusts, proxies or other contracts or understandings to which the Company is a party or is bound with respect to the voting of any shares of the Company’s Capital Stock, the acquisition (including rights of co-sale, first refusal, antidilution or pre-emptive rights), disposition, registration of securities of the Company, or other rights of securityholders, or obligations of the Company, with respect to the securities of the Company, other than registration rights under warrants set forth on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All securities of the Company and its Subsidiaries (including all shares of the Company’s Capital Stock, securities, options and warrants to purchase shares of the Company’s Capital Stock (both outstanding as well as those that are no longer outstanding)), have been and were issued and granted pursuant to an exception from the Securities Act and otherwise in compliance, in all material respects, with all securities and other Applicable Laws, in compliance with the fiduciary obligations of the Board, and in compliance with all requirements of applicable contracts affecting, applicable to or relating to, such issuances.</w:t>
      </w:r>
    </w:p>
    <w:p>
      <w:pPr>
        <w:spacing w:after="0" w:line="20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4.18</w:t>
      </w:r>
      <w:r>
        <w:rPr>
          <w:sz w:val="20"/>
          <w:szCs w:val="20"/>
          <w:color w:val="auto"/>
        </w:rPr>
        <w:tab/>
      </w:r>
      <w:r>
        <w:rPr>
          <w:rFonts w:ascii="Times New Roman" w:cs="Times New Roman" w:eastAsia="Times New Roman" w:hAnsi="Times New Roman"/>
          <w:sz w:val="17"/>
          <w:szCs w:val="17"/>
          <w:b w:val="1"/>
          <w:bCs w:val="1"/>
          <w:u w:val="single" w:color="auto"/>
          <w:color w:val="auto"/>
        </w:rPr>
        <w:t>Solvency</w:t>
      </w:r>
      <w:r>
        <w:rPr>
          <w:rFonts w:ascii="Times New Roman" w:cs="Times New Roman" w:eastAsia="Times New Roman" w:hAnsi="Times New Roman"/>
          <w:sz w:val="17"/>
          <w:szCs w:val="17"/>
          <w:color w:val="auto"/>
        </w:rPr>
        <w:t>. Company and its Subsidiaries, on a consolidated basis, will be Solvent, after taking into account the Transactions.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4.19 </w:t>
      </w:r>
      <w:r>
        <w:rPr>
          <w:rFonts w:ascii="Times New Roman" w:cs="Times New Roman" w:eastAsia="Times New Roman" w:hAnsi="Times New Roman"/>
          <w:sz w:val="18"/>
          <w:szCs w:val="18"/>
          <w:b w:val="1"/>
          <w:bCs w:val="1"/>
          <w:u w:val="single" w:color="auto"/>
          <w:color w:val="auto"/>
        </w:rPr>
        <w:t>Licenses and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holds all material Licenses that are required by any Governmental Authority to permit 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and operate the Company’s business as now conducted, and all such Licenses are valid and in full force and effect and will remain in full force and effect upon consummation of the transactions contemplated by this Agreement or any other Transaction Document. The Company is in compliance in all material respects with all such Licenses. The Company is not a party to and, to the Knowledge of the Company, there is not, any investigation, notice of apparent liability, violation, forfeiture or other order or complaint issued by or before any Governmental Authority or any other proceedings which could in any manner threaten or adversely affect the validity or continued effectiveness of such material Licenses of the Company or give rise to any order of forfeiture. There is no pending threat of cancellation, loss, termination, modification, or nonrenewal of any such Licenses of the Company. The Company has no reason to believe that such Licenses will not be renewed in the ordinary course. The Company has filed in a timely manner all material reports, applications, documents, instruments, and information required to be filed pursuant to applicable rules and regulations or requests of every regulatory body having jurisdiction over any of its Licenses.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4.20 </w:t>
      </w:r>
      <w:r>
        <w:rPr>
          <w:rFonts w:ascii="Times New Roman" w:cs="Times New Roman" w:eastAsia="Times New Roman" w:hAnsi="Times New Roman"/>
          <w:sz w:val="18"/>
          <w:szCs w:val="18"/>
          <w:b w:val="1"/>
          <w:bCs w:val="1"/>
          <w:u w:val="single" w:color="auto"/>
          <w:color w:val="auto"/>
        </w:rPr>
        <w:t>Change of Control and Similar Payments</w:t>
      </w:r>
      <w:r>
        <w:rPr>
          <w:rFonts w:ascii="Times New Roman" w:cs="Times New Roman" w:eastAsia="Times New Roman" w:hAnsi="Times New Roman"/>
          <w:sz w:val="18"/>
          <w:szCs w:val="18"/>
          <w:color w:val="auto"/>
        </w:rPr>
        <w:t>. Except as disclosed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neither the execution, delivery and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of this Agreement, nor the consummation of the transactions contemplated hereby shall require any payment by the Company, in cash or kind, under any other agreement, plan, policy, commitment or other arrangement. There are no agreements, plans, policies, commitments or other arrangements with respect to any compensation, benefits or consideration which will be materially increased, or the vesting of benefits of which will be materially accelerated, as a result of this Agreement or any other Transaction Document or the occurrence of any of the transactions contemplated hereby or thereby.</w:t>
      </w:r>
    </w:p>
    <w:p>
      <w:pPr>
        <w:spacing w:after="0" w:line="39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7"/>
          <w:szCs w:val="17"/>
          <w:b w:val="1"/>
          <w:bCs w:val="1"/>
          <w:u w:val="single" w:color="auto"/>
          <w:color w:val="auto"/>
        </w:rPr>
        <w:t>OFAC; Anti-Terrorism; Patriot Act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56" w:lineRule="auto"/>
        <w:tabs>
          <w:tab w:leader="none" w:pos="19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any applicable Requirements of Law relating to terrorism, sanctions or money laundering (the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including the United States Executive Order No. 13224 on Terrorist Financing (the “</w:t>
      </w:r>
      <w:r>
        <w:rPr>
          <w:rFonts w:ascii="Times New Roman" w:cs="Times New Roman" w:eastAsia="Times New Roman" w:hAnsi="Times New Roman"/>
          <w:sz w:val="18"/>
          <w:szCs w:val="18"/>
          <w:b w:val="1"/>
          <w:bCs w:val="1"/>
          <w:color w:val="auto"/>
        </w:rPr>
        <w:t>Anti-Terrorism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and the Patriot Act. No part of the Offering Proceeds will be used, directly or indirectly, for any payments to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any other Anti-Terrorism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72" w:lineRule="auto"/>
        <w:tabs>
          <w:tab w:leader="none" w:pos="194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(and, to the Knowledge of the Company, no joint venture or Affiliate thereof) (i) is listed in the annex to, or is otherwise subject to the provisions of, the Anti-Terrorism Order or Anti-Terrorism Laws, (ii) is owned or controlled by, or acting for or on behalf of, any person listed in the annex to, or is otherwise subject to the provisions of, the Anti-Terrorism Order or Anti-Terrorism Laws or</w:t>
      </w:r>
    </w:p>
    <w:p>
      <w:pPr>
        <w:spacing w:after="0" w:line="1"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threatens or conspires to commit or supports “terrorism” as defined in the Anti-Terrorism Order.</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4.22 </w:t>
      </w:r>
      <w:r>
        <w:rPr>
          <w:rFonts w:ascii="Times New Roman" w:cs="Times New Roman" w:eastAsia="Times New Roman" w:hAnsi="Times New Roman"/>
          <w:sz w:val="18"/>
          <w:szCs w:val="18"/>
          <w:b w:val="1"/>
          <w:bCs w:val="1"/>
          <w:u w:val="single" w:color="auto"/>
          <w:color w:val="auto"/>
        </w:rPr>
        <w:t>Internal Controls.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maintains a system of internal control over financial reporting. Such internal controls over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(a) provide reasonable assurance regarding the reliability of financial reporting and the preparation of financial statements for external purposes in accordance with GAAP and (b) as to Company are designed to ensure that all material information concerning Company and its Subsidiaries required to be disclosed by Company in the reports that it is required to file, submit or furnish under the Exchange Act is recorded, processed, summarized and reported on a timely basis to the individuals responsible for the preparation of such reports.</w:t>
      </w:r>
    </w:p>
    <w:p>
      <w:pPr>
        <w:spacing w:after="0" w:line="179"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4.23</w:t>
      </w:r>
      <w:r>
        <w:rPr>
          <w:sz w:val="20"/>
          <w:szCs w:val="20"/>
          <w:color w:val="auto"/>
        </w:rPr>
        <w:tab/>
      </w:r>
      <w:r>
        <w:rPr>
          <w:rFonts w:ascii="Times New Roman" w:cs="Times New Roman" w:eastAsia="Times New Roman" w:hAnsi="Times New Roman"/>
          <w:sz w:val="17"/>
          <w:szCs w:val="17"/>
          <w:b w:val="1"/>
          <w:bCs w:val="1"/>
          <w:u w:val="single" w:color="auto"/>
          <w:color w:val="auto"/>
        </w:rPr>
        <w:t>Accounts and Notes Receivable; Accounts and Notes Payable.</w:t>
      </w:r>
    </w:p>
    <w:p>
      <w:pPr>
        <w:spacing w:after="0" w:line="229" w:lineRule="exact"/>
        <w:rPr>
          <w:sz w:val="20"/>
          <w:szCs w:val="20"/>
          <w:color w:val="auto"/>
        </w:rPr>
      </w:pPr>
    </w:p>
    <w:p>
      <w:pPr>
        <w:jc w:val="both"/>
        <w:ind w:firstLine="1304"/>
        <w:spacing w:after="0" w:line="261" w:lineRule="auto"/>
        <w:tabs>
          <w:tab w:leader="none" w:pos="19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4.23(a)</w:t>
      </w:r>
      <w:r>
        <w:rPr>
          <w:rFonts w:ascii="Times New Roman" w:cs="Times New Roman" w:eastAsia="Times New Roman" w:hAnsi="Times New Roman"/>
          <w:sz w:val="18"/>
          <w:szCs w:val="18"/>
          <w:color w:val="auto"/>
        </w:rPr>
        <w:t>, all the accounts receivable and notes receivable owing to the Company or any of its Subsidiaries as of the date hereof constitute valid and enforceable claims (without any previously exercised rights of set off or compromise) arising from bona fide transactions in the ordinary course of business, consistent with past practice, and, to the Knowledge of the Company, there are no known or, to the Knowledge of the Company, asserted claims, refusals to pay or other rights of set-off against any thereof.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payable and notes payable by the Company or any of its Subsidiaries to third parties as of the date hereof arise from bona fide transactions in the ordinary course of business, consistent with past practice.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4.24 </w:t>
      </w:r>
      <w:r>
        <w:rPr>
          <w:rFonts w:ascii="Times New Roman" w:cs="Times New Roman" w:eastAsia="Times New Roman" w:hAnsi="Times New Roman"/>
          <w:sz w:val="18"/>
          <w:szCs w:val="18"/>
          <w:b w:val="1"/>
          <w:bCs w:val="1"/>
          <w:u w:val="single" w:color="auto"/>
          <w:color w:val="auto"/>
        </w:rPr>
        <w:t>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Inventory is (i) of good and merchantable quality (except for obsolete or discontinued items of Inventory which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adequately reserved for in accordance with GAAP, consistently applied) and (ii) adequate for the conduct of the business of the Company in the ordinary course as currently conducted.</w:t>
      </w:r>
    </w:p>
    <w:p>
      <w:pPr>
        <w:spacing w:after="0" w:line="15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4.25 </w:t>
      </w:r>
      <w:r>
        <w:rPr>
          <w:rFonts w:ascii="Times New Roman" w:cs="Times New Roman" w:eastAsia="Times New Roman" w:hAnsi="Times New Roman"/>
          <w:sz w:val="18"/>
          <w:szCs w:val="18"/>
          <w:b w:val="1"/>
          <w:bCs w:val="1"/>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in accordance with the terms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will be duly and validly issued, fully paid and nonassessable, free and clear of all Liens imposed by the Company. The Warrant Shares, when issued in accordance with the terms of the Warrant,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4.26 </w:t>
      </w:r>
      <w:r>
        <w:rPr>
          <w:rFonts w:ascii="Times New Roman" w:cs="Times New Roman" w:eastAsia="Times New Roman" w:hAnsi="Times New Roman"/>
          <w:sz w:val="18"/>
          <w:szCs w:val="18"/>
          <w:b w:val="1"/>
          <w:bCs w:val="1"/>
          <w:u w:val="single" w:color="auto"/>
          <w:color w:val="auto"/>
        </w:rPr>
        <w:t>Labor Relations.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labor dispute exists or, to the knowledge of the Company, is imminent with respect to any of the employees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4.27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 applications, service marks, trade names, trade secrets, inventions, copyrights, licenses and other intellectual property rights and similar rights necessary or required for use in connection with their respective businesses as described in the SEC Documents and which the failure to so have could have a Material Adverse Effect (collectively, the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Documents, a written notice of a claim or otherwise has any knowledge that the Intellectual Property Rights violate or infringe upon the rights of any Person, except as would not reasonably be expected to have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4.28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such amounts as are prudent and customary in the businesses in which the Company and the Subsidiaries are engaged, including, but not limited to, directors and officers insurance coverage at least equal to $3,000,000.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4.29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4.30</w:t>
      </w:r>
      <w:r>
        <w:rPr>
          <w:rFonts w:ascii="Times New Roman" w:cs="Times New Roman" w:eastAsia="Times New Roman" w:hAnsi="Times New Roman"/>
          <w:sz w:val="18"/>
          <w:szCs w:val="18"/>
          <w:color w:val="auto"/>
        </w:rPr>
        <w:t>, no brokerage or finder’s fees or commissions are or will be payable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Subsidiaries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4.30 </w:t>
      </w:r>
      <w:r>
        <w:rPr>
          <w:rFonts w:ascii="Times New Roman" w:cs="Times New Roman" w:eastAsia="Times New Roman" w:hAnsi="Times New Roman"/>
          <w:sz w:val="18"/>
          <w:szCs w:val="18"/>
          <w:b w:val="1"/>
          <w:bCs w:val="1"/>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Article 5, no registration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is required for the offer and sale of the Shares and Warrant by the Company as contemplated hereby. The issuance and sale of the Shares and Warrant hereunder does not contravene the rules and regulations of the Principal Trading Market.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4.31 </w:t>
      </w:r>
      <w:r>
        <w:rPr>
          <w:rFonts w:ascii="Times New Roman" w:cs="Times New Roman" w:eastAsia="Times New Roman" w:hAnsi="Times New Roman"/>
          <w:sz w:val="18"/>
          <w:szCs w:val="18"/>
          <w:b w:val="1"/>
          <w:bCs w:val="1"/>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Documents, the Company has not, in the 12 months preceding the date hereof, received notice from any trading market on which the Common Stock is or has been listed or quoted to the effect that the Company is not in compliance with the listing or maintenance requirements of such Principal Trading Market. Except as set forth on </w:t>
      </w:r>
      <w:r>
        <w:rPr>
          <w:rFonts w:ascii="Times New Roman" w:cs="Times New Roman" w:eastAsia="Times New Roman" w:hAnsi="Times New Roman"/>
          <w:sz w:val="18"/>
          <w:szCs w:val="18"/>
          <w:u w:val="single" w:color="auto"/>
          <w:color w:val="auto"/>
        </w:rPr>
        <w:t>Schedule 4.32</w:t>
      </w:r>
      <w:r>
        <w:rPr>
          <w:rFonts w:ascii="Times New Roman" w:cs="Times New Roman" w:eastAsia="Times New Roman" w:hAnsi="Times New Roman"/>
          <w:sz w:val="18"/>
          <w:szCs w:val="18"/>
          <w:color w:val="auto"/>
        </w:rPr>
        <w: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4.32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Article 5, neither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nor any of its Affiliates, nor any Person acting on its or their behalf has, directly or indirectly, made any offers or sales of any security or solicited any offers to buy any security, under circumstances that would cause this offering of the Shares and Warrant to be integrated with prior offerings by the Company for purposes of (i) the Securities Act which would require the registration of the Shares, Warrant or Warrant Shares under the Securities Act, or (ii) any applicable shareholder approval provisions of the Principal Trading Market.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4.33 </w:t>
      </w:r>
      <w:r>
        <w:rPr>
          <w:rFonts w:ascii="Times New Roman" w:cs="Times New Roman" w:eastAsia="Times New Roman" w:hAnsi="Times New Roman"/>
          <w:sz w:val="18"/>
          <w:szCs w:val="18"/>
          <w:b w:val="1"/>
          <w:bCs w:val="1"/>
          <w:u w:val="single" w:color="auto"/>
          <w:color w:val="auto"/>
        </w:rPr>
        <w:t>No Disqualification Events</w:t>
      </w:r>
      <w:r>
        <w:rPr>
          <w:rFonts w:ascii="Times New Roman" w:cs="Times New Roman" w:eastAsia="Times New Roman" w:hAnsi="Times New Roman"/>
          <w:sz w:val="18"/>
          <w:szCs w:val="18"/>
          <w:color w:val="auto"/>
        </w:rPr>
        <w:t>. None of the Company, any of its predecessors, any affiliated issuer, any director, executive officer,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b w:val="1"/>
          <w:bCs w:val="1"/>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b w:val="1"/>
          <w:bCs w:val="1"/>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Purchaser hereby represents and warrants as follows: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Authorization; No Contravention</w:t>
      </w:r>
      <w:r>
        <w:rPr>
          <w:rFonts w:ascii="Times New Roman" w:cs="Times New Roman" w:eastAsia="Times New Roman" w:hAnsi="Times New Roman"/>
          <w:sz w:val="18"/>
          <w:szCs w:val="18"/>
          <w:color w:val="auto"/>
        </w:rPr>
        <w:t>. The execution, delivery and performance by the Purchaser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Transactions: (a) is within its power and authority and has been duly authorized by all necessary action; (b) does not contravene the terms of its Charter Documents or any amendment thereof, and (c) will not, in any material respect, violate, conflict with or result in any breach or contravention of any of its Contractual Obligations, or any order or decree directly relating to it.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has been duly executed and delivered by the Purchaser and this Agreement constitutes its legal,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binding obligation, enforceable against it in accordance with its terms, except as enforceability may be limited by applicable bankruptcy, insolvency, or similar laws affecting the enforcement of creditors’ rights generally or by equitable principles relating to enforceability.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No Legal Bar</w:t>
      </w:r>
      <w:r>
        <w:rPr>
          <w:rFonts w:ascii="Times New Roman" w:cs="Times New Roman" w:eastAsia="Times New Roman" w:hAnsi="Times New Roman"/>
          <w:sz w:val="18"/>
          <w:szCs w:val="18"/>
          <w:color w:val="auto"/>
        </w:rPr>
        <w:t>. The execution, delivery, and performance of this Agreement by the Purchaser will not violate in any material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Requirement of Law applicable to it in any material respect, assuming the accuracy and correctness of the representations and warranties made by the Company to the Purchaser in this Agreement.</w:t>
      </w:r>
    </w:p>
    <w:p>
      <w:pPr>
        <w:spacing w:after="0" w:line="171"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Securities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1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Warrant will be acquired by the Purchaser hereunder for its own account, not as a nominee or agent, and not with the view to, or for resale in connection with, any distribution thereof in any transaction which would be in violation of state or federal securities laws.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2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sophisticated purchaser with respect to the purchase of the Shares and is an “accredited investor” as defined in Rule 501(a) of Regulation D promulgated under the Securities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(i) the Shares, Warrant and Warrant Shares constitute “restricted securities” under the Securities Act, (ii) the offer and sale of the Shares and Warrant hereunder is not registered under the Securities Act or under any “blue sky” laws in reliance upon certain exemptions from such registration and that the Company is relying on the representations made herein by the Purchaser in its determination of whether such specific exemptions are available, and (iii) the Shares, Warrant and Warrant Shares may not be transferred except pursuant to an effective registration statement under the Securities Act, or under an exemption from such registration available under the Securities Act and under applicable “blue sky” laws or in a transaction exempt from such registration. The Purchaser is prepared and is able to bear the economic risk of an investment in the Shares and Warrant for an indefinite period of time. The Purchaser understands that any certificate representing the Shares or Warrant Shares may bear, in the Company’s discretion, a restrictive legend substantially similar to the following:</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both"/>
        <w:ind w:left="660" w:right="6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“THESE SECURITIES HAVE NOT BEEN REGISTERED WITH THE SECURITIES AND EXCHANGE COMMISSION OR THE SECURITIES COMMISSION OF ANY STATE IN RELIANCE UPON </w:t>
      </w:r>
      <w:r>
        <w:rPr>
          <w:rFonts w:ascii="Times New Roman" w:cs="Times New Roman" w:eastAsia="Times New Roman" w:hAnsi="Times New Roman"/>
          <w:sz w:val="18"/>
          <w:szCs w:val="18"/>
          <w:color w:val="auto"/>
        </w:rPr>
        <w:t>AN</w:t>
      </w:r>
      <w:r>
        <w:rPr>
          <w:rFonts w:ascii="Times New Roman" w:cs="Times New Roman" w:eastAsia="Times New Roman" w:hAnsi="Times New Roman"/>
          <w:sz w:val="18"/>
          <w:szCs w:val="18"/>
          <w:i w:val="1"/>
          <w:iCs w:val="1"/>
          <w:color w:val="auto"/>
        </w:rPr>
        <w:t xml:space="preserve">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OR BLUE SKY LAWS. NOTWITHSTANDING THE FOREGOING, THESE SECURITIES MAY BE PLEDGED IN CONNECTION WITH A BONA FIDE MARGIN ACCOUNT OR OTHER LOAN OR FINANCING ARRANGEMENT SECURED BY THESE SECURITIES.”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certificates evidencing the Shares and Warrant Shares shall not contain any legend (including the legend set forth in this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(i) following a sale or transfer of such Shares or Warrant Shares pursuant to the effective Registration Statement, or (ii) following a sale or transfer of such Shares or Warrant Shares pursuant to Rule 144 (assuming the transferee is not an Affiliate of the Company).</w:t>
      </w:r>
    </w:p>
    <w:p>
      <w:pPr>
        <w:spacing w:after="0" w:line="176" w:lineRule="exact"/>
        <w:rPr>
          <w:sz w:val="20"/>
          <w:szCs w:val="20"/>
          <w:color w:val="auto"/>
        </w:rPr>
      </w:pPr>
    </w:p>
    <w:p>
      <w:pPr>
        <w:jc w:val="both"/>
        <w:ind w:firstLine="1304"/>
        <w:spacing w:after="0" w:line="254" w:lineRule="auto"/>
        <w:tabs>
          <w:tab w:leader="none" w:pos="1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 has been furnished with or has had access to all material books and records of the Company and all of its material contracts, agreements and documents and (ii) has had an opportunity to ask questions of, and receive answers from, management and representatives of the Company and which representatives have made available to them such information regarding the Company and its Subsidiaries and their current respective businesses, operations, assets, finances, financial results, financial condition and prospects in order to make a fully informed decision to purchase and acquire the Shares. The Purchaser has generally such knowledge and experience in business and financial matters, as to enable it to understand and evaluate the risks of an investment in the Shares and Warrant and form an investment decision with respect thereto. The Purchaser acknowledges that the Company has not given the Purchaser any investment advice, credit information or opinion as to whether the purchase of the Shares and Warrant is prudent.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9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however, does not limit or modify the representations and warranties set forth in Article 4 of this Agreement or in any other Transaction Document or the right of the Purchaser to rely thereon.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covenants and agrees with the Purchaser as follows: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u w:val="single" w:color="auto"/>
          <w:color w:val="auto"/>
        </w:rPr>
        <w:t>Use of Offering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9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deposit the proceeds of the sale of the Shares and Warrant hereunder (the “</w:t>
      </w:r>
      <w:r>
        <w:rPr>
          <w:rFonts w:ascii="Times New Roman" w:cs="Times New Roman" w:eastAsia="Times New Roman" w:hAnsi="Times New Roman"/>
          <w:sz w:val="18"/>
          <w:szCs w:val="18"/>
          <w:b w:val="1"/>
          <w:bCs w:val="1"/>
          <w:color w:val="auto"/>
        </w:rPr>
        <w:t>Offering Proceeds</w:t>
      </w:r>
      <w:r>
        <w:rPr>
          <w:rFonts w:ascii="Times New Roman" w:cs="Times New Roman" w:eastAsia="Times New Roman" w:hAnsi="Times New Roman"/>
          <w:sz w:val="18"/>
          <w:szCs w:val="18"/>
          <w:color w:val="auto"/>
        </w:rPr>
        <w:t xml:space="preserve">”) into a segregated bank account (i) that is separate from the Company’s regular operating account, and (ii) to which the Purchaser has viewing access. $500,000 of the Offering Proceeds shall be immediately available to the Company at the Closing for disbursement in accordance with the disbursement schedule set forth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Disbursement Schedule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firstLine="1304"/>
        <w:spacing w:after="0" w:line="282" w:lineRule="auto"/>
        <w:tabs>
          <w:tab w:leader="none" w:pos="19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remaining balance of $1,250,000 of the Offering Proceeds shall be available for disbursement in accordance with the Disbursement Schedule set forth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upon the satisfaction of the following conditions:</w:t>
      </w:r>
    </w:p>
    <w:p>
      <w:pPr>
        <w:spacing w:after="0" w:line="157" w:lineRule="exact"/>
        <w:rPr>
          <w:rFonts w:ascii="Times New Roman" w:cs="Times New Roman" w:eastAsia="Times New Roman" w:hAnsi="Times New Roman"/>
          <w:sz w:val="18"/>
          <w:szCs w:val="18"/>
          <w:color w:val="auto"/>
        </w:rPr>
      </w:pPr>
    </w:p>
    <w:p>
      <w:pPr>
        <w:ind w:firstLine="1952"/>
        <w:spacing w:after="0" w:line="271" w:lineRule="auto"/>
        <w:tabs>
          <w:tab w:leader="none" w:pos="253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conversion from a Delaware corporation into a Nevada corporation (the “</w:t>
      </w:r>
      <w:r>
        <w:rPr>
          <w:rFonts w:ascii="Times New Roman" w:cs="Times New Roman" w:eastAsia="Times New Roman" w:hAnsi="Times New Roman"/>
          <w:sz w:val="18"/>
          <w:szCs w:val="18"/>
          <w:b w:val="1"/>
          <w:bCs w:val="1"/>
          <w:color w:val="auto"/>
        </w:rPr>
        <w:t>Nevada Conversion</w:t>
      </w:r>
      <w:r>
        <w:rPr>
          <w:rFonts w:ascii="Times New Roman" w:cs="Times New Roman" w:eastAsia="Times New Roman" w:hAnsi="Times New Roman"/>
          <w:sz w:val="18"/>
          <w:szCs w:val="18"/>
          <w:color w:val="auto"/>
        </w:rPr>
        <w:t>”) shall have been duly completed. As evidence of such Nevada Conversion, the Company shall deliver:</w:t>
      </w:r>
    </w:p>
    <w:p>
      <w:pPr>
        <w:spacing w:after="0" w:line="171" w:lineRule="exact"/>
        <w:rPr>
          <w:rFonts w:ascii="Times New Roman" w:cs="Times New Roman" w:eastAsia="Times New Roman" w:hAnsi="Times New Roman"/>
          <w:sz w:val="18"/>
          <w:szCs w:val="18"/>
          <w:color w:val="auto"/>
        </w:rPr>
      </w:pPr>
    </w:p>
    <w:p>
      <w:pPr>
        <w:ind w:left="2600"/>
        <w:spacing w:after="0" w:line="282" w:lineRule="auto"/>
        <w:tabs>
          <w:tab w:leader="none" w:pos="3273"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stamped and filed Nevada charter documents for the converted entity, including the Nevada Articles of Incorporation and the applicable Articles of Conversion (and any related filings),</w:t>
      </w:r>
    </w:p>
    <w:p>
      <w:pPr>
        <w:spacing w:after="0" w:line="161"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issued by the Nevada Secretary of State, and</w:t>
      </w:r>
    </w:p>
    <w:p>
      <w:pPr>
        <w:spacing w:after="0" w:line="225"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all requisite board and shareholder approvals authorizing the Nevada Conversion.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5" w:name="page36"/>
    <w:bookmarkEnd w:id="35"/>
    <w:p>
      <w:pPr>
        <w:ind w:firstLine="1952"/>
        <w:spacing w:after="0" w:line="239" w:lineRule="exact"/>
        <w:tabs>
          <w:tab w:leader="none" w:pos="257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completed the transfer of any remaining operations, related assets (including inventory), and liabilities (including warranty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servicing obligations) to one or more of its Subsidiaries. The Company shall deliver to the Purchaser:</w:t>
      </w:r>
    </w:p>
    <w:p>
      <w:pPr>
        <w:spacing w:after="0" w:line="170" w:lineRule="exact"/>
        <w:rPr>
          <w:rFonts w:ascii="Times New Roman" w:cs="Times New Roman" w:eastAsia="Times New Roman" w:hAnsi="Times New Roman"/>
          <w:sz w:val="18"/>
          <w:szCs w:val="18"/>
          <w:color w:val="auto"/>
        </w:rPr>
      </w:pPr>
    </w:p>
    <w:p>
      <w:pPr>
        <w:ind w:left="2600"/>
        <w:spacing w:after="0" w:line="282" w:lineRule="auto"/>
        <w:tabs>
          <w:tab w:leader="none" w:pos="332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transfer documentation (which may be in the form of one or more omnibus bills of sale, assignments, assumptions, and related instruments) effecting the transfers, and</w:t>
      </w:r>
    </w:p>
    <w:p>
      <w:pPr>
        <w:spacing w:after="0" w:line="161" w:lineRule="exact"/>
        <w:rPr>
          <w:rFonts w:ascii="Times New Roman" w:cs="Times New Roman" w:eastAsia="Times New Roman" w:hAnsi="Times New Roman"/>
          <w:sz w:val="18"/>
          <w:szCs w:val="18"/>
          <w:color w:val="auto"/>
        </w:rPr>
      </w:pPr>
    </w:p>
    <w:p>
      <w:pPr>
        <w:ind w:left="3260" w:hanging="660"/>
        <w:spacing w:after="0"/>
        <w:tabs>
          <w:tab w:leader="none" w:pos="32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schedule of the assets and liabilities transferred (including a current inventory listing).</w:t>
      </w:r>
    </w:p>
    <w:p>
      <w:pPr>
        <w:spacing w:after="0" w:line="225" w:lineRule="exact"/>
        <w:rPr>
          <w:rFonts w:ascii="Times New Roman" w:cs="Times New Roman" w:eastAsia="Times New Roman" w:hAnsi="Times New Roman"/>
          <w:sz w:val="18"/>
          <w:szCs w:val="18"/>
          <w:color w:val="auto"/>
        </w:rPr>
      </w:pPr>
    </w:p>
    <w:p>
      <w:pPr>
        <w:jc w:val="both"/>
        <w:ind w:firstLine="1304"/>
        <w:spacing w:after="0" w:line="220" w:lineRule="exact"/>
        <w:tabs>
          <w:tab w:leader="none" w:pos="19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implemented cash controls providing the Purchaser with (i) visibility into one or more designated bank accounts and (ii) either disbursement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or budget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disbursement controls, in each case as further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and shall deliver reasonable evidence thereof. The Company shall provide written notice to the Purchaser prior to any use or disbursement of the Offering Proceeds in accordance with the Disbursement Schedule. Any use of the Offering Proceeds that is not in accordance with the Disbursement Schedule must be approved in advance by the Purchaser in writing.</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u w:val="single" w:color="auto"/>
          <w:color w:val="auto"/>
        </w:rPr>
        <w:t>Cash Controls</w:t>
      </w:r>
      <w:r>
        <w:rPr>
          <w:rFonts w:ascii="Times New Roman" w:cs="Times New Roman" w:eastAsia="Times New Roman" w:hAnsi="Times New Roman"/>
          <w:sz w:val="17"/>
          <w:szCs w:val="17"/>
          <w:color w:val="auto"/>
        </w:rPr>
        <w:t>. Consistent with</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 the Company shall:</w:t>
      </w:r>
    </w:p>
    <w:p>
      <w:pPr>
        <w:spacing w:after="0" w:line="229" w:lineRule="exact"/>
        <w:rPr>
          <w:sz w:val="20"/>
          <w:szCs w:val="20"/>
          <w:color w:val="auto"/>
        </w:rPr>
      </w:pPr>
    </w:p>
    <w:p>
      <w:pPr>
        <w:ind w:firstLine="1304"/>
        <w:spacing w:after="0" w:line="282" w:lineRule="auto"/>
        <w:tabs>
          <w:tab w:leader="none" w:pos="1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single designated funding account for all Offering Proceeds with full account viewing access for Purchaser to view balance and transaction statements as may be required by the Purchaser.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one or more (at the sole discretion of the Purchaser), designated bank accounts for corporate disbursements with full account viewing access for Purchaser to view balance and transaction statements as may be required by the Purchaser.</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and all transfers from the funding account only after prior written approval of the Purchaser.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and all disbursements from any bank accounts of the Company subject to Purchaser prior written approval.</w:t>
      </w:r>
    </w:p>
    <w:p>
      <w:pPr>
        <w:spacing w:after="0" w:line="184" w:lineRule="exact"/>
        <w:rPr>
          <w:rFonts w:ascii="Times New Roman" w:cs="Times New Roman" w:eastAsia="Times New Roman" w:hAnsi="Times New Roman"/>
          <w:sz w:val="18"/>
          <w:szCs w:val="18"/>
          <w:color w:val="auto"/>
        </w:rPr>
      </w:pPr>
    </w:p>
    <w:p>
      <w:pPr>
        <w:ind w:firstLine="1304"/>
        <w:spacing w:after="0" w:line="259" w:lineRule="exact"/>
        <w:tabs>
          <w:tab w:leader="none" w:pos="1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only the designated accounts for receipts and disbursements. If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designated accounts remain open, cease using them for disbursements and migrate balances consistent with the agreed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 approach or as otherwise approved by the Purchaser in writing.</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u w:val="single" w:color="auto"/>
          <w:color w:val="auto"/>
        </w:rPr>
        <w:t>Maintenance of Existence; Conduct of Business; Compliance</w:t>
      </w:r>
      <w:r>
        <w:rPr>
          <w:rFonts w:ascii="Times New Roman" w:cs="Times New Roman" w:eastAsia="Times New Roman" w:hAnsi="Times New Roman"/>
          <w:sz w:val="18"/>
          <w:szCs w:val="18"/>
          <w:color w:val="auto"/>
        </w:rPr>
        <w:t>. The Company shall:</w:t>
      </w:r>
    </w:p>
    <w:p>
      <w:pPr>
        <w:spacing w:after="0" w:line="229" w:lineRule="exact"/>
        <w:rPr>
          <w:sz w:val="20"/>
          <w:szCs w:val="20"/>
          <w:color w:val="auto"/>
        </w:rPr>
      </w:pPr>
    </w:p>
    <w:p>
      <w:pPr>
        <w:jc w:val="both"/>
        <w:ind w:firstLine="1304"/>
        <w:spacing w:after="0" w:line="261" w:lineRule="auto"/>
        <w:tabs>
          <w:tab w:leader="none" w:pos="1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Preserve, renew, and maintain in full force and effect its corporate or organizational existence (except as otherwise approved by the Purchaser in writing, including in connection with the Nevada Conversion) and (ii) take all reasonable action to maintain all rights, licenses, permits, consents, privileges, and franchises necessary or desirable in the normal conduct of its business, except, in each case, as otherwise permitted under this Agreement; and</w:t>
      </w:r>
    </w:p>
    <w:p>
      <w:pPr>
        <w:spacing w:after="0" w:line="17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Requirements of Law.</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u w:val="single" w:color="auto"/>
          <w:color w:val="auto"/>
        </w:rPr>
        <w:t>Maintenance of Property; Insurance</w:t>
      </w:r>
      <w:r>
        <w:rPr>
          <w:rFonts w:ascii="Times New Roman" w:cs="Times New Roman" w:eastAsia="Times New Roman" w:hAnsi="Times New Roman"/>
          <w:sz w:val="18"/>
          <w:szCs w:val="18"/>
          <w:color w:val="auto"/>
        </w:rPr>
        <w:t>. The Company shall:</w:t>
      </w:r>
    </w:p>
    <w:p>
      <w:pPr>
        <w:spacing w:after="0" w:line="229" w:lineRule="exact"/>
        <w:rPr>
          <w:sz w:val="20"/>
          <w:szCs w:val="20"/>
          <w:color w:val="auto"/>
        </w:rPr>
      </w:pPr>
    </w:p>
    <w:p>
      <w:pPr>
        <w:ind w:left="1920" w:hanging="616"/>
        <w:spacing w:after="0"/>
        <w:tabs>
          <w:tab w:leader="none" w:pos="1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preserve all of its property useful and necessary in its business in good working order and condition, ordinary wear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tear excepted;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insurance with financially sound and reputable insurance companies that are not Affiliates of the Company, in such amounts and covering such risks as are usually insured against by similar companies engaged in the same or a similar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Access to Facilities</w:t>
      </w:r>
      <w:r>
        <w:rPr>
          <w:rFonts w:ascii="Times New Roman" w:cs="Times New Roman" w:eastAsia="Times New Roman" w:hAnsi="Times New Roman"/>
          <w:sz w:val="18"/>
          <w:szCs w:val="18"/>
          <w:color w:val="auto"/>
        </w:rPr>
        <w:t>. The Purchaser will have access to the facilities and personnel of the Company during normal business hours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at least forty-eight (48) hours advance notice.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u w:val="single" w:color="auto"/>
          <w:color w:val="auto"/>
        </w:rPr>
        <w:t>Taxes and Claims</w:t>
      </w:r>
      <w:r>
        <w:rPr>
          <w:rFonts w:ascii="Times New Roman" w:cs="Times New Roman" w:eastAsia="Times New Roman" w:hAnsi="Times New Roman"/>
          <w:sz w:val="18"/>
          <w:szCs w:val="18"/>
          <w:color w:val="auto"/>
        </w:rPr>
        <w:t>. The Company will:</w:t>
      </w:r>
    </w:p>
    <w:p>
      <w:pPr>
        <w:spacing w:after="0" w:line="229" w:lineRule="exact"/>
        <w:rPr>
          <w:sz w:val="20"/>
          <w:szCs w:val="20"/>
          <w:color w:val="auto"/>
        </w:rPr>
      </w:pPr>
    </w:p>
    <w:p>
      <w:pPr>
        <w:jc w:val="both"/>
        <w:ind w:firstLine="1304"/>
        <w:spacing w:after="0" w:line="256" w:lineRule="auto"/>
        <w:tabs>
          <w:tab w:leader="none" w:pos="19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complete and correct United States federal and state income and applicable and material foreign, state and local Tax Returns required by law, in each case with due regard for any extension of time within which to file such Tax Return, and pay when due all Taxes, except those which are being contested in good faith by appropriate proceedings and with respect to which adequate reserves have been set aside in accordance with GAAP in the Company’s most recent audited financial statements, which deferment of payment is permissible so long as no Lien, other than a Permitted Lien has been entered and the Company’s and its Subsidiaries’ title to, and its/their right to use, its/their Properties are not materially adversely affected thereby;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and perform (i) all obligations under this Agreement or any other Transaction Document, and (ii) except where failure to do so would not reasonably be expected to result in a Default hereunder or have a Material Adverse Effect, all other Indebtedness, obligations and liabilities in accordance with customary trade practices; provided that the Company may contest any item described in clause (ii) above in good faith so long as adequate reserves are maintained with respect thereto in accordance with GAAP in Company’s most recent audited financial statements.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u w:val="single" w:color="auto"/>
          <w:color w:val="auto"/>
        </w:rPr>
        <w:t>Compliance with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6" w:lineRule="auto"/>
        <w:tabs>
          <w:tab w:leader="none" w:pos="19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any and all Requirements of Law to which it may be subject including, without limitation, all Environmental Laws, and obtain any and all Licenses necessary to the ownership of its Property or to the conduct of its businesses, except where the failure to so comply could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or furnish, on a timely basis in accordance with the applicable requirements of the Securities Act or the Exchange Act (as the case may be), all statements (including without limitation, financial statements), reports, schedules, forms and other documents (other than any immaterial Form 3, 4, 5 or 8-K filings or any filings relating solely to benefit plans), required to be filed or furnished with or to the SEC.</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Company will, and will cause each of its Subsidiaries to, take any action reasonably requested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in order to effectuate the purposes and terms contained in this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Shares and Warrant as required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D promulgated under the Securities Act and to provide a copy thereof, promptly upon request of the Purchaser. The Company shall take such action as the Company shall reasonably determine is necessary in order to obtain an exemption for, or to qualify the Shares and Warrant for sale to the Purchaser under applicable securities or “Blue Sky” laws of the states of the United States, and shall provide evidence of such actions promptly upon request of the Purchaser.</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Future Litigation</w:t>
      </w:r>
      <w:r>
        <w:rPr>
          <w:rFonts w:ascii="Times New Roman" w:cs="Times New Roman" w:eastAsia="Times New Roman" w:hAnsi="Times New Roman"/>
          <w:sz w:val="18"/>
          <w:szCs w:val="18"/>
          <w:color w:val="auto"/>
        </w:rPr>
        <w:t>. The Company will notify the Purchaser in writing of any action, suit, proceeding, inquiry or investigation filed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against the Company or its Subsidiaries within three (3) Business Days of the initiation of the same.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 period of six months from the date of this Agreement, the Company shall not, and with respect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any of 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shall not:</w:t>
      </w:r>
    </w:p>
    <w:p>
      <w:pPr>
        <w:spacing w:after="0" w:line="20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Limitation on Debt</w:t>
      </w:r>
      <w:r>
        <w:rPr>
          <w:rFonts w:ascii="Times New Roman" w:cs="Times New Roman" w:eastAsia="Times New Roman" w:hAnsi="Times New Roman"/>
          <w:sz w:val="18"/>
          <w:szCs w:val="18"/>
          <w:color w:val="auto"/>
        </w:rPr>
        <w:t>. Create, incur, assume, permit to exist, or otherwise become liable with respect to any Debt, except Debt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Subsidiaries due to its accounts payable as of the date of this Agreement in the total amount of $10,000.</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Limitation on Liens</w:t>
      </w:r>
      <w:r>
        <w:rPr>
          <w:rFonts w:ascii="Times New Roman" w:cs="Times New Roman" w:eastAsia="Times New Roman" w:hAnsi="Times New Roman"/>
          <w:sz w:val="18"/>
          <w:szCs w:val="18"/>
          <w:color w:val="auto"/>
        </w:rPr>
        <w:t>. Create, incur, assume, or permit to exist any Lien on any property or assets (including Equity Interests of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now owned or hereafter acquired by it or on any income or rights in respect of any thereof.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Mergers; Nature of Business</w:t>
      </w:r>
      <w:r>
        <w:rPr>
          <w:rFonts w:ascii="Times New Roman" w:cs="Times New Roman" w:eastAsia="Times New Roman" w:hAnsi="Times New Roman"/>
          <w:sz w:val="18"/>
          <w:szCs w:val="18"/>
          <w:color w:val="auto"/>
        </w:rPr>
        <w:t>. Merge into or consolidate with any other Person, or permit any other Person to merge into or consolidate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 or liquidate or dissolve, and (i) any Subsidiary of the Company may merge into the Company in a transaction in which the Company is the surviving corporation and (ii) any Subsidiary may liquidate or dissolve if the Company determines in good faith that such liquidation or dissolution is in the best interests of the Company and is not materially disadvantageous to the Purchaser.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Limitation on Investments</w:t>
      </w:r>
      <w:r>
        <w:rPr>
          <w:rFonts w:ascii="Times New Roman" w:cs="Times New Roman" w:eastAsia="Times New Roman" w:hAnsi="Times New Roman"/>
          <w:sz w:val="18"/>
          <w:szCs w:val="18"/>
          <w:color w:val="auto"/>
        </w:rPr>
        <w:t>. Make any advance, loan, extension of credit (by way of guaranty or otherwise), or capital contribution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hold, or acquire any Equity Interests, or other securities of, or any assets constituting a business unit of, or make any other investment in, any Person (all of the foregoing, “Investments”), except:</w:t>
      </w:r>
    </w:p>
    <w:p>
      <w:pPr>
        <w:spacing w:after="0" w:line="175" w:lineRule="exact"/>
        <w:rPr>
          <w:sz w:val="20"/>
          <w:szCs w:val="20"/>
          <w:color w:val="auto"/>
        </w:rPr>
      </w:pPr>
    </w:p>
    <w:p>
      <w:pPr>
        <w:ind w:left="1920" w:hanging="616"/>
        <w:spacing w:after="0"/>
        <w:tabs>
          <w:tab w:leader="none" w:pos="1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equivalents;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Equity Interests of its Subsidiaries existing on the date hereof; and</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or loans to, wholly owned Subsidiaries of the Company in the ordinary course of business and after prior written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Purchaser.</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Limitation on Dispositions</w:t>
      </w:r>
      <w:r>
        <w:rPr>
          <w:rFonts w:ascii="Times New Roman" w:cs="Times New Roman" w:eastAsia="Times New Roman" w:hAnsi="Times New Roman"/>
          <w:sz w:val="18"/>
          <w:szCs w:val="18"/>
          <w:color w:val="auto"/>
        </w:rPr>
        <w:t>. Dispose of any of its property, whether now owned or hereafter acquired, or issue or sell any Equity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Person, except:</w:t>
      </w:r>
    </w:p>
    <w:p>
      <w:pPr>
        <w:spacing w:after="0" w:line="159" w:lineRule="exact"/>
        <w:rPr>
          <w:sz w:val="20"/>
          <w:szCs w:val="20"/>
          <w:color w:val="auto"/>
        </w:rPr>
      </w:pPr>
    </w:p>
    <w:p>
      <w:pPr>
        <w:ind w:left="1920" w:hanging="616"/>
        <w:spacing w:after="0"/>
        <w:tabs>
          <w:tab w:leader="none" w:pos="1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machinery and equipment no longer used or useful in the business of Company in the ordinary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w:t>
      </w:r>
    </w:p>
    <w:p>
      <w:pPr>
        <w:spacing w:after="0" w:line="207" w:lineRule="exact"/>
        <w:rPr>
          <w:sz w:val="20"/>
          <w:szCs w:val="20"/>
          <w:color w:val="auto"/>
        </w:rPr>
      </w:pPr>
    </w:p>
    <w:p>
      <w:pPr>
        <w:ind w:left="1940" w:hanging="636"/>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obsolete or worn-out property/equipment in the ordinary course of business;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inventory in the ordinary course of business;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other property in any fiscal year of the Company, so long as such property, together with all other property disposed of during such fiscal year, shall have a fair market value not exceeding $20,000.</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b w:val="1"/>
          <w:bCs w:val="1"/>
          <w:u w:val="single" w:color="auto"/>
          <w:color w:val="auto"/>
        </w:rPr>
        <w:t>Limitation on Sales and Leasebacks</w:t>
      </w:r>
      <w:r>
        <w:rPr>
          <w:rFonts w:ascii="Times New Roman" w:cs="Times New Roman" w:eastAsia="Times New Roman" w:hAnsi="Times New Roman"/>
          <w:sz w:val="18"/>
          <w:szCs w:val="18"/>
          <w:color w:val="auto"/>
        </w:rPr>
        <w:t>. Enter into any arrangement with any Person whereby Company shall sell or otherwise transfer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owned Company to (a) such Person and thereafter rent or lease such property from such Person or (b) any other Person to whom funds have been or are to be advanced by such Person on the security of such Property or rental obligations of Company without the Purchaser’s prior written consent.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7.7 </w:t>
      </w:r>
      <w:r>
        <w:rPr>
          <w:rFonts w:ascii="Times New Roman" w:cs="Times New Roman" w:eastAsia="Times New Roman" w:hAnsi="Times New Roman"/>
          <w:sz w:val="18"/>
          <w:szCs w:val="18"/>
          <w:b w:val="1"/>
          <w:bCs w:val="1"/>
          <w:u w:val="single" w:color="auto"/>
          <w:color w:val="auto"/>
        </w:rPr>
        <w:t>Limitation on Restricted Payments</w:t>
      </w:r>
      <w:r>
        <w:rPr>
          <w:rFonts w:ascii="Times New Roman" w:cs="Times New Roman" w:eastAsia="Times New Roman" w:hAnsi="Times New Roman"/>
          <w:sz w:val="18"/>
          <w:szCs w:val="18"/>
          <w:color w:val="auto"/>
        </w:rPr>
        <w:t>. Declare or make any dividend, distribution, or other payment in respect of its Equity Interests,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redeem, or otherwise acquire any Equity Interests, whether in cash or otherwise (each, a “Restricted Payment”), except that:</w:t>
      </w:r>
    </w:p>
    <w:p>
      <w:pPr>
        <w:spacing w:after="0" w:line="159" w:lineRule="exact"/>
        <w:rPr>
          <w:sz w:val="20"/>
          <w:szCs w:val="20"/>
          <w:color w:val="auto"/>
        </w:rPr>
      </w:pPr>
    </w:p>
    <w:p>
      <w:pPr>
        <w:ind w:right="20" w:firstLine="1304"/>
        <w:spacing w:after="0" w:line="282" w:lineRule="auto"/>
        <w:tabs>
          <w:tab w:leader="none" w:pos="1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declare and pay dividends to the holders of its Class A Redeemable Preferred Stock in connection with an Asset Sale (as defined in the Note Purchase Agreement between the Company and the Purchaser, dated as of June 20, 2025);</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Purchaser’s prior written consent, the Company or any of its Subsidiaries may make cash payments in lieu of issuing fractional shares in connection with the conversion of any Equity Interests on the exercise of warrants or options to purchase its Equity Interests.</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7.8 </w:t>
      </w:r>
      <w:r>
        <w:rPr>
          <w:rFonts w:ascii="Times New Roman" w:cs="Times New Roman" w:eastAsia="Times New Roman" w:hAnsi="Times New Roman"/>
          <w:sz w:val="18"/>
          <w:szCs w:val="18"/>
          <w:b w:val="1"/>
          <w:bCs w:val="1"/>
          <w:u w:val="single" w:color="auto"/>
          <w:color w:val="auto"/>
        </w:rPr>
        <w:t>Limitation on Transactions with Affiliates</w:t>
      </w:r>
      <w:r>
        <w:rPr>
          <w:rFonts w:ascii="Times New Roman" w:cs="Times New Roman" w:eastAsia="Times New Roman" w:hAnsi="Times New Roman"/>
          <w:sz w:val="18"/>
          <w:szCs w:val="18"/>
          <w:color w:val="auto"/>
        </w:rPr>
        <w:t>. Subject to Purchaser’s prior written consent, enter into or be a party to any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any purchase, sale, lease, or exchange of property, the rendering of any service, or the payment of any management, advisory, or similar fees, with any Affiliate unless such transaction (i) is a Restricted Payment permitted by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or (ii) is:</w:t>
      </w:r>
    </w:p>
    <w:p>
      <w:pPr>
        <w:spacing w:after="0" w:line="175" w:lineRule="exact"/>
        <w:rPr>
          <w:sz w:val="20"/>
          <w:szCs w:val="20"/>
          <w:color w:val="auto"/>
        </w:rPr>
      </w:pPr>
    </w:p>
    <w:p>
      <w:pPr>
        <w:ind w:left="1920" w:hanging="616"/>
        <w:spacing w:after="0"/>
        <w:tabs>
          <w:tab w:leader="none" w:pos="1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permitted by the terms of this Agreement;</w:t>
      </w:r>
    </w:p>
    <w:p>
      <w:pPr>
        <w:spacing w:after="0" w:line="21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business of the Company or the relevant Subsidiary, as the case may be; and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fair and reasonable terms no less favorable to the Company or the relevant Subsidiary, as the case may be, than those that would have been obtained in a comparable transaction on an arm’s length basis from an unrelated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7.9 </w:t>
      </w:r>
      <w:r>
        <w:rPr>
          <w:rFonts w:ascii="Times New Roman" w:cs="Times New Roman" w:eastAsia="Times New Roman" w:hAnsi="Times New Roman"/>
          <w:sz w:val="18"/>
          <w:szCs w:val="18"/>
          <w:b w:val="1"/>
          <w:bCs w:val="1"/>
          <w:u w:val="single" w:color="auto"/>
          <w:color w:val="auto"/>
        </w:rPr>
        <w:t>Limitation on Amendments of Organizational Documents</w:t>
      </w:r>
      <w:r>
        <w:rPr>
          <w:rFonts w:ascii="Times New Roman" w:cs="Times New Roman" w:eastAsia="Times New Roman" w:hAnsi="Times New Roman"/>
          <w:sz w:val="18"/>
          <w:szCs w:val="18"/>
          <w:color w:val="auto"/>
        </w:rPr>
        <w:t>. Other than the Nevada Conversion, amend, supplement,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modify (pursuant to a waiver or otherwise) its articles of incorporation, certificate of designation, operating agreement, bylaws, or other organizational document without at least fifteen (15) days prior written notice to the Purchaser in any respect materially adverse to the interests of the Purchaser.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7.10 </w:t>
      </w:r>
      <w:r>
        <w:rPr>
          <w:rFonts w:ascii="Times New Roman" w:cs="Times New Roman" w:eastAsia="Times New Roman" w:hAnsi="Times New Roman"/>
          <w:sz w:val="18"/>
          <w:szCs w:val="18"/>
          <w:b w:val="1"/>
          <w:bCs w:val="1"/>
          <w:u w:val="single" w:color="auto"/>
          <w:color w:val="auto"/>
        </w:rPr>
        <w:t>Limitation on Future Financings</w:t>
      </w:r>
      <w:r>
        <w:rPr>
          <w:rFonts w:ascii="Times New Roman" w:cs="Times New Roman" w:eastAsia="Times New Roman" w:hAnsi="Times New Roman"/>
          <w:sz w:val="18"/>
          <w:szCs w:val="18"/>
          <w:color w:val="auto"/>
        </w:rPr>
        <w:t>. Enter into any future public or private equity and/or debt financing, including any equity-linked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without prior written approval of the Purchaser.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7.11 </w:t>
      </w:r>
      <w:r>
        <w:rPr>
          <w:rFonts w:ascii="Times New Roman" w:cs="Times New Roman" w:eastAsia="Times New Roman" w:hAnsi="Times New Roman"/>
          <w:sz w:val="18"/>
          <w:szCs w:val="18"/>
          <w:b w:val="1"/>
          <w:bCs w:val="1"/>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of any Governmental Entity, except where such violations would not reasonably be expected to result, either individually or in the aggregate, in a Material Adverse Effect.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7.12 </w:t>
      </w:r>
      <w:r>
        <w:rPr>
          <w:rFonts w:ascii="Times New Roman" w:cs="Times New Roman" w:eastAsia="Times New Roman" w:hAnsi="Times New Roman"/>
          <w:sz w:val="18"/>
          <w:szCs w:val="18"/>
          <w:b w:val="1"/>
          <w:bCs w:val="1"/>
          <w:u w:val="single" w:color="auto"/>
          <w:color w:val="auto"/>
        </w:rPr>
        <w:t>Restricted Issuance</w:t>
      </w:r>
      <w:r>
        <w:rPr>
          <w:rFonts w:ascii="Times New Roman" w:cs="Times New Roman" w:eastAsia="Times New Roman" w:hAnsi="Times New Roman"/>
          <w:sz w:val="18"/>
          <w:szCs w:val="18"/>
          <w:color w:val="auto"/>
        </w:rPr>
        <w:t>. Make any Restricted Issuance (as defined below) without Purchaser’s prior written consent, which consent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or withheld in Purchaser’s sole and absolute discretion. The Company will not enter into any agreement or otherwise agree to any covenant, condition, or obligation that locks up, restricts in any way or otherwise prohibits the Company: (a) from entering into a variable rate transaction with the Purchaser or any affiliate of the Purchaser, or (b) from issuing common stock, preferred stock, warrants, convertible notes, other debt securities, or any other securities to the Purchaser or any affiliate of the Purchaser. For purposes hereof, the term “Restricted Issuance” means the issuance, incurrence or guaranty of any debt obligations (including any merchant cash advance, account receivable factoring or other similar agreement) other than trade payables in the ordinary course of business, or the issuance of any securities that: (1) have or may have conversion rights of any kind, contingent, conditional or otherwise, in which the number of shares that may be issued pursuant to such conversion right varies with the market price of the common shares; (2) are or may become convertible into common shares (including without limitation convertible debt, warrants or convertible preferred shares), with a conversion price that varies with the market price of the common shares, even if such security only becomes convertible following an event of default, the passage of time, or another trigger event or condition; (3) have a fixed conversion price, exercise price or exchange price that is subject to being reset at some future date at any time after the initial issuance of such debt or equity security (a) due to a change in the market price of company’s common shares since the date of the initial issuance, or (b) upon the occurrence of specified or contingent events directly or indirectly related to the business of the Company (including, without limitation, any “full ratchet” or “weighted average” anti-dilution provisions, but not including any standard anti-dilution protection for any reorganization, recapitalization, non-cash dividend, stock split or other similar transaction); or (4) are issued in connection with a section 3(a)(9) exchange, a section 3(a)(10) settlement, or any other similar settlement or exchange. For the avoidance of doubt, none of the following will be considered restricted issuances: (i) current or future “at the market” facilities; and (ii) direct offerings of common stock or warrants provided that such offerings do not contain any variable pricing terms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color w:val="auto"/>
        </w:rPr>
        <w:t>. All of the representations and warranties made herein shall survive the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this Agreement, any investigation by or on behalf of the Purchaser, issuance of the Shares and Warrant or termination of this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and other communications provided for or permitted hereunder shall be made in writing and shall be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 certified first-class mail, return receipt requested, or email (with receipt confirmed), courier service or personal delivery:</w:t>
      </w:r>
    </w:p>
    <w:p>
      <w:pPr>
        <w:spacing w:after="0" w:line="145" w:lineRule="exact"/>
        <w:rPr>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Finance Ltd.</w:t>
      </w:r>
    </w:p>
    <w:p>
      <w:pPr>
        <w:spacing w:after="0" w:line="27" w:lineRule="exact"/>
        <w:rPr>
          <w:rFonts w:ascii="Times New Roman" w:cs="Times New Roman" w:eastAsia="Times New Roman" w:hAnsi="Times New Roman"/>
          <w:sz w:val="18"/>
          <w:szCs w:val="18"/>
          <w:color w:val="auto"/>
        </w:rPr>
      </w:pPr>
    </w:p>
    <w:p>
      <w:pPr>
        <w:ind w:left="1960" w:right="65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 Newport Center Drive, Suite 650 Newport Beach, CA 92660</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000FF"/>
        </w:rPr>
        <w:t>ahromyk@firstfinance.com</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960" w:right="6320"/>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Sichenzia Ross Ference Carmel LLP 1185 Avenue of the Americas, 31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18"/>
          <w:szCs w:val="18"/>
          <w:color w:val="auto"/>
        </w:rPr>
        <w:t xml:space="preserve"> Floor New York, NY 10036</w:t>
      </w:r>
    </w:p>
    <w:p>
      <w:pPr>
        <w:spacing w:after="0" w:line="2"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mross@srfc.law</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(212) 930 9700</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Marc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1572895</wp:posOffset>
            </wp:positionH>
            <wp:positionV relativeFrom="paragraph">
              <wp:posOffset>-1296670</wp:posOffset>
            </wp:positionV>
            <wp:extent cx="12566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ind w:left="1960" w:hanging="656"/>
        <w:spacing w:after="0"/>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or any Subsidiary:</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ClearOne, Inc.</w:t>
      </w:r>
    </w:p>
    <w:p>
      <w:pPr>
        <w:spacing w:after="0" w:line="27" w:lineRule="exact"/>
        <w:rPr>
          <w:rFonts w:ascii="Times New Roman" w:cs="Times New Roman" w:eastAsia="Times New Roman" w:hAnsi="Times New Roman"/>
          <w:sz w:val="18"/>
          <w:szCs w:val="18"/>
          <w:color w:val="auto"/>
        </w:rPr>
      </w:pPr>
    </w:p>
    <w:p>
      <w:pPr>
        <w:ind w:left="1960" w:right="69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5225 Wiley Post Way, Suite 500 Salt Lake City, Utah 84116</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000FF"/>
        </w:rPr>
        <w:t>Derek.Graham@clearone.com</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(801) 303-3425</w:t>
      </w:r>
    </w:p>
    <w:p>
      <w:pPr>
        <w:spacing w:after="0" w:line="9" w:lineRule="exact"/>
        <w:rPr>
          <w:rFonts w:ascii="Times New Roman" w:cs="Times New Roman" w:eastAsia="Times New Roman" w:hAnsi="Times New Roman"/>
          <w:sz w:val="18"/>
          <w:szCs w:val="18"/>
          <w:color w:val="auto"/>
        </w:rPr>
      </w:pPr>
    </w:p>
    <w:p>
      <w:pPr>
        <w:ind w:left="1960" w:right="5440"/>
        <w:spacing w:after="0" w:line="5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Derek L. Graham, Chief Executive Officer With a copy (which shall not constitute notice) to:</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Seyfarth Shaw</w:t>
      </w:r>
    </w:p>
    <w:p>
      <w:pPr>
        <w:spacing w:after="0" w:line="27" w:lineRule="exact"/>
        <w:rPr>
          <w:rFonts w:ascii="Times New Roman" w:cs="Times New Roman" w:eastAsia="Times New Roman" w:hAnsi="Times New Roman"/>
          <w:sz w:val="18"/>
          <w:szCs w:val="18"/>
          <w:color w:val="auto"/>
        </w:rPr>
      </w:pPr>
    </w:p>
    <w:p>
      <w:pPr>
        <w:ind w:left="1960" w:right="7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Milam Street, Suite 1400 Houston, TX 77002</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000FF"/>
        </w:rPr>
        <w:t>mcoffin@seyfarth.com</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(713) 225-1337</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Mark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1572895</wp:posOffset>
            </wp:positionH>
            <wp:positionV relativeFrom="paragraph">
              <wp:posOffset>-1527810</wp:posOffset>
            </wp:positionV>
            <wp:extent cx="13931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93190" cy="8255"/>
                    </a:xfrm>
                    <a:prstGeom prst="rect">
                      <a:avLst/>
                    </a:prstGeom>
                    <a:noFill/>
                  </pic:spPr>
                </pic:pic>
              </a:graphicData>
            </a:graphic>
          </wp:anchor>
        </w:drawing>
        <w:drawing>
          <wp:anchor simplePos="0" relativeHeight="251657728" behindDoc="1" locked="0" layoutInCell="0" allowOverlap="1">
            <wp:simplePos x="0" y="0"/>
            <wp:positionH relativeFrom="column">
              <wp:posOffset>1572895</wp:posOffset>
            </wp:positionH>
            <wp:positionV relativeFrom="paragraph">
              <wp:posOffset>-293370</wp:posOffset>
            </wp:positionV>
            <wp:extent cx="10579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if personally delivered, when delivered by hand; if mailed, five</w:t>
      </w:r>
    </w:p>
    <w:p>
      <w:pPr>
        <w:spacing w:after="0" w:line="27" w:lineRule="exact"/>
        <w:rPr>
          <w:sz w:val="20"/>
          <w:szCs w:val="20"/>
          <w:color w:val="auto"/>
        </w:rPr>
      </w:pPr>
    </w:p>
    <w:p>
      <w:pPr>
        <w:ind w:firstLine="8"/>
        <w:spacing w:after="0" w:line="260"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being deposited in the mail, postage prepaid; if delivered by courier, one (1) Business Day after being deposited with a reputable overnight courier, with charges prepaid; or if emailed, when receipt is acknowledged.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20" w:firstLine="1304"/>
        <w:spacing w:after="0" w:line="257" w:lineRule="auto"/>
        <w:tabs>
          <w:tab w:leader="none" w:pos="19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successors and permitted assigns of the parties hereto. Subject to applicable securities laws, the Purchaser may at any time transfer the Shares, Warrant or Warrant Shares held by it in whole or in part and may assign its rights under the Transaction Documents to one or more assignees without requiring the consent of any other Person. In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 the Purchaser may, upon notice to the Company, sell participations to any Person in all or a portion of the Purchaser’s rights and/or obligations under this Agreement or any other Transaction Document. Neither the Company nor any Subsidiary may assign any of its rights, or delegate any of its obligations, under any Transaction Document without the prior written consent of the Purchaser, and any such purported assignment by the Company or any such Subsidiary without the written consent of the Purchaser shall be void and of no effect. No Person other than the parties hereto and its successors and permitted assigns is intended to be a beneficiary of this Agreement or any other Transaction Document.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u w:val="single" w:color="auto"/>
          <w:color w:val="auto"/>
        </w:rPr>
        <w:t>Amendment and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4"/>
        <w:spacing w:after="0" w:line="261" w:lineRule="auto"/>
        <w:tabs>
          <w:tab w:leader="none" w:pos="19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of the parties hereto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in this Agreement are cumulative and are not exclusive of any remedies that may be available to the parties hereto at law, in equity or otherwise.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supplement or modification of or to any provision of this Agreement and any consent to any departure by any party from the terms of any provision of this Agreement, shall be effective (i) only if it is made or given in writing and signed by the Company and the Purchaser and (ii) only in the specific instance and for the specific purpose for which made or given.</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Except where notice is specifically required by this Agreement, no notice to or demand on the Company or any of its Subsidiaries in any case shall entitle the Company or any of its Subsidiaries to any other or further notice or demand in similar or other circumstances.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u w:val="single" w:color="auto"/>
          <w:color w:val="auto"/>
        </w:rPr>
        <w:t>Signatures; Counterparts</w:t>
      </w:r>
      <w:r>
        <w:rPr>
          <w:rFonts w:ascii="Times New Roman" w:cs="Times New Roman" w:eastAsia="Times New Roman" w:hAnsi="Times New Roman"/>
          <w:sz w:val="18"/>
          <w:szCs w:val="18"/>
          <w:color w:val="auto"/>
        </w:rPr>
        <w:t>. Facsimile and electronic transmissions of any executed original document and/or retransmission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facsimile or electronic transmission shall be deemed to be the same as the delivery of an executed original. At the request of any party hereto, the other parties hereto shall confirm facsimile transmissions by executing duplicate original documents and delivering the same to the requesting party or parties.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CONSTRUED IN ACCORDANCE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ENFORCED UNDER, THE LAWS OF THE STATE OF NEW YORK, WITHOUT REGARD TO THE PRINCIPLES OF CONFLICTS OF LAW OF SUCH STATE THAT WOULD REQUIRE THE APPLICATION OF THE LAW OF ANOTHER JURISDICTION.</w:t>
      </w:r>
    </w:p>
    <w:p>
      <w:pPr>
        <w:spacing w:after="0" w:line="171"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7"/>
          <w:szCs w:val="17"/>
          <w:b w:val="1"/>
          <w:bCs w:val="1"/>
          <w:u w:val="single" w:color="auto"/>
          <w:color w:val="auto"/>
        </w:rPr>
        <w:t>JURISDICTION, JURY TRIAL WAIVER, ETC.</w:t>
      </w:r>
    </w:p>
    <w:p>
      <w:pPr>
        <w:spacing w:after="0" w:line="229" w:lineRule="exact"/>
        <w:rPr>
          <w:sz w:val="20"/>
          <w:szCs w:val="20"/>
          <w:color w:val="auto"/>
        </w:rPr>
      </w:pPr>
    </w:p>
    <w:p>
      <w:pPr>
        <w:jc w:val="both"/>
        <w:ind w:firstLine="1304"/>
        <w:spacing w:after="0" w:line="252" w:lineRule="auto"/>
        <w:tabs>
          <w:tab w:leader="none" w:pos="19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HEREBY IRREVOCABLY AGREES THAT ANY LEGAL ACTION OR PROCEEDING ARISING OUT OF OR RELATING TO THIS AGREEMENT OR ANY AGREEMENTS OR TRANSACTIONS CONTEMPLATED HEREBY OR THEREBY MAY BE BROUGHT IN THE STATE AND FEDERAL COURTS SITTING IN THE CITY OF NEW YORK, BOROUGH OF MANHATTAN, OR ANY APPELLATE COURT FROM ANY THEREOF, AND HEREBY EXPRESSLY SUBMITS TO THE PERSONAL JURISDICTION AND VENUE OF SUCH COURTS FOR THE PURPOSES THEREOF AND EXPRESSLY WAIVES ANY CLAIM OF IMPROPER VENUE AND ANY CLAIM THAT ANY SUCH COURT IS AN INCONVENIENT FORUM. EACH PARTY HEREBY IRREVOCABLY CONSENTS TO THE SERVICE OF PROCESS OF ANY OF THE AFOREMENTIONED COURTS IN ANY SUCH SUIT, ACTION OR PROCEEDING BY THE MAILING OF COPIES THEREOF BY A GENERALLY RECOGNIZED OVERNIGHT COURIER OR REGISTERED OR CERTIFIED MAIL, POSTAGE PREPAID, TO ITS ADDRESS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SUCH SERVICE TO BECOME EFFECTIVE 10 DAYS AFTER SUCH MAILING. NOTWITHSTANDING ANYTHING TO THE CONTRARY SET FORTH HEREIN, NOTHING IN THIS AGREEMENT SHALL LIMIT</w:t>
      </w:r>
    </w:p>
    <w:p>
      <w:pPr>
        <w:spacing w:after="0" w:line="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RIGHT OF THE PURCHASER TO BRING ANY ACTION ARISING OUT OF OR RELATING TO THIS AGREEMENT OR THE TRANSACTIONS CONTEMPLATED HEREBY OR THEREBY IN ANY JURISDICTION IN WHICH ANY COLLATERAL IS LOCATED.</w:t>
      </w:r>
    </w:p>
    <w:p>
      <w:pPr>
        <w:spacing w:after="0" w:line="181" w:lineRule="exact"/>
        <w:rPr>
          <w:sz w:val="20"/>
          <w:szCs w:val="20"/>
          <w:color w:val="auto"/>
        </w:rPr>
      </w:pPr>
    </w:p>
    <w:p>
      <w:pPr>
        <w:jc w:val="both"/>
        <w:ind w:firstLine="1304"/>
        <w:spacing w:after="0" w:line="261" w:lineRule="auto"/>
        <w:tabs>
          <w:tab w:leader="none" w:pos="19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PARTY TO THIS AGREEMENT HEREBY WAIVES ITS RIGHT TO A JURY TRIAL WITH RESPECT TO ANY ACTION OR CLAIM ARISING OUT OF ANY DISPUTE IN CONNECTION WITH THIS AGREEMENT OR ANY OTHER TRANSACTION DOCUMENT, ANY RIGHTS OR OBLIGATIONS HEREUNDER OR THEREUNDER OR THE PERFORMANCE OF SUCH RIGHTS AND OBLIGATIONS.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one or more of the provisions contained in this Agreement, or the application thereof in any circumstance, is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of this Agreement. The parties hereto further agree to replace such invalid, illegal, or unenforceable provision of this Agreement with a valid, legal, and enforceable provision that will achieve, to the extent possible, the economic, business and other purposes of such invalid, illegal, or unenforceable provision.</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u w:val="single" w:color="auto"/>
          <w:color w:val="auto"/>
        </w:rPr>
        <w:t>Rules of Construction</w:t>
      </w:r>
      <w:r>
        <w:rPr>
          <w:rFonts w:ascii="Times New Roman" w:cs="Times New Roman" w:eastAsia="Times New Roman" w:hAnsi="Times New Roman"/>
          <w:sz w:val="18"/>
          <w:szCs w:val="18"/>
          <w:color w:val="auto"/>
        </w:rPr>
        <w:t>. Unless the context otherwise requires, “or” is not exclusive, and references to sections or subsections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or subsections of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together with the exhibits and schedules hereto, is intended by the parties as a final expression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or therein. This Agreement, together with the exhibits and schedules hereto, supersede all prior agreements and understandings between the parties with respect to such subject matter.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8.12</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2" w:lineRule="auto"/>
        <w:tabs>
          <w:tab w:leader="none" w:pos="19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other sums due hereunder or provided for in this Agreement, the Company and Purchaser shall each indemnify and hold harmless the other and each of its respective Affiliates, and each of their respective managers, officers, directors, agents, employees, Subsidiaries, partners, members, attorneys, accountants and controlling persons (each, an “Indemnified Party”) to the fullest extent permitted by law from and against any and all reasonable and documented out-of-pocket losses, claims, damages, expenses (including, without limitation, fees, disbursements and other charges of outside counsel and costs of investigation incurred by an Indemnified Party in any action or proceeding between the Company (or any of its Subsidiaries) and such Indemnified Party (or Indemnified Parties) or between an Indemnified Party (or Indemnified Parties) and any third party or otherwise) or other liabilities or losses (collectively, “Liabilities”), in each case resulting from or arising out of any breach of any representation or warranty, covenant or agreement of a Party or any of its Subsidiaries in this Agreement or any other Transaction Document, or any legal, administrative or other actions (including, without limitation, actions brought by any holders of equity or Indebtedness of the Company or any of its Subsidiaries or derivative actions brought by any Person claiming through or in the Company’s or any such Subsidiary’s name), proceedings or investigations (whether formal or informal), or written threats thereof, based upon, relating to or arising out of this Agreement, the transactions contemplated thereby, or any Indemnified Party’s role therein or in the transactions contemplated thereby, or the gross negligence, or willful misconduct of the Purchaser on the one hand or the Company or any of its Affiliates and their respective directors, officers, and employees on the other hand; provided, however, that neither Party shall be liable under this Section 8.12 to an Indemnified Party to the extent that it is finally judicially determined that such Liabilities resulted from the willful misconduct, or gross negligence of an Indemnified Party. In connection with the obligation of the Parties to indemnify for expenses as set forth above, each Party further agrees, upon presentation of appropriate invoices, to reimburse each Indemnified Party for all such reasonable and documented out-of-pocket expenses (including, without limitation, fees, disbursements and other charges of outside counsel and costs of investigation incurred by an Indemnified Party in connection with any Liabilities) as they are incurred by such Indemnified Party. The obligations of each Party under this Section 8.12 shall survive the termination of this Agreement.</w:t>
      </w:r>
    </w:p>
    <w:p>
      <w:pPr>
        <w:spacing w:after="0" w:line="190"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Indemnified Party under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will, promptly after the receipt of notice of the commencement of any action, investigation, claim or other proceeding against such Indemnified Party in respect of which indemnity may be sought from the indemnifying Party under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notify the indemnifying Party in writing of the commencement thereof. The omission of any Indemnified Party to so notify the other Party of any such action shall not relieve the indemnifying Party from any liability which it may have to such Indemnified Party, except to the extent that such omission impairs the indemnifying Party’s ability to defend the action, claim or other proceeding. In case any such action, claim or other proceeding shall be brought against any Indemnified Party and it shall notify the indemnifying Party of the commencement thereof, the indemnifying Party shall be</w:t>
      </w:r>
    </w:p>
    <w:p>
      <w:pPr>
        <w:spacing w:after="0" w:line="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entitled to assume the defense thereof at its own expense, with counsel satisfactory to such Indemnified Party in its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Indemnified Party may, at its own expense, retain separate counsel to participate in such defense. Notwithstanding the foregoing, in any action, claim or proceeding in which the Company or Purchaser, on the one hand, and an Indemnified Party, on the other hand, is, or may become, a party, such Indemnified Party shall have the right to employ separate counsel at the other Party’s expense and to control its own defense of such action, claim or proceeding if, in the opinion of counsel to such Indemnified Party, a conflict or potential conflict exists between the other Party, on the one hand, and such Indemnified Party, on the other hand, that would make such separate representation advisable. The Company agrees that it will not, without the prior written consent of the other Party, settle, compromise or consent to the entry of any judgment in any pending or threatened claim, action or proceeding relating to the matters contemplated hereby (if any Indemnified Party is a party thereto or has been actually threatened in writing to be made a party thereto) unless such settlement, compromise or consent includes an unconditional release of the Company or the Purchaser on the one hand and each other Indemnified Party on the other hand from all liability arising or that may arise out of such claim, action or proceeding. The rights accorded to Indemnified Parties hereunder shall be in addition to any rights that any Indemnified Party may have at common law, by separate agreement or otherwise.</w:t>
      </w:r>
    </w:p>
    <w:p>
      <w:pPr>
        <w:spacing w:after="0" w:line="40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18"/>
          <w:szCs w:val="18"/>
          <w:b w:val="1"/>
          <w:bCs w:val="1"/>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In the event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ambiguity or question of intent or interpretation arises under any provision of this Agreement or any other Transaction Document, this Agreement shall be construed as if drafted jointly by the parties thereto, and no presumption or burden of proof shall arise favoring or disfavoring any party by virtue of the authorship of any of the provisions of this Agreement or any other Transaction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The Purchaser agrees to maintain the confidentiality of information obtained by it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except that such information may be disclosed (i) with the Company’s consent, (ii) to the extent such information presently is or hereafter becomes (A) publicly available other than as a result of a breach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or (B) available to the Purchaser from a source (other than the Company or any of its Subsidiaries) not known by the Purchaser to be subject to disclosure restrictions, (iii) to the extent disclosure is required by applicable Requirements of Law or other legal process or requested or demanded by any Governmental Authority or any insurance industry association, (iv) to any other party hereto, (v) to any assignee or participant or potential assignee or participant that has agreed to comply with the covenant contained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(v) in connection with the exercise or enforcement of any right or remedy under this Agreement or in connection with any litigation or other proceeding to which Purchaser is a party or bound, (ix) to any nationally recognized rating agency that requires access to information about a Purchaser’s investment portfolio in connection with ratings issued with respect to the Purchaser, or (x) to the Purchaser’s independent auditors and other professional advisors as to which such information has been identified as confidential. In the event of any conflict between the terms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and those of any other Contractual Obligation entered into with the Company or any of its Subsidiaries (whether or not this Agreement or any other agreement), the terms of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shall govern.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executed and delivered by its respective officers hereunto duly authorized as of the date first written.</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00" w:lineRule="exact"/>
        <w:rPr>
          <w:sz w:val="20"/>
          <w:szCs w:val="20"/>
          <w:color w:val="auto"/>
        </w:rPr>
      </w:pP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Derek L. Graham</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Derek L. Graham</w:t>
            </w:r>
          </w:p>
        </w:tc>
      </w:tr>
      <w:tr>
        <w:trPr>
          <w:trHeight w:val="2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200" w:lineRule="exact"/>
        <w:rPr>
          <w:sz w:val="20"/>
          <w:szCs w:val="20"/>
          <w:color w:val="auto"/>
        </w:rPr>
      </w:pPr>
    </w:p>
    <w:p>
      <w:pPr>
        <w:spacing w:after="0" w:line="232"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Andrew Hromyk</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Andrew Hromyk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March 2, 2026, between ClearOne,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First Finance Ltd., a California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the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left="1420" w:hanging="800"/>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90th calendar day following the date on which the Company has filed with the Commission its Annual Report on Form 10-K for the year ended December 31, 2025 (or, in the event of a “full review” by the Commission, the 120th calendar day following such date) and with respect to any additional Registration Statements which may be required pursuant to Section 2(c) or Section 3(c), the 60th calendar day following the date on which an additional Registration Statement is required to be filed hereunder (or, in the event of a “full review” by the Commission, the 90th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30th calendar day following the date on which the Company files with the Commission its Annual Report on Form 10-K for the year ended December 31, 2025,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holder of Registrable Securities, which initially shall be the sole Purchaser under the Purchase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both"/>
        <w:ind w:lef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Shares and Warrant Shares,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Holder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2" w:lineRule="exact"/>
        <w:rPr>
          <w:sz w:val="20"/>
          <w:szCs w:val="20"/>
          <w:color w:val="auto"/>
        </w:rPr>
      </w:pPr>
    </w:p>
    <w:p>
      <w:pPr>
        <w:jc w:val="both"/>
        <w:ind w:lef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lef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lef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800" w:hanging="800"/>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left="40" w:firstLine="644"/>
        <w:spacing w:after="0" w:line="252" w:lineRule="auto"/>
        <w:tabs>
          <w:tab w:leader="none" w:pos="132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required to be named as an “underwriter” without the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Holder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immediately notify the Holder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40" w:top="553" w:right="339" w:bottom="1440" w:gutter="0" w:footer="0" w:header="0"/>
        </w:sectPr>
      </w:pPr>
    </w:p>
    <w:bookmarkStart w:id="46" w:name="page47"/>
    <w:bookmarkEnd w:id="46"/>
    <w:p>
      <w:pPr>
        <w:jc w:val="both"/>
        <w:ind w:firstLine="644"/>
        <w:spacing w:after="0" w:line="254" w:lineRule="auto"/>
        <w:tabs>
          <w:tab w:leader="none" w:pos="13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the Holder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8" w:lineRule="exact"/>
        <w:rPr>
          <w:rFonts w:ascii="Times New Roman" w:cs="Times New Roman" w:eastAsia="Times New Roman" w:hAnsi="Times New Roman"/>
          <w:sz w:val="18"/>
          <w:szCs w:val="18"/>
          <w:color w:val="auto"/>
        </w:rPr>
      </w:pPr>
    </w:p>
    <w:p>
      <w:pPr>
        <w:jc w:val="both"/>
        <w:ind w:firstLine="644"/>
        <w:spacing w:after="0" w:line="258" w:lineRule="auto"/>
        <w:tabs>
          <w:tab w:leader="none" w:pos="130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359" w:lineRule="exact"/>
        <w:rPr>
          <w:sz w:val="20"/>
          <w:szCs w:val="20"/>
          <w:color w:val="auto"/>
        </w:rPr>
      </w:pPr>
    </w:p>
    <w:p>
      <w:pPr>
        <w:ind w:left="1040" w:right="1300" w:firstLine="68"/>
        <w:spacing w:after="0" w:line="461" w:lineRule="auto"/>
        <w:rPr>
          <w:sz w:val="20"/>
          <w:szCs w:val="20"/>
          <w:color w:val="auto"/>
        </w:rPr>
      </w:pPr>
      <w:r>
        <w:rPr>
          <w:rFonts w:ascii="Times New Roman" w:cs="Times New Roman" w:eastAsia="Times New Roman" w:hAnsi="Times New Roman"/>
          <w:sz w:val="18"/>
          <w:szCs w:val="18"/>
          <w:color w:val="auto"/>
        </w:rPr>
        <w:t>i. First, the Company shall reduce or eliminate any securities to be included other than Registrable Securities; and ii. Second, the Company shall reduce Registrable Securities represented by Shares and Warrant Shares.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both"/>
        <w:ind w:firstLine="644"/>
        <w:spacing w:after="0" w:line="251" w:lineRule="auto"/>
        <w:tabs>
          <w:tab w:leader="none" w:pos="13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(if the Company files the Initial Registration Statement without affording the Holder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 is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 may have hereunder or under applicable law, on each such Event Date and on each monthly anniversary of each such Event Date (if the applicable Event shall not have been cured by such date) until the applicable Event is cured, the Company shall pay to the Holder an amount in cash, as partial liquidated damages and not as a penalty, equal to the product of 2.0% multiplied by the aggregate Subscription Amount paid by the Holder pursuant to the Purchase Agreement. The parties agree that the maximum aggregate liquidated damages payable to the Holder under this Agreement shall be 12% of the aggregate purchase consideration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47" w:name="page48"/>
    <w:bookmarkEnd w:id="47"/>
    <w:p>
      <w:pPr>
        <w:jc w:val="both"/>
        <w:ind w:left="4" w:firstLine="644"/>
        <w:spacing w:after="0" w:line="261" w:lineRule="auto"/>
        <w:tabs>
          <w:tab w:leader="none" w:pos="12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left="4" w:firstLine="644"/>
        <w:spacing w:after="0" w:line="282" w:lineRule="auto"/>
        <w:tabs>
          <w:tab w:leader="none" w:pos="12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744" w:hanging="744"/>
        <w:spacing w:after="0"/>
        <w:tabs>
          <w:tab w:leader="none" w:pos="7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2" w:lineRule="auto"/>
        <w:tabs>
          <w:tab w:leader="none" w:pos="129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the Holder, and (ii) cause its officers and directors, counsel and independent registered public accountants to respond to such inquiries as shall be necessary, in the reasonable opinion of respective counsel to the Holder, to conduct a reasonable investigation within the meaning of the Securities Act. The Company shall not file a Registration Statement or any such Prospectus or any amendments or supplements thereto to which the Holder shall reasonably object in good faith, provided that, the Company is notified of such objection in writing no later than five (5) Trading Days after the Holder has been so furnished copies of a Registration Statement or one (1) Trading Day after the Holder has been so furnished copies of any related Prospectus or amendments or supplements thereto.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 (2) Trading Days prior to the Filing Date or by the end of the</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fourth (4</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18"/>
          <w:szCs w:val="18"/>
          <w:color w:val="auto"/>
        </w:rPr>
        <w:t>) Trading Day following the date on which the Holder receives draft materials in accordance with this Section.</w:t>
      </w:r>
    </w:p>
    <w:p>
      <w:pPr>
        <w:spacing w:after="0" w:line="79" w:lineRule="exact"/>
        <w:rPr>
          <w:sz w:val="20"/>
          <w:szCs w:val="20"/>
          <w:color w:val="auto"/>
        </w:rPr>
      </w:pPr>
    </w:p>
    <w:p>
      <w:pPr>
        <w:jc w:val="both"/>
        <w:ind w:left="4" w:firstLine="644"/>
        <w:spacing w:after="0" w:line="269" w:lineRule="auto"/>
        <w:tabs>
          <w:tab w:leader="none" w:pos="1316"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4" w:hanging="4"/>
        <w:spacing w:after="0" w:line="249" w:lineRule="auto"/>
        <w:tabs>
          <w:tab w:leader="none" w:pos="3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 thereof set forth in such Registration Statement as so amended or in such Prospectus as so supplemented.</w:t>
      </w:r>
    </w:p>
    <w:p>
      <w:pPr>
        <w:spacing w:after="0" w:line="192"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30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 of not less than the number of such Registrable Securities.</w:t>
      </w:r>
    </w:p>
    <w:p>
      <w:pPr>
        <w:spacing w:after="0" w:line="20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81915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48" w:name="page49"/>
    <w:bookmarkEnd w:id="48"/>
    <w:p>
      <w:pPr>
        <w:jc w:val="both"/>
        <w:ind w:left="-460" w:firstLine="644"/>
        <w:spacing w:after="0" w:line="252" w:lineRule="auto"/>
        <w:tabs>
          <w:tab w:leader="none" w:pos="8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4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6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the selling Holder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7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49" w:name="page50"/>
    <w:bookmarkEnd w:id="49"/>
    <w:p>
      <w:pPr>
        <w:jc w:val="both"/>
        <w:ind w:left="660" w:firstLine="644"/>
        <w:spacing w:after="0" w:line="253" w:lineRule="auto"/>
        <w:tabs>
          <w:tab w:leader="none" w:pos="193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 in accordance with clauses (iii) through (vi) of Section 3(d) above to suspend the use of any Prospectus until the requisite changes to such Prospectus have been made, then the Holder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 in writing if, at any time during the Effectiveness Period, the Company does not satisfy the conditions specified in Rule 172 and, as a result thereof, the Holder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9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maintain eligibility for use of Form S-3 (or any successor form thereto) for the registration of the resale of Registrable Securities.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0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jc w:val="both"/>
        <w:ind w:firstLine="620"/>
        <w:spacing w:after="0" w:line="251" w:lineRule="auto"/>
        <w:tabs>
          <w:tab w:leader="none" w:pos="14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left="800" w:hanging="800"/>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0" w:firstLine="644"/>
        <w:spacing w:after="0" w:line="251" w:lineRule="auto"/>
        <w:tabs>
          <w:tab w:leader="none" w:pos="13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the Holder in accordance with Section 6(f).</w:t>
      </w:r>
    </w:p>
    <w:p>
      <w:pPr>
        <w:spacing w:after="0" w:line="204" w:lineRule="exact"/>
        <w:rPr>
          <w:rFonts w:ascii="Times New Roman" w:cs="Times New Roman" w:eastAsia="Times New Roman" w:hAnsi="Times New Roman"/>
          <w:sz w:val="18"/>
          <w:szCs w:val="18"/>
          <w:color w:val="auto"/>
        </w:rPr>
      </w:pPr>
    </w:p>
    <w:p>
      <w:pPr>
        <w:jc w:val="both"/>
        <w:ind w:left="40" w:firstLine="644"/>
        <w:spacing w:after="0" w:line="251" w:lineRule="auto"/>
        <w:tabs>
          <w:tab w:leader="none" w:pos="137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w:t>
      </w:r>
      <w:r>
        <w:rPr>
          <w:rFonts w:ascii="Times New Roman" w:cs="Times New Roman" w:eastAsia="Times New Roman" w:hAnsi="Times New Roman"/>
          <w:sz w:val="18"/>
          <w:szCs w:val="18"/>
          <w:color w:val="auto"/>
        </w:rPr>
        <w:t>. Holder shall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4" w:lineRule="exact"/>
        <w:rPr>
          <w:rFonts w:ascii="Times New Roman" w:cs="Times New Roman" w:eastAsia="Times New Roman" w:hAnsi="Times New Roman"/>
          <w:sz w:val="18"/>
          <w:szCs w:val="18"/>
          <w:color w:val="auto"/>
        </w:rPr>
      </w:pPr>
    </w:p>
    <w:p>
      <w:pPr>
        <w:jc w:val="both"/>
        <w:ind w:left="40" w:firstLine="644"/>
        <w:spacing w:after="0" w:line="255" w:lineRule="auto"/>
        <w:tabs>
          <w:tab w:leader="none" w:pos="13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81915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40" w:top="553"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44"/>
        <w:spacing w:after="0" w:line="252" w:lineRule="auto"/>
        <w:tabs>
          <w:tab w:leader="none" w:pos="12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52" w:name="page53"/>
    <w:bookmarkEnd w:id="52"/>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1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6(b)</w:t>
      </w:r>
      <w:r>
        <w:rPr>
          <w:rFonts w:ascii="Times New Roman" w:cs="Times New Roman" w:eastAsia="Times New Roman" w:hAnsi="Times New Roman"/>
          <w:sz w:val="18"/>
          <w:szCs w:val="18"/>
          <w:color w:val="auto"/>
        </w:rPr>
        <w:t xml:space="preserve"> attached hereto, neither the Company nor any of its security holders (other than the Holder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Holder. The Company may not assign (except by merger) its rights or obligations hereunder without the prior written consent of the Holder. Holder may assign his rights hereunder in the manner and to the Persons as permitted under Section 5.7 of the Purchase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656"/>
        <w:spacing w:after="0" w:line="258" w:lineRule="auto"/>
        <w:tabs>
          <w:tab w:leader="none" w:pos="13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 in this Agreement or otherwise conflicts with the provisions hereof. Except as set forth on </w:t>
      </w:r>
      <w:r>
        <w:rPr>
          <w:rFonts w:ascii="Times New Roman" w:cs="Times New Roman" w:eastAsia="Times New Roman" w:hAnsi="Times New Roman"/>
          <w:sz w:val="18"/>
          <w:szCs w:val="18"/>
          <w:u w:val="single" w:color="auto"/>
          <w:color w:val="auto"/>
        </w:rPr>
        <w:t>Schedule 6(i)</w:t>
      </w:r>
      <w:r>
        <w:rPr>
          <w:rFonts w:ascii="Times New Roman" w:cs="Times New Roman" w:eastAsia="Times New Roman" w:hAnsi="Times New Roman"/>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9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executed and delivered by its respective officers hereunto duly authorized as of the date first written.</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43" w:lineRule="exact"/>
        <w:rPr>
          <w:sz w:val="20"/>
          <w:szCs w:val="20"/>
          <w:color w:val="auto"/>
        </w:rPr>
      </w:pPr>
    </w:p>
    <w:tbl>
      <w:tblPr>
        <w:tblLayout w:type="fixed"/>
        <w:tblInd w:w="566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Derek L. Graham</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Derek L. Graham</w:t>
            </w:r>
          </w:p>
        </w:tc>
      </w:tr>
      <w:tr>
        <w:trPr>
          <w:trHeight w:val="23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p>
    <w:p>
      <w:pPr>
        <w:spacing w:after="0" w:line="2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243"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Andrew Hromyk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2494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Andrew Hromyk</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President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Stockholder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166" w:lineRule="exact"/>
        <w:rPr>
          <w:sz w:val="20"/>
          <w:szCs w:val="20"/>
          <w:color w:val="auto"/>
        </w:rPr>
      </w:pPr>
    </w:p>
    <w:p>
      <w:pPr>
        <w:ind w:left="1840"/>
        <w:spacing w:after="0" w:line="207" w:lineRule="exact"/>
        <w:rPr>
          <w:sz w:val="20"/>
          <w:szCs w:val="20"/>
          <w:color w:val="auto"/>
        </w:rPr>
      </w:pPr>
      <w:r>
        <w:rPr>
          <w:rFonts w:ascii="Times New Roman" w:cs="Times New Roman" w:eastAsia="Times New Roman" w:hAnsi="Times New Roman"/>
          <w:sz w:val="18"/>
          <w:szCs w:val="18"/>
          <w:color w:val="auto"/>
        </w:rPr>
        <w:t>ordinary brokerage transactions and transactions in which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solicits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-62865</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840" w:right="420"/>
        <w:spacing w:after="0" w:line="259" w:lineRule="exact"/>
        <w:rPr>
          <w:sz w:val="20"/>
          <w:szCs w:val="20"/>
          <w:color w:val="auto"/>
        </w:rPr>
      </w:pPr>
      <w:r>
        <w:rPr>
          <w:rFonts w:ascii="Times New Roman" w:cs="Times New Roman" w:eastAsia="Times New Roman" w:hAnsi="Times New Roman"/>
          <w:sz w:val="18"/>
          <w:szCs w:val="18"/>
          <w:color w:val="auto"/>
        </w:rPr>
        <w:t>block trades in which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will attempt to sell the securities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-260350</wp:posOffset>
            </wp:positionV>
            <wp:extent cx="6858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1840"/>
        <w:spacing w:after="0" w:line="207" w:lineRule="exact"/>
        <w:rPr>
          <w:sz w:val="20"/>
          <w:szCs w:val="20"/>
          <w:color w:val="auto"/>
        </w:rPr>
      </w:pPr>
      <w:r>
        <w:rPr>
          <w:rFonts w:ascii="Times New Roman" w:cs="Times New Roman" w:eastAsia="Times New Roman" w:hAnsi="Times New Roman"/>
          <w:sz w:val="18"/>
          <w:szCs w:val="18"/>
          <w:color w:val="auto"/>
        </w:rPr>
        <w:t>purchases by a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as principal and resale by the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for its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-62865</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7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-88900</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-88900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settlement of short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-88900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1" w:lineRule="exact"/>
        <w:rPr>
          <w:sz w:val="20"/>
          <w:szCs w:val="20"/>
          <w:color w:val="auto"/>
        </w:rPr>
      </w:pPr>
    </w:p>
    <w:p>
      <w:pPr>
        <w:ind w:left="1840" w:right="320"/>
        <w:spacing w:after="0" w:line="259" w:lineRule="exact"/>
        <w:rPr>
          <w:sz w:val="20"/>
          <w:szCs w:val="20"/>
          <w:color w:val="auto"/>
        </w:rPr>
      </w:pPr>
      <w:r>
        <w:rPr>
          <w:rFonts w:ascii="Times New Roman" w:cs="Times New Roman" w:eastAsia="Times New Roman" w:hAnsi="Times New Roman"/>
          <w:sz w:val="18"/>
          <w:szCs w:val="18"/>
          <w:color w:val="auto"/>
        </w:rPr>
        <w:t>in transactions through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that agree with the Selling Stockholder to sell a specified number of such securities at a stipulated price per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-260350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-88900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 combination of any such methods of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-88900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any other method permitted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-88900</wp:posOffset>
            </wp:positionV>
            <wp:extent cx="685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21"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engaged by the Selling Stockholder may arrange for other brokers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to participate in sales.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may receive commissions or discounts from the Selling Stockholder (or, if any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stockholder are those previously issued to the selling stockholder or that may be acquired by the selling stockholder upon exercise of warrants previously issued to the selling stockholder. For additional information regarding the issuances of those shares of common stock, see “Private Placement of Shares of Common Stock and Warrants” above. We are registering the shares of common stock in order to permit the selling stockholder to offer the shares for resale from time to time. Except for the ownership of the shares of common stock and as set forth in the SEC Reports, the selling stockholder has not had any material relationship with us within the past three years.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of common stock by the selling stockholder. The second column lists the number of shares of common stock beneficially owned by the selling stockholder, based on its ownership of the shares of common stock, as of ________,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 this prospectus generally covers the resale of the number of shares of common stock issued to the selling stockholder in the “Private Placement of Shares of Common Stock and Warrants” described above. The fourth column assumes the sale of all of the shares offered by the selling stockholder pursuant to this prospectus.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354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580" w:type="dxa"/>
            <w:vAlign w:val="bottom"/>
            <w:tcBorders>
              <w:top w:val="single" w:sz="8" w:color="auto"/>
              <w:right w:val="single" w:sz="8" w:color="auto"/>
            </w:tcBorders>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shares of Common</w:t>
            </w:r>
          </w:p>
        </w:tc>
        <w:tc>
          <w:tcPr>
            <w:tcW w:w="2620" w:type="dxa"/>
            <w:vAlign w:val="bottom"/>
            <w:tcBorders>
              <w:top w:val="single" w:sz="8" w:color="auto"/>
              <w:right w:val="single" w:sz="8" w:color="auto"/>
            </w:tcBorders>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Maximum Number of shares of</w:t>
            </w:r>
          </w:p>
        </w:tc>
        <w:tc>
          <w:tcPr>
            <w:tcW w:w="28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gridSpan w:val="6"/>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540" w:type="dxa"/>
            <w:vAlign w:val="bottom"/>
            <w:tcBorders>
              <w:right w:val="single" w:sz="8" w:color="auto"/>
            </w:tcBorders>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3540" w:type="dxa"/>
            <w:vAlign w:val="bottom"/>
            <w:tcBorders>
              <w:right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Stock Owned Prior to</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4"/>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to be Sold</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Borders>
              <w:right w:val="single" w:sz="8" w:color="auto"/>
            </w:tcBorders>
            <w:gridSpan w:val="6"/>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46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right w:val="single" w:sz="8" w:color="auto"/>
            </w:tcBorders>
            <w:gridSpan w:val="5"/>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right w:val="single" w:sz="8" w:color="auto"/>
            </w:tcBorders>
            <w:gridSpan w:val="5"/>
          </w:tcPr>
          <w:p>
            <w:pPr>
              <w:jc w:val="center"/>
              <w:ind w:right="420"/>
              <w:spacing w:after="0" w:line="196" w:lineRule="exact"/>
              <w:rPr>
                <w:sz w:val="20"/>
                <w:szCs w:val="20"/>
                <w:color w:val="auto"/>
              </w:rPr>
            </w:pPr>
            <w:r>
              <w:rPr>
                <w:rFonts w:ascii="Times New Roman" w:cs="Times New Roman" w:eastAsia="Times New Roman" w:hAnsi="Times New Roman"/>
                <w:sz w:val="18"/>
                <w:szCs w:val="18"/>
                <w:b w:val="1"/>
                <w:bCs w:val="1"/>
                <w:color w:val="auto"/>
              </w:rPr>
              <w:t>After Offering</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ClearOne,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1480" w:hanging="824"/>
        <w:spacing w:after="0"/>
        <w:tabs>
          <w:tab w:leader="none" w:pos="14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660" w:right="20" w:hanging="4"/>
        <w:spacing w:after="0" w:line="282" w:lineRule="auto"/>
        <w:tabs>
          <w:tab w:leader="none" w:pos="145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-1642745</wp:posOffset>
            </wp:positionV>
            <wp:extent cx="61893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-631190</wp:posOffset>
            </wp:positionV>
            <wp:extent cx="61893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285750</wp:posOffset>
            </wp:positionV>
            <wp:extent cx="61893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ind w:left="612" w:hanging="612"/>
        <w:spacing w:after="0"/>
        <w:tabs>
          <w:tab w:leader="none" w:pos="61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448310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17145</wp:posOffset>
            </wp:positionV>
            <wp:extent cx="6317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-121920</wp:posOffset>
            </wp:positionV>
            <wp:extent cx="63176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17615" cy="8890"/>
                    </a:xfrm>
                    <a:prstGeom prst="rect">
                      <a:avLst/>
                    </a:prstGeom>
                    <a:noFill/>
                  </pic:spPr>
                </pic:pic>
              </a:graphicData>
            </a:graphic>
          </wp:anchor>
        </w:drawing>
      </w:r>
    </w:p>
    <w:p>
      <w:pPr>
        <w:spacing w:after="0" w:line="3"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5715</wp:posOffset>
            </wp:positionV>
            <wp:extent cx="6317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pacing w:after="0" w:line="196" w:lineRule="exact"/>
        <w:rPr>
          <w:sz w:val="20"/>
          <w:szCs w:val="20"/>
          <w:color w:val="auto"/>
        </w:rPr>
      </w:pPr>
    </w:p>
    <w:p>
      <w:pPr>
        <w:ind w:left="672" w:hanging="672"/>
        <w:spacing w:after="0"/>
        <w:tabs>
          <w:tab w:leader="none" w:pos="67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292" w:right="8160" w:hanging="644"/>
        <w:spacing w:after="0" w:line="347" w:lineRule="exact"/>
        <w:tabs>
          <w:tab w:leader="none" w:pos="12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you a broker-dealer?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rFonts w:ascii="Times New Roman" w:cs="Times New Roman" w:eastAsia="Times New Roman" w:hAnsi="Times New Roman"/>
          <w:sz w:val="18"/>
          <w:szCs w:val="18"/>
          <w:color w:val="auto"/>
        </w:rPr>
      </w:pPr>
    </w:p>
    <w:p>
      <w:pPr>
        <w:ind w:left="1292" w:right="220" w:hanging="644"/>
        <w:spacing w:after="0" w:line="347" w:lineRule="exact"/>
        <w:tabs>
          <w:tab w:leader="none" w:pos="128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Note:If “no” to Section 3(b), the Commission’s staff has indicated that you should be identified as an underwriter in the Registration Statement.</w:t>
      </w:r>
    </w:p>
    <w:p>
      <w:pPr>
        <w:spacing w:after="0" w:line="225" w:lineRule="exact"/>
        <w:rPr>
          <w:sz w:val="20"/>
          <w:szCs w:val="20"/>
          <w:color w:val="auto"/>
        </w:rPr>
      </w:pPr>
    </w:p>
    <w:p>
      <w:pPr>
        <w:ind w:left="1292" w:right="7140" w:hanging="644"/>
        <w:spacing w:after="0" w:line="347" w:lineRule="exact"/>
        <w:tabs>
          <w:tab w:leader="none" w:pos="12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you an affiliate of a broker-dealer?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(d)If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ind w:left="1292"/>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Note:If “no” to Section 3(d), the Commission’s staff has indicated that you should be identified as an underwriter in the Registration Statement.</w:t>
      </w:r>
    </w:p>
    <w:p>
      <w:pPr>
        <w:spacing w:after="0" w:line="221" w:lineRule="exact"/>
        <w:rPr>
          <w:sz w:val="20"/>
          <w:szCs w:val="20"/>
          <w:color w:val="auto"/>
        </w:rPr>
      </w:pPr>
    </w:p>
    <w:p>
      <w:pPr>
        <w:ind w:left="632" w:hanging="632"/>
        <w:spacing w:after="0"/>
        <w:tabs>
          <w:tab w:leader="none" w:pos="63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Selling Stockholder.</w:t>
      </w:r>
    </w:p>
    <w:p>
      <w:pPr>
        <w:spacing w:after="0" w:line="227" w:lineRule="exact"/>
        <w:rPr>
          <w:rFonts w:ascii="Times New Roman" w:cs="Times New Roman" w:eastAsia="Times New Roman" w:hAnsi="Times New Roman"/>
          <w:sz w:val="18"/>
          <w:szCs w:val="18"/>
          <w:b w:val="1"/>
          <w:bCs w:val="1"/>
          <w:color w:val="auto"/>
        </w:rPr>
      </w:pPr>
    </w:p>
    <w:p>
      <w:pPr>
        <w:ind w:left="652"/>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rFonts w:ascii="Times New Roman" w:cs="Times New Roman" w:eastAsia="Times New Roman" w:hAnsi="Times New Roman"/>
          <w:sz w:val="18"/>
          <w:szCs w:val="18"/>
          <w:b w:val="1"/>
          <w:bCs w:val="1"/>
          <w:color w:val="auto"/>
        </w:rPr>
      </w:pPr>
    </w:p>
    <w:p>
      <w:pPr>
        <w:ind w:left="1452" w:hanging="804"/>
        <w:spacing w:after="0"/>
        <w:tabs>
          <w:tab w:leader="none" w:pos="14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205740</wp:posOffset>
            </wp:positionV>
            <wp:extent cx="61804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377190</wp:posOffset>
            </wp:positionV>
            <wp:extent cx="61804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205740</wp:posOffset>
            </wp:positionV>
            <wp:extent cx="61804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377190</wp:posOffset>
            </wp:positionV>
            <wp:extent cx="61804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ind w:left="20"/>
        <w:spacing w:after="0" w:line="180" w:lineRule="auto"/>
        <w:tabs>
          <w:tab w:leader="none" w:pos="1860" w:val="left"/>
        </w:tabs>
        <w:rPr>
          <w:sz w:val="20"/>
          <w:szCs w:val="20"/>
          <w:color w:val="auto"/>
        </w:rPr>
      </w:pPr>
      <w:r>
        <w:rPr>
          <w:rFonts w:ascii="Times New Roman" w:cs="Times New Roman" w:eastAsia="Times New Roman" w:hAnsi="Times New Roman"/>
          <w:sz w:val="32"/>
          <w:szCs w:val="32"/>
          <w:color w:val="auto"/>
          <w:vertAlign w:val="subscript"/>
        </w:rPr>
        <w:t>Date:</w:t>
      </w:r>
      <w:r>
        <w:rPr>
          <w:sz w:val="20"/>
          <w:szCs w:val="20"/>
          <w:color w:val="auto"/>
        </w:rPr>
        <w:tab/>
      </w:r>
      <w:r>
        <w:rPr>
          <w:rFonts w:ascii="Times New Roman" w:cs="Times New Roman" w:eastAsia="Times New Roman" w:hAnsi="Times New Roman"/>
          <w:sz w:val="16"/>
          <w:szCs w:val="16"/>
          <w:color w:val="auto"/>
        </w:rPr>
        <w:t>Beneficial</w:t>
      </w:r>
    </w:p>
    <w:p>
      <w:pPr>
        <w:spacing w:after="0" w:line="13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13335</wp:posOffset>
            </wp:positionV>
            <wp:extent cx="53574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25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26035</wp:posOffset>
            </wp:positionV>
            <wp:extent cx="57689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3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Title: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FAX A COPY (OR EMAIL A .PDF COPY) OF THE COMPLETED AND EXECUTED NOTICE AND QUESTIONNAIRE TO: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lowerLetter"/>
      <w:start w:val="1"/>
    </w:lvl>
  </w:abstractNum>
  <w:abstractNum w:abstractNumId="3">
    <w:nsid w:val="2463B9EA"/>
    <w:multiLevelType w:val="hybridMultilevel"/>
    <w:lvl w:ilvl="0">
      <w:lvlJc w:val="left"/>
      <w:lvlText w:val="(%1)"/>
      <w:numFmt w:val="upperLetter"/>
      <w:start w:val="1"/>
    </w:lvl>
  </w:abstractNum>
  <w:abstractNum w:abstractNumId="4">
    <w:nsid w:val="5E884ADC"/>
    <w:multiLevelType w:val="hybridMultilevel"/>
    <w:lvl w:ilvl="0">
      <w:lvlJc w:val="left"/>
      <w:lvlText w:val="(%1)"/>
      <w:numFmt w:val="upperLetter"/>
      <w:start w:val="24"/>
    </w:lvl>
  </w:abstractNum>
  <w:abstractNum w:abstractNumId="5">
    <w:nsid w:val="51EAD36B"/>
    <w:multiLevelType w:val="hybridMultilevel"/>
    <w:lvl w:ilvl="0">
      <w:lvlJc w:val="left"/>
      <w:lvlText w:val="(%1)"/>
      <w:numFmt w:val="lowerLetter"/>
      <w:start w:val="4"/>
    </w:lvl>
  </w:abstractNum>
  <w:abstractNum w:abstractNumId="6">
    <w:nsid w:val="2D517796"/>
    <w:multiLevelType w:val="hybridMultilevel"/>
    <w:lvl w:ilvl="0">
      <w:lvlJc w:val="left"/>
      <w:lvlText w:val="%1)"/>
      <w:numFmt w:val="lowerLetter"/>
      <w:start w:val="4"/>
    </w:lvl>
    <w:lvl w:ilvl="1">
      <w:lvlJc w:val="left"/>
      <w:lvlText w:val="%2."/>
      <w:numFmt w:val="lowerRoman"/>
      <w:start w:val="1"/>
    </w:lvl>
  </w:abstractNum>
  <w:abstractNum w:abstractNumId="7">
    <w:nsid w:val="580BD78F"/>
    <w:multiLevelType w:val="hybridMultilevel"/>
    <w:lvl w:ilvl="0">
      <w:lvlJc w:val="left"/>
      <w:lvlText w:val="%1."/>
      <w:numFmt w:val="lowerRoman"/>
      <w:start w:val="1"/>
    </w:lvl>
  </w:abstractNum>
  <w:abstractNum w:abstractNumId="8">
    <w:nsid w:val="153EA438"/>
    <w:multiLevelType w:val="hybridMultilevel"/>
    <w:lvl w:ilvl="0">
      <w:lvlJc w:val="left"/>
      <w:lvlText w:val="%1)"/>
      <w:numFmt w:val="lowerLetter"/>
      <w:start w:val="1"/>
    </w:lvl>
  </w:abstractNum>
  <w:abstractNum w:abstractNumId="9">
    <w:nsid w:val="3855585C"/>
    <w:multiLevelType w:val="hybridMultilevel"/>
    <w:lvl w:ilvl="0">
      <w:lvlJc w:val="left"/>
      <w:lvlText w:val="%1)"/>
      <w:numFmt w:val="lowerLetter"/>
      <w:start w:val="5"/>
    </w:lvl>
  </w:abstractNum>
  <w:abstractNum w:abstractNumId="10">
    <w:nsid w:val="70A64E2A"/>
    <w:multiLevelType w:val="hybridMultilevel"/>
    <w:lvl w:ilvl="0">
      <w:lvlJc w:val="left"/>
      <w:lvlText w:val="%1)"/>
      <w:numFmt w:val="lowerLetter"/>
      <w:start w:val="6"/>
    </w:lvl>
    <w:lvl w:ilvl="1">
      <w:lvlJc w:val="left"/>
      <w:lvlText w:val="%2."/>
      <w:numFmt w:val="lowerRoman"/>
      <w:start w:val="1"/>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1)"/>
      <w:numFmt w:val="lowerLetter"/>
      <w:start w:val="2"/>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1)"/>
      <w:numFmt w:val="lowerLetter"/>
      <w:start w:val="5"/>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2"/>
    </w:lvl>
    <w:lvl w:ilvl="1">
      <w:lvlJc w:val="left"/>
      <w:lvlText w:val="["/>
      <w:numFmt w:val="bullet"/>
      <w:start w:val="1"/>
    </w:lvl>
  </w:abstractNum>
  <w:abstractNum w:abstractNumId="17">
    <w:nsid w:val="7A6D8D3C"/>
    <w:multiLevelType w:val="hybridMultilevel"/>
    <w:lvl w:ilvl="0">
      <w:lvlJc w:val="left"/>
      <w:lvlText w:val="(%1)"/>
      <w:numFmt w:val="decimal"/>
      <w:start w:val="4"/>
    </w:lvl>
  </w:abstractNum>
  <w:abstractNum w:abstractNumId="18">
    <w:nsid w:val="4B588F54"/>
    <w:multiLevelType w:val="hybridMultilevel"/>
    <w:lvl w:ilvl="0">
      <w:lvlJc w:val="left"/>
      <w:lvlText w:val="(%1)"/>
      <w:numFmt w:val="lowerLetter"/>
      <w:start w:val="1"/>
    </w:lvl>
    <w:lvl w:ilvl="1">
      <w:lvlJc w:val="left"/>
      <w:lvlText w:val="(%2)"/>
      <w:numFmt w:val="lowerRoman"/>
      <w:start w:val="1"/>
    </w:lvl>
  </w:abstractNum>
  <w:abstractNum w:abstractNumId="19">
    <w:nsid w:val="542289EC"/>
    <w:multiLevelType w:val="hybridMultilevel"/>
    <w:lvl w:ilvl="0">
      <w:lvlJc w:val="left"/>
      <w:lvlText w:val="(%1)"/>
      <w:numFmt w:val="lowerLetter"/>
      <w:start w:val="2"/>
    </w:lvl>
    <w:lvl w:ilvl="1">
      <w:lvlJc w:val="left"/>
      <w:lvlText w:val="(%2)"/>
      <w:numFmt w:val="lowerRoman"/>
      <w:start w:val="1"/>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1"/>
    </w:lvl>
    <w:lvl w:ilvl="1">
      <w:lvlJc w:val="left"/>
      <w:lvlText w:val="(%2)"/>
      <w:numFmt w:val="lowerLetter"/>
      <w:start w:val="1"/>
    </w:lvl>
  </w:abstractNum>
  <w:abstractNum w:abstractNumId="22">
    <w:nsid w:val="7644A45C"/>
    <w:multiLevelType w:val="hybridMultilevel"/>
    <w:lvl w:ilvl="0">
      <w:lvlJc w:val="left"/>
      <w:lvlText w:val="(%1)"/>
      <w:numFmt w:val="lowerLetter"/>
      <w:start w:val="9"/>
    </w:lvl>
    <w:lvl w:ilvl="1">
      <w:lvlJc w:val="left"/>
      <w:lvlText w:val="%2"/>
      <w:numFmt w:val="lowerLetter"/>
      <w:start w:val="1"/>
    </w:lvl>
  </w:abstractNum>
  <w:abstractNum w:abstractNumId="23">
    <w:nsid w:val="32FFF902"/>
    <w:multiLevelType w:val="hybridMultilevel"/>
    <w:lvl w:ilvl="0">
      <w:lvlJc w:val="left"/>
      <w:lvlText w:val="(%1)"/>
      <w:numFmt w:val="lowerLetter"/>
      <w:start w:val="2"/>
    </w:lvl>
  </w:abstractNum>
  <w:abstractNum w:abstractNumId="24">
    <w:nsid w:val="684A481A"/>
    <w:multiLevelType w:val="hybridMultilevel"/>
    <w:lvl w:ilvl="0">
      <w:lvlJc w:val="left"/>
      <w:lvlText w:val="(%1)"/>
      <w:numFmt w:val="lowerRoman"/>
      <w:start w:val="3"/>
    </w:lvl>
  </w:abstractNum>
  <w:abstractNum w:abstractNumId="25">
    <w:nsid w:val="579478FE"/>
    <w:multiLevelType w:val="hybridMultilevel"/>
    <w:lvl w:ilvl="0">
      <w:lvlJc w:val="left"/>
      <w:lvlText w:val="(%1)"/>
      <w:numFmt w:val="lowerLetter"/>
      <w:start w:val="2"/>
    </w:lvl>
  </w:abstractNum>
  <w:abstractNum w:abstractNumId="26">
    <w:nsid w:val="749ABB43"/>
    <w:multiLevelType w:val="hybridMultilevel"/>
    <w:lvl w:ilvl="0">
      <w:lvlJc w:val="left"/>
      <w:lvlText w:val="%1"/>
      <w:numFmt w:val="lowerLetter"/>
      <w:start w:val="1"/>
    </w:lvl>
    <w:lvl w:ilvl="1">
      <w:lvlJc w:val="left"/>
      <w:lvlText w:val="(%2)"/>
      <w:numFmt w:val="lowerLetter"/>
      <w:start w:val="1"/>
    </w:lvl>
  </w:abstractNum>
  <w:abstractNum w:abstractNumId="27">
    <w:nsid w:val="3DC240FB"/>
    <w:multiLevelType w:val="hybridMultilevel"/>
    <w:lvl w:ilvl="0">
      <w:lvlJc w:val="left"/>
      <w:lvlText w:val="(%1)"/>
      <w:numFmt w:val="lowerLetter"/>
      <w:start w:val="61"/>
    </w:lvl>
    <w:lvl w:ilvl="1">
      <w:lvlJc w:val="left"/>
      <w:lvlText w:val="%2"/>
      <w:numFmt w:val="lowerLetter"/>
      <w:start w:val="1"/>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4"/>
    </w:lvl>
  </w:abstractNum>
  <w:abstractNum w:abstractNumId="31">
    <w:nsid w:val="12E685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
    <w:nsid w:val="70C6A529"/>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3">
    <w:nsid w:val="520EEDD1"/>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lowerLetter"/>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2"/>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2"/>
    </w:lvl>
  </w:abstractNum>
  <w:abstractNum w:abstractNumId="46">
    <w:nsid w:val="741226BB"/>
    <w:multiLevelType w:val="hybridMultilevel"/>
    <w:lvl w:ilvl="0">
      <w:lvlJc w:val="left"/>
      <w:lvlText w:val="(%1)"/>
      <w:numFmt w:val="decimal"/>
      <w:start w:val="5"/>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2"/>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2"/>
    </w:lvl>
    <w:lvl w:ilvl="1">
      <w:lvlJc w:val="left"/>
      <w:lvlText w:val="(%2)"/>
      <w:numFmt w:val="lowerLetter"/>
      <w:start w:val="1"/>
    </w:lvl>
  </w:abstractNum>
  <w:abstractNum w:abstractNumId="54">
    <w:nsid w:val="310C50B3"/>
    <w:multiLevelType w:val="hybridMultilevel"/>
    <w:lvl w:ilvl="0">
      <w:lvlJc w:val="left"/>
      <w:lvlText w:val="(%1)"/>
      <w:numFmt w:val="lowerLetter"/>
      <w:start w:val="2"/>
    </w:lvl>
  </w:abstractNum>
  <w:abstractNum w:abstractNumId="55">
    <w:nsid w:val="5FF87E05"/>
    <w:multiLevelType w:val="hybridMultilevel"/>
    <w:lvl w:ilvl="0">
      <w:lvlJc w:val="left"/>
      <w:lvlText w:val="(%1)"/>
      <w:numFmt w:val="lowerLetter"/>
      <w:start w:val="4"/>
    </w:lvl>
  </w:abstractNum>
  <w:abstractNum w:abstractNumId="56">
    <w:nsid w:val="2F305DEF"/>
    <w:multiLevelType w:val="hybridMultilevel"/>
    <w:lvl w:ilvl="0">
      <w:lvlJc w:val="left"/>
      <w:lvlText w:val="(%1)"/>
      <w:numFmt w:val="lowerLetter"/>
      <w:start w:val="5"/>
    </w:lvl>
  </w:abstractNum>
  <w:abstractNum w:abstractNumId="57">
    <w:nsid w:val="25A70BF7"/>
    <w:multiLevelType w:val="hybridMultilevel"/>
    <w:lvl w:ilvl="0">
      <w:lvlJc w:val="left"/>
      <w:lvlText w:val="%1."/>
      <w:numFmt w:val="decimal"/>
      <w:start w:val="3"/>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1"/>
    </w:lvl>
    <w:lvl w:ilvl="1">
      <w:lvlJc w:val="left"/>
      <w:lvlText w:val="(%2)"/>
      <w:numFmt w:val="lowerLetter"/>
      <w:start w:val="2"/>
    </w:lvl>
  </w:abstractNum>
  <w:abstractNum w:abstractNumId="60">
    <w:nsid w:val="1F48EAA1"/>
    <w:multiLevelType w:val="hybridMultilevel"/>
    <w:lvl w:ilvl="0">
      <w:lvlJc w:val="left"/>
      <w:lvlText w:val="(%1)"/>
      <w:numFmt w:val="lowerLetter"/>
      <w:start w:val="61"/>
    </w:lvl>
    <w:lvl w:ilvl="1">
      <w:lvlJc w:val="left"/>
      <w:lvlText w:val="(%2)"/>
      <w:numFmt w:val="lowerLetter"/>
      <w:start w:val="3"/>
    </w:lvl>
  </w:abstractNum>
  <w:abstractNum w:abstractNumId="61">
    <w:nsid w:val="1381823A"/>
    <w:multiLevelType w:val="hybridMultilevel"/>
    <w:lvl w:ilvl="0">
      <w:lvlJc w:val="left"/>
      <w:lvlText w:val="(%1)"/>
      <w:numFmt w:val="lowerLetter"/>
      <w:start w:val="4"/>
    </w:lvl>
  </w:abstractNum>
  <w:abstractNum w:abstractNumId="62">
    <w:nsid w:val="5DB70AE5"/>
    <w:multiLevelType w:val="hybridMultilevel"/>
    <w:lvl w:ilvl="0">
      <w:lvlJc w:val="left"/>
      <w:lvlText w:val="%1"/>
      <w:numFmt w:val="decimal"/>
      <w:start w:val="1"/>
    </w:lvl>
    <w:lvl w:ilvl="1">
      <w:lvlJc w:val="left"/>
      <w:lvlText w:val="(%2)"/>
      <w:numFmt w:val="lowerLetter"/>
      <w:start w:val="10"/>
    </w:lvl>
  </w:abstractNum>
  <w:abstractNum w:abstractNumId="63">
    <w:nsid w:val="100F8FCA"/>
    <w:multiLevelType w:val="hybridMultilevel"/>
    <w:lvl w:ilvl="0">
      <w:lvlJc w:val="left"/>
      <w:lvlText w:val="%1."/>
      <w:numFmt w:val="decimal"/>
      <w:start w:val="4"/>
    </w:lvl>
    <w:lvl w:ilvl="1">
      <w:lvlJc w:val="left"/>
      <w:lvlText w:val="%2"/>
      <w:numFmt w:val="lowerLetter"/>
      <w:start w:val="1"/>
    </w:lvl>
  </w:abstractNum>
  <w:abstractNum w:abstractNumId="64">
    <w:nsid w:val="6590700B"/>
    <w:multiLevelType w:val="hybridMultilevel"/>
    <w:lvl w:ilvl="0">
      <w:lvlJc w:val="left"/>
      <w:lvlText w:val="%1."/>
      <w:numFmt w:val="decimal"/>
      <w:start w:val="5"/>
    </w:lvl>
    <w:lvl w:ilvl="1">
      <w:lvlJc w:val="left"/>
      <w:lvlText w:val="(%2)"/>
      <w:numFmt w:val="lowerLetter"/>
      <w:start w:val="1"/>
    </w:lvl>
  </w:abstractNum>
  <w:abstractNum w:abstractNumId="65">
    <w:nsid w:val="15014ACB"/>
    <w:multiLevelType w:val="hybridMultilevel"/>
    <w:lvl w:ilvl="0">
      <w:lvlJc w:val="left"/>
      <w:lvlText w:val="(%1)"/>
      <w:numFmt w:val="lowerLetter"/>
      <w:start w:val="4"/>
    </w:lvl>
  </w:abstractNum>
  <w:abstractNum w:abstractNumId="66">
    <w:nsid w:val="5F5E7FD0"/>
    <w:multiLevelType w:val="hybridMultilevel"/>
    <w:lvl w:ilvl="0">
      <w:lvlJc w:val="left"/>
      <w:lvlText w:val="%1."/>
      <w:numFmt w:val="decimal"/>
      <w:start w:val="6"/>
    </w:lvl>
    <w:lvl w:ilvl="1">
      <w:lvlJc w:val="left"/>
      <w:lvlText w:val="(%2)"/>
      <w:numFmt w:val="lowerLetter"/>
      <w:start w:val="1"/>
    </w:lvl>
  </w:abstractNum>
  <w:abstractNum w:abstractNumId="67">
    <w:nsid w:val="98A3148"/>
    <w:multiLevelType w:val="hybridMultilevel"/>
    <w:lvl w:ilvl="0">
      <w:lvlJc w:val="left"/>
      <w:lvlText w:val="(%1)"/>
      <w:numFmt w:val="lowerLetter"/>
      <w:start w:val="7"/>
    </w:lvl>
  </w:abstractNum>
  <w:abstractNum w:abstractNumId="68">
    <w:nsid w:val="799D0247"/>
    <w:multiLevelType w:val="hybridMultilevel"/>
    <w:lvl w:ilvl="0">
      <w:lvlJc w:val="left"/>
      <w:lvlText w:val="%1."/>
      <w:numFmt w:val="decimal"/>
      <w:start w:val="1"/>
    </w:lvl>
    <w:lvl w:ilvl="1">
      <w:lvlJc w:val="left"/>
      <w:lvlText w:val="(%2)"/>
      <w:numFmt w:val="lowerLetter"/>
      <w:start w:val="1"/>
    </w:lvl>
  </w:abstractNum>
  <w:abstractNum w:abstractNumId="69">
    <w:nsid w:val="6B94764"/>
    <w:multiLevelType w:val="hybridMultilevel"/>
    <w:lvl w:ilvl="0">
      <w:lvlJc w:val="left"/>
      <w:lvlText w:val="%1."/>
      <w:numFmt w:val="decimal"/>
      <w:start w:val="2"/>
    </w:lvl>
  </w:abstractNum>
  <w:abstractNum w:abstractNumId="70">
    <w:nsid w:val="42C296BD"/>
    <w:multiLevelType w:val="hybridMultilevel"/>
    <w:lvl w:ilvl="0">
      <w:lvlJc w:val="left"/>
      <w:lvlText w:val="%1."/>
      <w:numFmt w:val="decimal"/>
      <w:start w:val="3"/>
    </w:lvl>
    <w:lvl w:ilvl="1">
      <w:lvlJc w:val="left"/>
      <w:lvlText w:val="(%2)"/>
      <w:numFmt w:val="lowerLetter"/>
      <w:start w:val="1"/>
    </w:lvl>
  </w:abstractNum>
  <w:abstractNum w:abstractNumId="71">
    <w:nsid w:val="168E121F"/>
    <w:multiLevelType w:val="hybridMultilevel"/>
    <w:lvl w:ilvl="0">
      <w:lvlJc w:val="left"/>
      <w:lvlText w:val="(%1)"/>
      <w:numFmt w:val="lowerLetter"/>
      <w:start w:val="3"/>
    </w:lvl>
  </w:abstractNum>
  <w:abstractNum w:abstractNumId="72">
    <w:nsid w:val="1EBA5D23"/>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2026-03-05T15:39:05Z</dcterms:created>
  <dcterms:modified xsi:type="dcterms:W3CDTF">2026-03-05T15:39:05Z</dcterms:modified>
</cp:coreProperties>
</file>