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As filed with the Securities and Exchange Commission on August 25, 2020</w:t>
      </w:r>
    </w:p>
    <w:p>
      <w:pPr>
        <w:ind w:left="98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549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S-3</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 UNDER</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CLEARONE, INC.</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222" w:right="379" w:bottom="1440" w:gutter="0" w:footer="0" w:header="0"/>
        </w:sectPr>
      </w:pPr>
    </w:p>
    <w:p>
      <w:pPr>
        <w:jc w:val="center"/>
        <w:ind w:right="1100"/>
        <w:spacing w:after="0" w:line="229" w:lineRule="auto"/>
        <w:rPr>
          <w:sz w:val="20"/>
          <w:szCs w:val="20"/>
          <w:color w:val="auto"/>
        </w:rPr>
      </w:pPr>
      <w:r>
        <w:rPr>
          <w:rFonts w:ascii="Arial" w:cs="Arial" w:eastAsia="Arial" w:hAnsi="Arial"/>
          <w:sz w:val="14"/>
          <w:szCs w:val="14"/>
          <w:b w:val="1"/>
          <w:bCs w:val="1"/>
          <w:color w:val="auto"/>
        </w:rPr>
        <w:t>DELAWARE</w:t>
      </w:r>
    </w:p>
    <w:p>
      <w:pPr>
        <w:jc w:val="center"/>
        <w:ind w:right="110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560"/>
        <w:spacing w:after="0" w:line="229" w:lineRule="auto"/>
        <w:rPr>
          <w:sz w:val="20"/>
          <w:szCs w:val="20"/>
          <w:color w:val="auto"/>
        </w:rPr>
      </w:pPr>
      <w:r>
        <w:rPr>
          <w:rFonts w:ascii="Arial" w:cs="Arial" w:eastAsia="Arial" w:hAnsi="Arial"/>
          <w:sz w:val="14"/>
          <w:szCs w:val="14"/>
          <w:b w:val="1"/>
          <w:bCs w:val="1"/>
          <w:color w:val="auto"/>
        </w:rPr>
        <w:t>87-0398877</w:t>
      </w:r>
    </w:p>
    <w:p>
      <w:pPr>
        <w:jc w:val="center"/>
        <w:ind w:right="1560"/>
        <w:spacing w:after="0"/>
        <w:rPr>
          <w:sz w:val="20"/>
          <w:szCs w:val="20"/>
          <w:color w:val="auto"/>
        </w:rPr>
      </w:pPr>
      <w:r>
        <w:rPr>
          <w:rFonts w:ascii="Arial" w:cs="Arial" w:eastAsia="Arial" w:hAnsi="Arial"/>
          <w:sz w:val="13"/>
          <w:szCs w:val="13"/>
          <w:color w:val="auto"/>
        </w:rPr>
        <w:t>(I.R.S. Employer Identification Number)</w:t>
      </w:r>
    </w:p>
    <w:p>
      <w:pPr>
        <w:spacing w:after="0" w:line="19" w:lineRule="exact"/>
        <w:rPr>
          <w:sz w:val="24"/>
          <w:szCs w:val="24"/>
          <w:color w:val="auto"/>
        </w:rPr>
      </w:pPr>
    </w:p>
    <w:p>
      <w:pPr>
        <w:sectPr>
          <w:pgSz w:w="11900" w:h="16838" w:orient="portrait"/>
          <w:cols w:equalWidth="0" w:num="2">
            <w:col w:w="6620" w:space="720"/>
            <w:col w:w="3860"/>
          </w:cols>
          <w:pgMar w:left="320" w:top="222" w:right="37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5225 Wiley Post Way</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Suite 500</w:t>
      </w:r>
    </w:p>
    <w:p>
      <w:pPr>
        <w:jc w:val="center"/>
        <w:ind w:right="-39"/>
        <w:spacing w:after="0" w:line="235" w:lineRule="auto"/>
        <w:rPr>
          <w:sz w:val="20"/>
          <w:szCs w:val="20"/>
          <w:color w:val="auto"/>
        </w:rPr>
      </w:pPr>
      <w:r>
        <w:rPr>
          <w:rFonts w:ascii="Arial" w:cs="Arial" w:eastAsia="Arial" w:hAnsi="Arial"/>
          <w:sz w:val="14"/>
          <w:szCs w:val="14"/>
          <w:b w:val="1"/>
          <w:bCs w:val="1"/>
          <w:color w:val="auto"/>
        </w:rPr>
        <w:t>Salt Lake City, Utah 84116</w:t>
      </w:r>
    </w:p>
    <w:p>
      <w:pPr>
        <w:jc w:val="center"/>
        <w:ind w:right="-39"/>
        <w:spacing w:after="0" w:line="236" w:lineRule="auto"/>
        <w:rPr>
          <w:sz w:val="20"/>
          <w:szCs w:val="20"/>
          <w:color w:val="auto"/>
        </w:rPr>
      </w:pPr>
      <w:r>
        <w:rPr>
          <w:rFonts w:ascii="Arial" w:cs="Arial" w:eastAsia="Arial" w:hAnsi="Arial"/>
          <w:sz w:val="14"/>
          <w:szCs w:val="14"/>
          <w:b w:val="1"/>
          <w:bCs w:val="1"/>
          <w:color w:val="auto"/>
        </w:rPr>
        <w:t>(801) 975-7200</w:t>
      </w:r>
    </w:p>
    <w:p>
      <w:pPr>
        <w:jc w:val="center"/>
        <w:ind w:right="-39"/>
        <w:spacing w:after="0" w:line="236"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39"/>
        <w:spacing w:after="0" w:line="236" w:lineRule="auto"/>
        <w:rPr>
          <w:sz w:val="20"/>
          <w:szCs w:val="20"/>
          <w:color w:val="auto"/>
        </w:rPr>
      </w:pPr>
      <w:r>
        <w:rPr>
          <w:rFonts w:ascii="Arial" w:cs="Arial" w:eastAsia="Arial" w:hAnsi="Arial"/>
          <w:sz w:val="14"/>
          <w:szCs w:val="14"/>
          <w:color w:val="auto"/>
        </w:rPr>
        <w:t>area code, of registrant’s principal executive offices)</w:t>
      </w:r>
    </w:p>
    <w:p>
      <w:pPr>
        <w:jc w:val="center"/>
        <w:ind w:right="-39"/>
        <w:spacing w:after="0" w:line="236" w:lineRule="auto"/>
        <w:rPr>
          <w:sz w:val="20"/>
          <w:szCs w:val="20"/>
          <w:color w:val="auto"/>
        </w:rPr>
      </w:pPr>
      <w:r>
        <w:rPr>
          <w:rFonts w:ascii="Arial" w:cs="Arial" w:eastAsia="Arial" w:hAnsi="Arial"/>
          <w:sz w:val="14"/>
          <w:szCs w:val="14"/>
          <w:b w:val="1"/>
          <w:bCs w:val="1"/>
          <w:color w:val="auto"/>
        </w:rPr>
        <w:t>Zeynep Hakimoglu</w:t>
      </w:r>
    </w:p>
    <w:p>
      <w:pPr>
        <w:jc w:val="center"/>
        <w:ind w:right="-39"/>
        <w:spacing w:after="0" w:line="23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36" w:lineRule="auto"/>
        <w:rPr>
          <w:sz w:val="20"/>
          <w:szCs w:val="20"/>
          <w:color w:val="auto"/>
        </w:rPr>
      </w:pPr>
      <w:r>
        <w:rPr>
          <w:rFonts w:ascii="Arial" w:cs="Arial" w:eastAsia="Arial" w:hAnsi="Arial"/>
          <w:sz w:val="14"/>
          <w:szCs w:val="14"/>
          <w:b w:val="1"/>
          <w:bCs w:val="1"/>
          <w:color w:val="auto"/>
        </w:rPr>
        <w:t>ClearOne, Inc.</w:t>
      </w:r>
    </w:p>
    <w:p>
      <w:pPr>
        <w:jc w:val="center"/>
        <w:ind w:right="-39"/>
        <w:spacing w:after="0" w:line="236" w:lineRule="auto"/>
        <w:rPr>
          <w:sz w:val="20"/>
          <w:szCs w:val="20"/>
          <w:color w:val="auto"/>
        </w:rPr>
      </w:pPr>
      <w:r>
        <w:rPr>
          <w:rFonts w:ascii="Arial" w:cs="Arial" w:eastAsia="Arial" w:hAnsi="Arial"/>
          <w:sz w:val="14"/>
          <w:szCs w:val="14"/>
          <w:b w:val="1"/>
          <w:bCs w:val="1"/>
          <w:color w:val="auto"/>
        </w:rPr>
        <w:t>5225 Wiley Post Way, Suite 500</w:t>
      </w:r>
    </w:p>
    <w:p>
      <w:pPr>
        <w:jc w:val="center"/>
        <w:ind w:right="-39"/>
        <w:spacing w:after="0" w:line="236" w:lineRule="auto"/>
        <w:rPr>
          <w:sz w:val="20"/>
          <w:szCs w:val="20"/>
          <w:color w:val="auto"/>
        </w:rPr>
      </w:pPr>
      <w:r>
        <w:rPr>
          <w:rFonts w:ascii="Arial" w:cs="Arial" w:eastAsia="Arial" w:hAnsi="Arial"/>
          <w:sz w:val="14"/>
          <w:szCs w:val="14"/>
          <w:b w:val="1"/>
          <w:bCs w:val="1"/>
          <w:color w:val="auto"/>
        </w:rPr>
        <w:t>Salt Lake City, Utah 84116</w:t>
      </w:r>
    </w:p>
    <w:p>
      <w:pPr>
        <w:jc w:val="center"/>
        <w:ind w:right="-39"/>
        <w:spacing w:after="0" w:line="236" w:lineRule="auto"/>
        <w:rPr>
          <w:sz w:val="20"/>
          <w:szCs w:val="20"/>
          <w:color w:val="auto"/>
        </w:rPr>
      </w:pPr>
      <w:r>
        <w:rPr>
          <w:rFonts w:ascii="Arial" w:cs="Arial" w:eastAsia="Arial" w:hAnsi="Arial"/>
          <w:sz w:val="14"/>
          <w:szCs w:val="14"/>
          <w:b w:val="1"/>
          <w:bCs w:val="1"/>
          <w:color w:val="auto"/>
        </w:rPr>
        <w:t>(801) 975-7200</w:t>
      </w:r>
    </w:p>
    <w:p>
      <w:pPr>
        <w:jc w:val="center"/>
        <w:ind w:right="-39"/>
        <w:spacing w:after="0" w:line="236" w:lineRule="auto"/>
        <w:rPr>
          <w:sz w:val="20"/>
          <w:szCs w:val="20"/>
          <w:color w:val="auto"/>
        </w:rPr>
      </w:pPr>
      <w:r>
        <w:rPr>
          <w:rFonts w:ascii="Arial" w:cs="Arial" w:eastAsia="Arial" w:hAnsi="Arial"/>
          <w:sz w:val="14"/>
          <w:szCs w:val="14"/>
          <w:color w:val="auto"/>
        </w:rPr>
        <w:t>(Name, address, including zip code, and telephone number,</w:t>
      </w:r>
    </w:p>
    <w:p>
      <w:pPr>
        <w:jc w:val="center"/>
        <w:ind w:right="-39"/>
        <w:spacing w:after="0" w:line="236" w:lineRule="auto"/>
        <w:rPr>
          <w:sz w:val="20"/>
          <w:szCs w:val="20"/>
          <w:color w:val="auto"/>
        </w:rPr>
      </w:pPr>
      <w:r>
        <w:rPr>
          <w:rFonts w:ascii="Arial" w:cs="Arial" w:eastAsia="Arial" w:hAnsi="Arial"/>
          <w:sz w:val="14"/>
          <w:szCs w:val="14"/>
          <w:color w:val="auto"/>
        </w:rPr>
        <w:t>including area code, of agent for service)</w:t>
      </w:r>
    </w:p>
    <w:p>
      <w:pPr>
        <w:jc w:val="center"/>
        <w:ind w:right="-59"/>
        <w:spacing w:after="0" w:line="236" w:lineRule="auto"/>
        <w:rPr>
          <w:sz w:val="20"/>
          <w:szCs w:val="20"/>
          <w:color w:val="auto"/>
        </w:rPr>
      </w:pPr>
      <w:r>
        <w:rPr>
          <w:rFonts w:ascii="Arial" w:cs="Arial" w:eastAsia="Arial" w:hAnsi="Arial"/>
          <w:sz w:val="14"/>
          <w:szCs w:val="14"/>
          <w:b w:val="1"/>
          <w:bCs w:val="1"/>
          <w:color w:val="auto"/>
        </w:rPr>
        <w:t>Copies to:</w:t>
      </w:r>
    </w:p>
    <w:p>
      <w:pPr>
        <w:jc w:val="center"/>
        <w:ind w:right="-39"/>
        <w:spacing w:after="0" w:line="236" w:lineRule="auto"/>
        <w:rPr>
          <w:sz w:val="20"/>
          <w:szCs w:val="20"/>
          <w:color w:val="auto"/>
        </w:rPr>
      </w:pPr>
      <w:r>
        <w:rPr>
          <w:rFonts w:ascii="Arial" w:cs="Arial" w:eastAsia="Arial" w:hAnsi="Arial"/>
          <w:sz w:val="14"/>
          <w:szCs w:val="14"/>
          <w:b w:val="1"/>
          <w:bCs w:val="1"/>
          <w:color w:val="auto"/>
        </w:rPr>
        <w:t>Michael Dunn, Esq.</w:t>
      </w:r>
    </w:p>
    <w:p>
      <w:pPr>
        <w:jc w:val="center"/>
        <w:ind w:right="-39"/>
        <w:spacing w:after="0" w:line="236" w:lineRule="auto"/>
        <w:rPr>
          <w:sz w:val="20"/>
          <w:szCs w:val="20"/>
          <w:color w:val="auto"/>
        </w:rPr>
      </w:pPr>
      <w:r>
        <w:rPr>
          <w:rFonts w:ascii="Arial" w:cs="Arial" w:eastAsia="Arial" w:hAnsi="Arial"/>
          <w:sz w:val="14"/>
          <w:szCs w:val="14"/>
          <w:color w:val="auto"/>
        </w:rPr>
        <w:t>Seyfarth Shaw LLP</w:t>
      </w:r>
    </w:p>
    <w:p>
      <w:pPr>
        <w:jc w:val="center"/>
        <w:ind w:right="-39"/>
        <w:spacing w:after="0" w:line="235" w:lineRule="auto"/>
        <w:rPr>
          <w:sz w:val="20"/>
          <w:szCs w:val="20"/>
          <w:color w:val="auto"/>
        </w:rPr>
      </w:pPr>
      <w:r>
        <w:rPr>
          <w:rFonts w:ascii="Arial" w:cs="Arial" w:eastAsia="Arial" w:hAnsi="Arial"/>
          <w:sz w:val="14"/>
          <w:szCs w:val="14"/>
          <w:color w:val="auto"/>
        </w:rPr>
        <w:t>700 Milam Street, Suite 1400</w:t>
      </w:r>
    </w:p>
    <w:p>
      <w:pPr>
        <w:jc w:val="center"/>
        <w:ind w:right="-39"/>
        <w:spacing w:after="0" w:line="236" w:lineRule="auto"/>
        <w:rPr>
          <w:sz w:val="20"/>
          <w:szCs w:val="20"/>
          <w:color w:val="auto"/>
        </w:rPr>
      </w:pPr>
      <w:r>
        <w:rPr>
          <w:rFonts w:ascii="Arial" w:cs="Arial" w:eastAsia="Arial" w:hAnsi="Arial"/>
          <w:sz w:val="14"/>
          <w:szCs w:val="14"/>
          <w:color w:val="auto"/>
        </w:rPr>
        <w:t>Houston, TX 77002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(713) 238-1817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86360</wp:posOffset>
            </wp:positionV>
            <wp:extent cx="1800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16510"/>
                    </a:xfrm>
                    <a:prstGeom prst="rect">
                      <a:avLst/>
                    </a:prstGeom>
                    <a:noFill/>
                  </pic:spPr>
                </pic:pic>
              </a:graphicData>
            </a:graphic>
          </wp:anchor>
        </w:drawing>
      </w:r>
    </w:p>
    <w:p>
      <w:pPr>
        <w:spacing w:after="0" w:line="199" w:lineRule="exact"/>
        <w:rPr>
          <w:sz w:val="24"/>
          <w:szCs w:val="24"/>
          <w:color w:val="auto"/>
        </w:rPr>
      </w:pPr>
    </w:p>
    <w:p>
      <w:pPr>
        <w:ind w:left="32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41"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37" w:lineRule="exact"/>
        <w:rPr>
          <w:sz w:val="24"/>
          <w:szCs w:val="24"/>
          <w:color w:val="auto"/>
        </w:rPr>
      </w:pPr>
    </w:p>
    <w:p>
      <w:pPr>
        <w:ind w:firstLine="316"/>
        <w:spacing w:after="0" w:line="25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ind w:firstLine="316"/>
        <w:spacing w:after="0" w:line="26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spacing w:after="0" w:line="3" w:lineRule="exact"/>
        <w:rPr>
          <w:sz w:val="24"/>
          <w:szCs w:val="24"/>
          <w:color w:val="auto"/>
        </w:rPr>
      </w:pPr>
    </w:p>
    <w:p>
      <w:pPr>
        <w:ind w:right="200" w:firstLine="316"/>
        <w:spacing w:after="0" w:line="263" w:lineRule="auto"/>
        <w:rPr>
          <w:sz w:val="20"/>
          <w:szCs w:val="20"/>
          <w:color w:val="auto"/>
        </w:rPr>
      </w:pPr>
      <w:r>
        <w:rPr>
          <w:rFonts w:ascii="Arial" w:cs="Arial" w:eastAsia="Arial" w:hAnsi="Arial"/>
          <w:sz w:val="14"/>
          <w:szCs w:val="14"/>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spacing w:after="0" w:line="3" w:lineRule="exact"/>
        <w:rPr>
          <w:sz w:val="24"/>
          <w:szCs w:val="24"/>
          <w:color w:val="auto"/>
        </w:rPr>
      </w:pPr>
    </w:p>
    <w:p>
      <w:pPr>
        <w:ind w:right="420" w:firstLine="316"/>
        <w:spacing w:after="0" w:line="255"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of 1933, check the following box.</w:t>
      </w:r>
    </w:p>
    <w:p>
      <w:pPr>
        <w:spacing w:after="0" w:line="1" w:lineRule="exact"/>
        <w:rPr>
          <w:sz w:val="24"/>
          <w:szCs w:val="24"/>
          <w:color w:val="auto"/>
        </w:rPr>
      </w:pPr>
    </w:p>
    <w:p>
      <w:pPr>
        <w:ind w:right="40" w:firstLine="316"/>
        <w:spacing w:after="0" w:line="26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of 1933, check the following box.</w:t>
      </w:r>
    </w:p>
    <w:p>
      <w:pPr>
        <w:spacing w:after="0" w:line="3" w:lineRule="exact"/>
        <w:rPr>
          <w:sz w:val="24"/>
          <w:szCs w:val="24"/>
          <w:color w:val="auto"/>
        </w:rPr>
      </w:pPr>
    </w:p>
    <w:p>
      <w:pPr>
        <w:ind w:right="340" w:firstLine="316"/>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22" w:right="37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75" w:lineRule="exact"/>
        <w:rPr>
          <w:sz w:val="24"/>
          <w:szCs w:val="24"/>
          <w:color w:val="auto"/>
        </w:rPr>
      </w:pPr>
    </w:p>
    <w:p>
      <w:pPr>
        <w:sectPr>
          <w:pgSz w:w="11900" w:h="16838" w:orient="portrait"/>
          <w:cols w:equalWidth="0" w:num="2">
            <w:col w:w="6040" w:space="720"/>
            <w:col w:w="4440"/>
          </w:cols>
          <w:pgMar w:left="320" w:top="222" w:right="379" w:bottom="1440" w:gutter="0" w:footer="0" w:header="0"/>
          <w:type w:val="continuous"/>
        </w:sect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41" w:lineRule="exact"/>
        <w:rPr>
          <w:sz w:val="24"/>
          <w:szCs w:val="24"/>
          <w:color w:val="auto"/>
        </w:rPr>
      </w:pPr>
    </w:p>
    <w:p>
      <w:pPr>
        <w:sectPr>
          <w:pgSz w:w="11900" w:h="16838" w:orient="portrait"/>
          <w:cols w:equalWidth="0" w:num="2">
            <w:col w:w="6040" w:space="720"/>
            <w:col w:w="4440"/>
          </w:cols>
          <w:pgMar w:left="320" w:top="222" w:right="379" w:bottom="1440" w:gutter="0" w:footer="0" w:header="0"/>
          <w:type w:val="continuous"/>
        </w:sectPr>
      </w:pPr>
    </w:p>
    <w:p>
      <w:pPr>
        <w:ind w:left="6760"/>
        <w:spacing w:after="0"/>
        <w:rPr>
          <w:sz w:val="20"/>
          <w:szCs w:val="20"/>
          <w:color w:val="auto"/>
        </w:rPr>
      </w:pPr>
      <w:r>
        <w:rPr>
          <w:rFonts w:ascii="Arial" w:cs="Arial" w:eastAsia="Arial" w:hAnsi="Arial"/>
          <w:sz w:val="12"/>
          <w:szCs w:val="12"/>
          <w:color w:val="auto"/>
        </w:rPr>
        <w:t>Emerging growth company</w:t>
      </w:r>
    </w:p>
    <w:p>
      <w:pPr>
        <w:sectPr>
          <w:pgSz w:w="11900" w:h="16838" w:orient="portrait"/>
          <w:cols w:equalWidth="0" w:num="1">
            <w:col w:w="11200"/>
          </w:cols>
          <w:pgMar w:left="320" w:top="222" w:right="379" w:bottom="1440" w:gutter="0" w:footer="0" w:header="0"/>
          <w:type w:val="continuous"/>
        </w:sectPr>
      </w:pPr>
    </w:p>
    <w:p>
      <w:pPr>
        <w:spacing w:after="0" w:line="158" w:lineRule="exact"/>
        <w:rPr>
          <w:sz w:val="24"/>
          <w:szCs w:val="24"/>
          <w:color w:val="auto"/>
        </w:rPr>
      </w:pPr>
    </w:p>
    <w:p>
      <w:pPr>
        <w:ind w:right="220"/>
        <w:spacing w:after="0" w:line="26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222"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66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23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2160" w:type="dxa"/>
            <w:vAlign w:val="bottom"/>
            <w:vMerge w:val="restart"/>
          </w:tcPr>
          <w:p>
            <w:pPr>
              <w:jc w:val="center"/>
              <w:ind w:left="350"/>
              <w:spacing w:after="0"/>
              <w:rPr>
                <w:sz w:val="20"/>
                <w:szCs w:val="20"/>
                <w:color w:val="auto"/>
              </w:rPr>
            </w:pPr>
            <w:r>
              <w:rPr>
                <w:rFonts w:ascii="Arial" w:cs="Arial" w:eastAsia="Arial" w:hAnsi="Arial"/>
                <w:sz w:val="14"/>
                <w:szCs w:val="14"/>
                <w:b w:val="1"/>
                <w:bCs w:val="1"/>
                <w:color w:val="auto"/>
                <w:w w:val="94"/>
              </w:rPr>
              <w:t>Amount to</w:t>
            </w:r>
          </w:p>
        </w:tc>
        <w:tc>
          <w:tcPr>
            <w:tcW w:w="17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2260" w:type="dxa"/>
            <w:vAlign w:val="bottom"/>
          </w:tcPr>
          <w:p>
            <w:pPr>
              <w:jc w:val="center"/>
              <w:ind w:right="452"/>
              <w:spacing w:after="0" w:line="102" w:lineRule="exact"/>
              <w:rPr>
                <w:sz w:val="20"/>
                <w:szCs w:val="20"/>
                <w:color w:val="auto"/>
              </w:rPr>
            </w:pPr>
            <w:r>
              <w:rPr>
                <w:rFonts w:ascii="Arial" w:cs="Arial" w:eastAsia="Arial" w:hAnsi="Arial"/>
                <w:sz w:val="11"/>
                <w:szCs w:val="11"/>
                <w:b w:val="1"/>
                <w:bCs w:val="1"/>
                <w:color w:val="auto"/>
              </w:rPr>
              <w:t>Proposed Maximum</w:t>
            </w:r>
          </w:p>
        </w:tc>
        <w:tc>
          <w:tcPr>
            <w:tcW w:w="2380" w:type="dxa"/>
            <w:vAlign w:val="bottom"/>
            <w:vMerge w:val="restart"/>
          </w:tcPr>
          <w:p>
            <w:pPr>
              <w:jc w:val="center"/>
              <w:ind w:left="430"/>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5"/>
        </w:trPr>
        <w:tc>
          <w:tcPr>
            <w:tcW w:w="266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 Per</w:t>
            </w:r>
          </w:p>
        </w:tc>
        <w:tc>
          <w:tcPr>
            <w:tcW w:w="2260" w:type="dxa"/>
            <w:vAlign w:val="bottom"/>
          </w:tcPr>
          <w:p>
            <w:pPr>
              <w:jc w:val="center"/>
              <w:ind w:right="432"/>
              <w:spacing w:after="0" w:line="145" w:lineRule="exact"/>
              <w:rPr>
                <w:sz w:val="20"/>
                <w:szCs w:val="20"/>
                <w:color w:val="auto"/>
              </w:rPr>
            </w:pPr>
            <w:r>
              <w:rPr>
                <w:rFonts w:ascii="Arial" w:cs="Arial" w:eastAsia="Arial" w:hAnsi="Arial"/>
                <w:sz w:val="14"/>
                <w:szCs w:val="14"/>
                <w:b w:val="1"/>
                <w:bCs w:val="1"/>
                <w:color w:val="auto"/>
                <w:w w:val="86"/>
              </w:rPr>
              <w:t>Aggregate</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216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b w:val="1"/>
                <w:bCs w:val="1"/>
                <w:color w:val="auto"/>
                <w:w w:val="89"/>
              </w:rPr>
              <w:t>Be Registered (1)(2)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Security(1)(2)</w:t>
            </w:r>
          </w:p>
        </w:tc>
        <w:tc>
          <w:tcPr>
            <w:tcW w:w="22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4"/>
              </w:rPr>
              <w:t>Offering Price(1)(2)</w:t>
            </w:r>
          </w:p>
        </w:tc>
        <w:tc>
          <w:tcPr>
            <w:tcW w:w="2380" w:type="dxa"/>
            <w:vAlign w:val="bottom"/>
            <w:tcBorders>
              <w:bottom w:val="single" w:sz="8" w:color="auto"/>
            </w:tcBorders>
          </w:tcPr>
          <w:p>
            <w:pPr>
              <w:jc w:val="center"/>
              <w:ind w:left="430"/>
              <w:spacing w:after="0"/>
              <w:rPr>
                <w:sz w:val="20"/>
                <w:szCs w:val="20"/>
                <w:color w:val="auto"/>
              </w:rPr>
            </w:pPr>
            <w:r>
              <w:rPr>
                <w:rFonts w:ascii="Arial" w:cs="Arial" w:eastAsia="Arial" w:hAnsi="Arial"/>
                <w:sz w:val="14"/>
                <w:szCs w:val="14"/>
                <w:b w:val="1"/>
                <w:bCs w:val="1"/>
                <w:color w:val="auto"/>
                <w:w w:val="91"/>
              </w:rPr>
              <w:t>Registration Fee(1)(2)</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tcBorders>
          </w:tcPr>
          <w:p>
            <w:pPr>
              <w:jc w:val="center"/>
              <w:ind w:left="350"/>
              <w:spacing w:after="0" w:line="139" w:lineRule="exact"/>
              <w:rPr>
                <w:sz w:val="20"/>
                <w:szCs w:val="20"/>
                <w:color w:val="auto"/>
              </w:rPr>
            </w:pPr>
            <w:r>
              <w:rPr>
                <w:rFonts w:ascii="Arial" w:cs="Arial" w:eastAsia="Arial" w:hAnsi="Arial"/>
                <w:sz w:val="14"/>
                <w:szCs w:val="14"/>
                <w:color w:val="auto"/>
              </w:rPr>
              <w:t>(3)</w:t>
            </w:r>
          </w:p>
        </w:tc>
        <w:tc>
          <w:tcPr>
            <w:tcW w:w="17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3"/>
              </w:rPr>
              <w:t>(3)</w:t>
            </w:r>
          </w:p>
        </w:tc>
        <w:tc>
          <w:tcPr>
            <w:tcW w:w="2260" w:type="dxa"/>
            <w:vAlign w:val="bottom"/>
            <w:tcBorders>
              <w:bottom w:val="single" w:sz="8" w:color="auto"/>
            </w:tcBorders>
          </w:tcPr>
          <w:p>
            <w:pPr>
              <w:jc w:val="center"/>
              <w:ind w:right="432"/>
              <w:spacing w:after="0" w:line="139" w:lineRule="exact"/>
              <w:rPr>
                <w:sz w:val="20"/>
                <w:szCs w:val="20"/>
                <w:color w:val="auto"/>
              </w:rPr>
            </w:pPr>
            <w:r>
              <w:rPr>
                <w:rFonts w:ascii="Arial" w:cs="Arial" w:eastAsia="Arial" w:hAnsi="Arial"/>
                <w:sz w:val="14"/>
                <w:szCs w:val="14"/>
                <w:color w:val="auto"/>
                <w:w w:val="93"/>
              </w:rPr>
              <w:t>(3)</w:t>
            </w:r>
          </w:p>
        </w:tc>
        <w:tc>
          <w:tcPr>
            <w:tcW w:w="2380" w:type="dxa"/>
            <w:vAlign w:val="bottom"/>
            <w:tcBorders>
              <w:bottom w:val="single" w:sz="8" w:color="auto"/>
            </w:tcBorders>
          </w:tcPr>
          <w:p>
            <w:pPr>
              <w:jc w:val="center"/>
              <w:ind w:left="430"/>
              <w:spacing w:after="0" w:line="13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Warrants</w:t>
            </w:r>
          </w:p>
        </w:tc>
        <w:tc>
          <w:tcPr>
            <w:tcW w:w="2160" w:type="dxa"/>
            <w:vAlign w:val="bottom"/>
            <w:tcBorders>
              <w:bottom w:val="single" w:sz="8" w:color="auto"/>
            </w:tcBorders>
          </w:tcPr>
          <w:p>
            <w:pPr>
              <w:jc w:val="center"/>
              <w:ind w:left="350"/>
              <w:spacing w:after="0" w:line="139" w:lineRule="exact"/>
              <w:rPr>
                <w:sz w:val="20"/>
                <w:szCs w:val="20"/>
                <w:color w:val="auto"/>
              </w:rPr>
            </w:pPr>
            <w:r>
              <w:rPr>
                <w:rFonts w:ascii="Arial" w:cs="Arial" w:eastAsia="Arial" w:hAnsi="Arial"/>
                <w:sz w:val="14"/>
                <w:szCs w:val="14"/>
                <w:color w:val="auto"/>
              </w:rPr>
              <w:t>(3)</w:t>
            </w:r>
          </w:p>
        </w:tc>
        <w:tc>
          <w:tcPr>
            <w:tcW w:w="17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3"/>
              </w:rPr>
              <w:t>(3)</w:t>
            </w:r>
          </w:p>
        </w:tc>
        <w:tc>
          <w:tcPr>
            <w:tcW w:w="2260" w:type="dxa"/>
            <w:vAlign w:val="bottom"/>
            <w:tcBorders>
              <w:bottom w:val="single" w:sz="8" w:color="auto"/>
            </w:tcBorders>
          </w:tcPr>
          <w:p>
            <w:pPr>
              <w:jc w:val="center"/>
              <w:ind w:right="432"/>
              <w:spacing w:after="0" w:line="139" w:lineRule="exact"/>
              <w:rPr>
                <w:sz w:val="20"/>
                <w:szCs w:val="20"/>
                <w:color w:val="auto"/>
              </w:rPr>
            </w:pPr>
            <w:r>
              <w:rPr>
                <w:rFonts w:ascii="Arial" w:cs="Arial" w:eastAsia="Arial" w:hAnsi="Arial"/>
                <w:sz w:val="14"/>
                <w:szCs w:val="14"/>
                <w:color w:val="auto"/>
                <w:w w:val="93"/>
              </w:rPr>
              <w:t>(3)</w:t>
            </w:r>
          </w:p>
        </w:tc>
        <w:tc>
          <w:tcPr>
            <w:tcW w:w="2380" w:type="dxa"/>
            <w:vAlign w:val="bottom"/>
            <w:tcBorders>
              <w:bottom w:val="single" w:sz="8" w:color="auto"/>
            </w:tcBorders>
          </w:tcPr>
          <w:p>
            <w:pPr>
              <w:jc w:val="center"/>
              <w:ind w:left="430"/>
              <w:spacing w:after="0" w:line="13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Stock Purchase Contracts</w:t>
            </w:r>
          </w:p>
        </w:tc>
        <w:tc>
          <w:tcPr>
            <w:tcW w:w="2160" w:type="dxa"/>
            <w:vAlign w:val="bottom"/>
            <w:tcBorders>
              <w:bottom w:val="single" w:sz="8" w:color="auto"/>
            </w:tcBorders>
          </w:tcPr>
          <w:p>
            <w:pPr>
              <w:jc w:val="center"/>
              <w:ind w:left="350"/>
              <w:spacing w:after="0" w:line="139" w:lineRule="exact"/>
              <w:rPr>
                <w:sz w:val="20"/>
                <w:szCs w:val="20"/>
                <w:color w:val="auto"/>
              </w:rPr>
            </w:pPr>
            <w:r>
              <w:rPr>
                <w:rFonts w:ascii="Arial" w:cs="Arial" w:eastAsia="Arial" w:hAnsi="Arial"/>
                <w:sz w:val="14"/>
                <w:szCs w:val="14"/>
                <w:color w:val="auto"/>
              </w:rPr>
              <w:t>(3)</w:t>
            </w:r>
          </w:p>
        </w:tc>
        <w:tc>
          <w:tcPr>
            <w:tcW w:w="17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3"/>
              </w:rPr>
              <w:t>(3)</w:t>
            </w:r>
          </w:p>
        </w:tc>
        <w:tc>
          <w:tcPr>
            <w:tcW w:w="2260" w:type="dxa"/>
            <w:vAlign w:val="bottom"/>
            <w:tcBorders>
              <w:bottom w:val="single" w:sz="8" w:color="auto"/>
            </w:tcBorders>
          </w:tcPr>
          <w:p>
            <w:pPr>
              <w:jc w:val="center"/>
              <w:ind w:right="432"/>
              <w:spacing w:after="0" w:line="139" w:lineRule="exact"/>
              <w:rPr>
                <w:sz w:val="20"/>
                <w:szCs w:val="20"/>
                <w:color w:val="auto"/>
              </w:rPr>
            </w:pPr>
            <w:r>
              <w:rPr>
                <w:rFonts w:ascii="Arial" w:cs="Arial" w:eastAsia="Arial" w:hAnsi="Arial"/>
                <w:sz w:val="14"/>
                <w:szCs w:val="14"/>
                <w:color w:val="auto"/>
                <w:w w:val="93"/>
              </w:rPr>
              <w:t>(3)</w:t>
            </w:r>
          </w:p>
        </w:tc>
        <w:tc>
          <w:tcPr>
            <w:tcW w:w="2380" w:type="dxa"/>
            <w:vAlign w:val="bottom"/>
            <w:tcBorders>
              <w:bottom w:val="single" w:sz="8" w:color="auto"/>
            </w:tcBorders>
          </w:tcPr>
          <w:p>
            <w:pPr>
              <w:jc w:val="center"/>
              <w:ind w:left="430"/>
              <w:spacing w:after="0" w:line="13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Units</w:t>
            </w:r>
          </w:p>
        </w:tc>
        <w:tc>
          <w:tcPr>
            <w:tcW w:w="2160" w:type="dxa"/>
            <w:vAlign w:val="bottom"/>
            <w:tcBorders>
              <w:bottom w:val="single" w:sz="8" w:color="auto"/>
            </w:tcBorders>
          </w:tcPr>
          <w:p>
            <w:pPr>
              <w:jc w:val="center"/>
              <w:ind w:left="350"/>
              <w:spacing w:after="0" w:line="139" w:lineRule="exact"/>
              <w:rPr>
                <w:sz w:val="20"/>
                <w:szCs w:val="20"/>
                <w:color w:val="auto"/>
              </w:rPr>
            </w:pPr>
            <w:r>
              <w:rPr>
                <w:rFonts w:ascii="Arial" w:cs="Arial" w:eastAsia="Arial" w:hAnsi="Arial"/>
                <w:sz w:val="14"/>
                <w:szCs w:val="14"/>
                <w:color w:val="auto"/>
              </w:rPr>
              <w:t>(3)</w:t>
            </w:r>
          </w:p>
        </w:tc>
        <w:tc>
          <w:tcPr>
            <w:tcW w:w="17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3"/>
              </w:rPr>
              <w:t>(3)</w:t>
            </w:r>
          </w:p>
        </w:tc>
        <w:tc>
          <w:tcPr>
            <w:tcW w:w="2260" w:type="dxa"/>
            <w:vAlign w:val="bottom"/>
            <w:tcBorders>
              <w:bottom w:val="single" w:sz="8" w:color="auto"/>
            </w:tcBorders>
          </w:tcPr>
          <w:p>
            <w:pPr>
              <w:jc w:val="center"/>
              <w:ind w:right="432"/>
              <w:spacing w:after="0" w:line="139" w:lineRule="exact"/>
              <w:rPr>
                <w:sz w:val="20"/>
                <w:szCs w:val="20"/>
                <w:color w:val="auto"/>
              </w:rPr>
            </w:pPr>
            <w:r>
              <w:rPr>
                <w:rFonts w:ascii="Arial" w:cs="Arial" w:eastAsia="Arial" w:hAnsi="Arial"/>
                <w:sz w:val="14"/>
                <w:szCs w:val="14"/>
                <w:color w:val="auto"/>
                <w:w w:val="93"/>
              </w:rPr>
              <w:t>(3)</w:t>
            </w:r>
          </w:p>
        </w:tc>
        <w:tc>
          <w:tcPr>
            <w:tcW w:w="2380" w:type="dxa"/>
            <w:vAlign w:val="bottom"/>
            <w:tcBorders>
              <w:bottom w:val="single" w:sz="8" w:color="auto"/>
            </w:tcBorders>
          </w:tcPr>
          <w:p>
            <w:pPr>
              <w:jc w:val="center"/>
              <w:ind w:left="430"/>
              <w:spacing w:after="0" w:line="13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TOTALS:</w:t>
            </w:r>
          </w:p>
        </w:tc>
        <w:tc>
          <w:tcPr>
            <w:tcW w:w="2160" w:type="dxa"/>
            <w:vAlign w:val="bottom"/>
            <w:tcBorders>
              <w:bottom w:val="single" w:sz="8" w:color="auto"/>
            </w:tcBorders>
          </w:tcPr>
          <w:p>
            <w:pPr>
              <w:jc w:val="center"/>
              <w:ind w:left="350"/>
              <w:spacing w:after="0" w:line="139" w:lineRule="exact"/>
              <w:rPr>
                <w:sz w:val="20"/>
                <w:szCs w:val="20"/>
                <w:color w:val="auto"/>
              </w:rPr>
            </w:pPr>
            <w:r>
              <w:rPr>
                <w:rFonts w:ascii="Arial" w:cs="Arial" w:eastAsia="Arial" w:hAnsi="Arial"/>
                <w:sz w:val="14"/>
                <w:szCs w:val="14"/>
                <w:color w:val="auto"/>
              </w:rPr>
              <w:t>(3)</w:t>
            </w:r>
          </w:p>
        </w:tc>
        <w:tc>
          <w:tcPr>
            <w:tcW w:w="17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3"/>
              </w:rPr>
              <w:t>(3)</w:t>
            </w:r>
          </w:p>
        </w:tc>
        <w:tc>
          <w:tcPr>
            <w:tcW w:w="2260" w:type="dxa"/>
            <w:vAlign w:val="bottom"/>
            <w:tcBorders>
              <w:bottom w:val="single" w:sz="8" w:color="auto"/>
            </w:tcBorders>
          </w:tcPr>
          <w:p>
            <w:pPr>
              <w:jc w:val="right"/>
              <w:ind w:right="912"/>
              <w:spacing w:after="0" w:line="139" w:lineRule="exact"/>
              <w:rPr>
                <w:sz w:val="20"/>
                <w:szCs w:val="20"/>
                <w:color w:val="auto"/>
              </w:rPr>
            </w:pPr>
            <w:r>
              <w:rPr>
                <w:rFonts w:ascii="Arial" w:cs="Arial" w:eastAsia="Arial" w:hAnsi="Arial"/>
                <w:sz w:val="14"/>
                <w:szCs w:val="14"/>
                <w:color w:val="auto"/>
              </w:rPr>
              <w:t>$10,000,000</w:t>
            </w:r>
          </w:p>
        </w:tc>
        <w:tc>
          <w:tcPr>
            <w:tcW w:w="2380" w:type="dxa"/>
            <w:vAlign w:val="bottom"/>
            <w:tcBorders>
              <w:bottom w:val="single" w:sz="8" w:color="auto"/>
            </w:tcBorders>
          </w:tcPr>
          <w:p>
            <w:pPr>
              <w:jc w:val="center"/>
              <w:ind w:left="410"/>
              <w:spacing w:after="0" w:line="139" w:lineRule="exact"/>
              <w:rPr>
                <w:sz w:val="20"/>
                <w:szCs w:val="20"/>
                <w:color w:val="auto"/>
              </w:rPr>
            </w:pPr>
            <w:r>
              <w:rPr>
                <w:rFonts w:ascii="Arial" w:cs="Arial" w:eastAsia="Arial" w:hAnsi="Arial"/>
                <w:sz w:val="14"/>
                <w:szCs w:val="14"/>
                <w:color w:val="auto"/>
                <w:w w:val="88"/>
              </w:rPr>
              <w:t>$1,298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2" w:lineRule="exact"/>
        <w:rPr>
          <w:sz w:val="20"/>
          <w:szCs w:val="20"/>
          <w:color w:val="auto"/>
        </w:rPr>
      </w:pPr>
    </w:p>
    <w:p>
      <w:pPr>
        <w:ind w:left="260" w:hanging="254"/>
        <w:spacing w:after="0"/>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U.S. dollars or the equivalent thereof denominated in one or more foreign currencies or units of two or more foreign currencies or composite currencies.</w:t>
      </w:r>
    </w:p>
    <w:p>
      <w:pPr>
        <w:ind w:left="260" w:hanging="254"/>
        <w:spacing w:after="0" w:line="216"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and exclusive of accrued interest, if any.</w:t>
      </w:r>
    </w:p>
    <w:p>
      <w:pPr>
        <w:ind w:left="260" w:hanging="254"/>
        <w:spacing w:after="0" w:line="216"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 specified as to each class of securities to be registered, pursuant to General Instruction II.E. of Form S-3 under the Securities Act of 1933, as amended (the “Securities Act”).</w:t>
      </w:r>
    </w:p>
    <w:p>
      <w:pPr>
        <w:ind w:left="260" w:hanging="254"/>
        <w:spacing w:after="0"/>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aggregate maximum public offering price of all offered securities issued pursuant to this registration statement will not exceed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71354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2" w:name="page3"/>
    <w:bookmarkEnd w:id="2"/>
    <w:p>
      <w:pPr>
        <w:jc w:val="both"/>
        <w:ind w:left="220" w:right="220"/>
        <w:spacing w:after="0" w:line="304" w:lineRule="auto"/>
        <w:rPr>
          <w:sz w:val="20"/>
          <w:szCs w:val="20"/>
          <w:color w:val="auto"/>
        </w:rPr>
      </w:pPr>
      <w:r>
        <w:rPr>
          <w:rFonts w:ascii="Arial" w:cs="Arial" w:eastAsia="Arial" w:hAnsi="Arial"/>
          <w:sz w:val="16"/>
          <w:szCs w:val="16"/>
          <w:b w:val="1"/>
          <w:bCs w:val="1"/>
          <w:color w:val="F93F26"/>
        </w:rPr>
        <w:drawing>
          <wp:anchor simplePos="0" relativeHeight="251657728" behindDoc="1" locked="0" layoutInCell="0" allowOverlap="1">
            <wp:simplePos x="0" y="0"/>
            <wp:positionH relativeFrom="page">
              <wp:posOffset>296545</wp:posOffset>
            </wp:positionH>
            <wp:positionV relativeFrom="page">
              <wp:posOffset>220980</wp:posOffset>
            </wp:positionV>
            <wp:extent cx="6955790" cy="498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790" cy="498475"/>
                    </a:xfrm>
                    <a:prstGeom prst="rect">
                      <a:avLst/>
                    </a:prstGeom>
                    <a:noFill/>
                  </pic:spPr>
                </pic:pic>
              </a:graphicData>
            </a:graphic>
          </wp:anchor>
        </w:drawing>
        <w:t>The information contained in this prospectus is not complete and may be changed. We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0000"/>
        </w:rPr>
        <w:t>Subject to Completion, Dated August 25, 2020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Contracts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Units</w:t>
      </w:r>
    </w:p>
    <w:p>
      <w:pPr>
        <w:spacing w:after="0" w:line="203" w:lineRule="exact"/>
        <w:rPr>
          <w:sz w:val="20"/>
          <w:szCs w:val="20"/>
          <w:color w:val="auto"/>
        </w:rPr>
      </w:pPr>
    </w:p>
    <w:p>
      <w:pPr>
        <w:jc w:val="both"/>
        <w:ind w:firstLine="422"/>
        <w:spacing w:after="0" w:line="250" w:lineRule="auto"/>
        <w:rPr>
          <w:sz w:val="20"/>
          <w:szCs w:val="20"/>
          <w:color w:val="auto"/>
        </w:rPr>
      </w:pPr>
      <w:r>
        <w:rPr>
          <w:rFonts w:ascii="Arial" w:cs="Arial" w:eastAsia="Arial" w:hAnsi="Arial"/>
          <w:sz w:val="18"/>
          <w:szCs w:val="18"/>
          <w:color w:val="auto"/>
        </w:rPr>
        <w:t>ClearOne, Inc. may offer, from time to time, common stock, warrants to purchase common stock, stock purchase contracts or units. We will provide the specific terms of any offering and the offered securities in supplements to this prospectus. Any prospectus supplement may also add, update or change information contained in this prospectus. You should read this prospectus and the accompanying prospectus supplement carefully before you make your investment decision.</w:t>
      </w:r>
    </w:p>
    <w:p>
      <w:pPr>
        <w:spacing w:after="0" w:line="193"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We may offer securities through underwriting syndicates managed or co-managed by one or more underwriters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90"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8"/>
          <w:szCs w:val="18"/>
          <w:color w:val="auto"/>
        </w:rPr>
        <w:t>Our common stock is listed on The NASDAQ Capital Market under the symbol “CLRO.” The closing price of our common stock as reported on The NASDAQ Capital Market on August 24, 2020 was $2.92 per share.</w:t>
      </w:r>
    </w:p>
    <w:p>
      <w:pPr>
        <w:spacing w:after="0" w:line="181" w:lineRule="exact"/>
        <w:rPr>
          <w:sz w:val="20"/>
          <w:szCs w:val="20"/>
          <w:color w:val="auto"/>
        </w:rPr>
      </w:pPr>
    </w:p>
    <w:p>
      <w:pPr>
        <w:jc w:val="both"/>
        <w:ind w:firstLine="422"/>
        <w:spacing w:after="0" w:line="282" w:lineRule="auto"/>
        <w:rPr>
          <w:sz w:val="20"/>
          <w:szCs w:val="20"/>
          <w:color w:val="auto"/>
        </w:rPr>
      </w:pPr>
      <w:r>
        <w:rPr>
          <w:rFonts w:ascii="Arial" w:cs="Arial" w:eastAsia="Arial" w:hAnsi="Arial"/>
          <w:sz w:val="16"/>
          <w:szCs w:val="16"/>
          <w:color w:val="auto"/>
        </w:rPr>
        <w:t>By means of this prospectus, we may offer up to $10,000,000 of common stock, warrants to purchase common stock, stock purchase contracts or units pursuant to General Instruction I.B.6 of Form S-3. As of August 18, 2020, the aggregate market value of our outstanding shares of common stock held by non-affiliates, or the public float, was $18,254,073 which was calculated based on 5,704,398 shares of outstanding common stock held by non-affiliates and on a price per share of $3.20, the closing price of our common stock on August 18, 2020. Pursuant to General Instruction I.B.6 of Form S-3, in no event will we sell our common stock in a public primary offering with a value exceeding more than one-third of our public float in any 12-month period so long as our public float remains below $75,000,000. We have not offered any securities pursuant to General Instruction I.B.6 of Form S-3 during the 12-calendar months prior to and including the date of this prospectus. As a result, we are currently eligible to offer and sell up to an aggregate of approximately $6.1 million of our securities pursuant to General Instruction I.B.6. of Form S-3.</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This prospectus may not be used to sell securities unless accompanied by a prospectus supplement or a free writing prospectus.</w:t>
      </w:r>
    </w:p>
    <w:p>
      <w:pPr>
        <w:spacing w:after="0" w:line="238" w:lineRule="exact"/>
        <w:rPr>
          <w:sz w:val="20"/>
          <w:szCs w:val="20"/>
          <w:color w:val="auto"/>
        </w:rPr>
      </w:pPr>
    </w:p>
    <w:p>
      <w:pPr>
        <w:jc w:val="both"/>
        <w:ind w:firstLine="422"/>
        <w:spacing w:after="0" w:line="257" w:lineRule="auto"/>
        <w:rPr>
          <w:sz w:val="20"/>
          <w:szCs w:val="20"/>
          <w:color w:val="auto"/>
        </w:rPr>
      </w:pPr>
      <w:r>
        <w:rPr>
          <w:rFonts w:ascii="Arial" w:cs="Arial" w:eastAsia="Arial" w:hAnsi="Arial"/>
          <w:sz w:val="18"/>
          <w:szCs w:val="18"/>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mailing address and telephone number 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5225 Wiley Post Way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500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Utah 84116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(801) 975-7200</w:t>
      </w:r>
    </w:p>
    <w:p>
      <w:pPr>
        <w:spacing w:after="0" w:line="19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Pr>
          <w:p>
            <w:pPr>
              <w:ind w:left="4060"/>
              <w:spacing w:after="0"/>
              <w:rPr>
                <w:sz w:val="20"/>
                <w:szCs w:val="20"/>
                <w:color w:val="auto"/>
              </w:rPr>
            </w:pPr>
            <w:r>
              <w:rPr>
                <w:rFonts w:ascii="Arial" w:cs="Arial" w:eastAsia="Arial" w:hAnsi="Arial"/>
                <w:sz w:val="18"/>
                <w:szCs w:val="18"/>
                <w:color w:val="auto"/>
              </w:rPr>
              <w:t>The date of this prospectus is</w:t>
            </w:r>
          </w:p>
        </w:tc>
        <w:tc>
          <w:tcPr>
            <w:tcW w:w="4800" w:type="dxa"/>
            <w:vAlign w:val="bottom"/>
          </w:tcPr>
          <w:p>
            <w:pPr>
              <w:jc w:val="right"/>
              <w:ind w:right="3972"/>
              <w:spacing w:after="0"/>
              <w:rPr>
                <w:sz w:val="20"/>
                <w:szCs w:val="20"/>
                <w:color w:val="auto"/>
              </w:rPr>
            </w:pPr>
            <w:r>
              <w:rPr>
                <w:rFonts w:ascii="Arial" w:cs="Arial" w:eastAsia="Arial" w:hAnsi="Arial"/>
                <w:sz w:val="18"/>
                <w:szCs w:val="18"/>
                <w:color w:val="auto"/>
              </w:rPr>
              <w:t>, 2020</w:t>
            </w:r>
          </w:p>
        </w:tc>
      </w:tr>
      <w:tr>
        <w:trPr>
          <w:trHeight w:val="324"/>
        </w:trPr>
        <w:tc>
          <w:tcPr>
            <w:tcW w:w="6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IMPORTANT NOTICE ABOUT THE INFORMATION PRESENTED IN THIS PROSPECTUS</w:t>
      </w:r>
    </w:p>
    <w:p>
      <w:pPr>
        <w:spacing w:after="0" w:line="221"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181" w:lineRule="exact"/>
        <w:rPr>
          <w:sz w:val="20"/>
          <w:szCs w:val="20"/>
          <w:color w:val="auto"/>
        </w:rPr>
      </w:pPr>
    </w:p>
    <w:p>
      <w:pPr>
        <w:jc w:val="both"/>
        <w:ind w:firstLine="422"/>
        <w:spacing w:after="0" w:line="249" w:lineRule="auto"/>
        <w:rPr>
          <w:sz w:val="20"/>
          <w:szCs w:val="20"/>
          <w:color w:val="auto"/>
        </w:rPr>
      </w:pPr>
      <w:r>
        <w:rPr>
          <w:rFonts w:ascii="Arial" w:cs="Arial" w:eastAsia="Arial" w:hAnsi="Arial"/>
          <w:sz w:val="18"/>
          <w:szCs w:val="18"/>
          <w:color w:val="auto"/>
        </w:rPr>
        <w:t>In considering any decision regarding an investment in the securities which are the subject of this prospectus, you should rely only upon the information contained in this prospectus or any applicable prospectus supplement and the information that we incorporate by reference into this prospectus or any applicable prospectus supplement. We have not authorized any persons to provide you with different information. If anyone provides you with different or inconsistent information, you should not rely on it. For further information, see the section of this prospectus entitled “Where You Can Find More Information.”</w:t>
      </w:r>
    </w:p>
    <w:p>
      <w:pPr>
        <w:spacing w:after="0" w:line="192" w:lineRule="exact"/>
        <w:rPr>
          <w:sz w:val="20"/>
          <w:szCs w:val="20"/>
          <w:color w:val="auto"/>
        </w:rPr>
      </w:pPr>
    </w:p>
    <w:p>
      <w:pPr>
        <w:jc w:val="both"/>
        <w:ind w:firstLine="422"/>
        <w:spacing w:after="0" w:line="316" w:lineRule="auto"/>
        <w:rPr>
          <w:sz w:val="20"/>
          <w:szCs w:val="20"/>
          <w:color w:val="auto"/>
        </w:rPr>
      </w:pPr>
      <w:r>
        <w:rPr>
          <w:rFonts w:ascii="Arial" w:cs="Arial" w:eastAsia="Arial" w:hAnsi="Arial"/>
          <w:sz w:val="15"/>
          <w:szCs w:val="15"/>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our securities. Our business, financial condition, results of operations and prospects may have changed since such dates.</w:t>
      </w:r>
    </w:p>
    <w:p>
      <w:pPr>
        <w:spacing w:after="0" w:line="147"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of our securities in any state or jurisdiction (within or outside the United States) where it would not be lawful or where the person making the offer is not qualified to do 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1" w:lineRule="exact"/>
        <w:rPr>
          <w:sz w:val="20"/>
          <w:szCs w:val="20"/>
          <w:color w:val="auto"/>
        </w:rPr>
      </w:pPr>
    </w:p>
    <w:p>
      <w:pPr>
        <w:jc w:val="both"/>
        <w:ind w:firstLine="422"/>
        <w:spacing w:after="0" w:line="292"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using a “shelf” registration process. Under the shelf registration process, we may from time to time, offer and sell to the public the securities covered by this prospectus in one or more offerings up to a total dollar amount of $10,000,000. Please carefully read both this entire prospectus together with all information that we incorporate by reference. See the section of this prospectus under the caption: "Incorporation of Certain Information by Reference."</w:t>
      </w:r>
    </w:p>
    <w:p>
      <w:pPr>
        <w:spacing w:after="0" w:line="371" w:lineRule="exact"/>
        <w:rPr>
          <w:sz w:val="20"/>
          <w:szCs w:val="20"/>
          <w:color w:val="auto"/>
        </w:rPr>
      </w:pPr>
    </w:p>
    <w:p>
      <w:pPr>
        <w:jc w:val="both"/>
        <w:ind w:firstLine="422"/>
        <w:spacing w:after="0" w:line="248" w:lineRule="auto"/>
        <w:rPr>
          <w:sz w:val="20"/>
          <w:szCs w:val="20"/>
          <w:color w:val="auto"/>
        </w:rPr>
      </w:pPr>
      <w:r>
        <w:rPr>
          <w:rFonts w:ascii="Arial" w:cs="Arial" w:eastAsia="Arial" w:hAnsi="Arial"/>
          <w:sz w:val="18"/>
          <w:szCs w:val="18"/>
          <w:color w:val="auto"/>
        </w:rPr>
        <w:t>This prospectus provides you with a general description of the shares we may offer. Each time we sell shares of our common stock, we will provide a prospectus supplement that will contain specific information about the shares being offered and the terms of that offering. The prospectus supplement may also add to, update or change information contained in this prospectus. If there is any inconsistency between the information in this prospectus and the information in any accompanying prospectus supplement, you should rely on the information in the prospectus supplement. You should read both this prospectus and any prospectus supplement together with the additional information described under the heading “Incorporation of Documents by Reference” carefully before making an investment decision.</w:t>
      </w:r>
    </w:p>
    <w:p>
      <w:pPr>
        <w:spacing w:after="0" w:line="194" w:lineRule="exact"/>
        <w:rPr>
          <w:sz w:val="20"/>
          <w:szCs w:val="20"/>
          <w:color w:val="auto"/>
        </w:rPr>
      </w:pPr>
    </w:p>
    <w:p>
      <w:pPr>
        <w:jc w:val="both"/>
        <w:ind w:firstLine="422"/>
        <w:spacing w:after="0" w:line="248" w:lineRule="auto"/>
        <w:rPr>
          <w:sz w:val="20"/>
          <w:szCs w:val="20"/>
          <w:color w:val="auto"/>
        </w:rPr>
      </w:pPr>
      <w:r>
        <w:rPr>
          <w:rFonts w:ascii="Arial" w:cs="Arial" w:eastAsia="Arial" w:hAnsi="Arial"/>
          <w:sz w:val="18"/>
          <w:szCs w:val="18"/>
          <w:color w:val="auto"/>
        </w:rPr>
        <w:t>We may sell shares of our common stock to or through underwriters, dealers, or agents or directly to purchasers. We and our agents reserve the sole right to accept and to reject in whole or in part any proposed purchase of shares. A prospectus supplement, which we will provide each time shares are offered, will provide the names of any underwriters, dealers or agents involved in the sale of the shares, and any applicable fee, commission or discount arrangements with them.</w:t>
      </w:r>
    </w:p>
    <w:p>
      <w:pPr>
        <w:ind w:left="420"/>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1" w:lineRule="exact"/>
        <w:rPr>
          <w:sz w:val="20"/>
          <w:szCs w:val="20"/>
          <w:color w:val="auto"/>
        </w:rPr>
      </w:pPr>
    </w:p>
    <w:p>
      <w:pPr>
        <w:jc w:val="both"/>
        <w:ind w:firstLine="422"/>
        <w:spacing w:after="0" w:line="325" w:lineRule="auto"/>
        <w:rPr>
          <w:sz w:val="20"/>
          <w:szCs w:val="20"/>
          <w:color w:val="auto"/>
        </w:rPr>
      </w:pPr>
      <w:r>
        <w:rPr>
          <w:rFonts w:ascii="Arial" w:cs="Arial" w:eastAsia="Arial" w:hAnsi="Arial"/>
          <w:sz w:val="16"/>
          <w:szCs w:val="16"/>
          <w:color w:val="auto"/>
        </w:rPr>
        <w:t>We were incorporated in Utah in 1983 and reincorporated in Delaware on October 25, 2018. The Company is headquartered in Salt Lake City, Utah. The Company has other locations in Gainesville, Florida; Austin, Texas; Zaragoza, Spain; Chennai, India; and Dubai, United Arab Emirates.</w:t>
      </w:r>
    </w:p>
    <w:p>
      <w:pPr>
        <w:spacing w:after="0" w:line="161" w:lineRule="exact"/>
        <w:rPr>
          <w:sz w:val="20"/>
          <w:szCs w:val="20"/>
          <w:color w:val="auto"/>
        </w:rPr>
      </w:pPr>
    </w:p>
    <w:p>
      <w:pPr>
        <w:jc w:val="both"/>
        <w:ind w:firstLine="422"/>
        <w:spacing w:after="0" w:line="287" w:lineRule="auto"/>
        <w:rPr>
          <w:sz w:val="20"/>
          <w:szCs w:val="20"/>
          <w:color w:val="auto"/>
        </w:rPr>
      </w:pPr>
      <w:r>
        <w:rPr>
          <w:rFonts w:ascii="Arial" w:cs="Arial" w:eastAsia="Arial" w:hAnsi="Arial"/>
          <w:sz w:val="16"/>
          <w:szCs w:val="16"/>
          <w:color w:val="auto"/>
        </w:rPr>
        <w:t>We are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66"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90"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70"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8"/>
          <w:szCs w:val="18"/>
          <w:color w:val="auto"/>
        </w:rPr>
        <w:t>Additional information about the Company can be found in our periodic and current reports that we file with the SEC. See “Where You Can Find More Information” and “Incorporation of Certain Information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1" w:lineRule="exact"/>
        <w:rPr>
          <w:sz w:val="20"/>
          <w:szCs w:val="20"/>
          <w:color w:val="auto"/>
        </w:rPr>
      </w:pPr>
    </w:p>
    <w:p>
      <w:pPr>
        <w:jc w:val="both"/>
        <w:ind w:firstLine="422"/>
        <w:spacing w:after="0" w:line="250" w:lineRule="auto"/>
        <w:rPr>
          <w:sz w:val="20"/>
          <w:szCs w:val="20"/>
          <w:color w:val="auto"/>
        </w:rPr>
      </w:pPr>
      <w:r>
        <w:rPr>
          <w:rFonts w:ascii="Arial" w:cs="Arial" w:eastAsia="Arial" w:hAnsi="Arial"/>
          <w:sz w:val="18"/>
          <w:szCs w:val="18"/>
          <w:color w:val="auto"/>
        </w:rPr>
        <w:t>An investment in our securities involves risks. We urge you to consider carefully the risks identified under “Item IA. Risk Factors” in our Annual Report on Form 10-K for the year ended December 31, 2019, filed with the SEC on March 30, 2020, which report is incorporated by reference in this prospectus, as such information may be amended, supplemented or superseded from time to time by other reports that we subsequently file with the SEC as well as the additional risk factors set forth below.</w:t>
      </w:r>
    </w:p>
    <w:p>
      <w:pPr>
        <w:spacing w:after="0" w:line="187" w:lineRule="exact"/>
        <w:rPr>
          <w:sz w:val="20"/>
          <w:szCs w:val="20"/>
          <w:color w:val="auto"/>
        </w:rPr>
      </w:pPr>
    </w:p>
    <w:p>
      <w:pPr>
        <w:jc w:val="both"/>
        <w:ind w:firstLine="422"/>
        <w:spacing w:after="0" w:line="269" w:lineRule="auto"/>
        <w:rPr>
          <w:sz w:val="20"/>
          <w:szCs w:val="20"/>
          <w:color w:val="auto"/>
        </w:rPr>
      </w:pPr>
      <w:r>
        <w:rPr>
          <w:rFonts w:ascii="Arial" w:cs="Arial" w:eastAsia="Arial" w:hAnsi="Arial"/>
          <w:sz w:val="18"/>
          <w:szCs w:val="18"/>
          <w:b w:val="1"/>
          <w:bCs w:val="1"/>
          <w:color w:val="auto"/>
        </w:rPr>
        <w:t>The exercise of stock options, warrants and conversion of other securities will dilute your percentage of ownership and could cause our stock price to fall.</w:t>
      </w:r>
    </w:p>
    <w:p>
      <w:pPr>
        <w:spacing w:after="0" w:line="175" w:lineRule="exact"/>
        <w:rPr>
          <w:sz w:val="20"/>
          <w:szCs w:val="20"/>
          <w:color w:val="auto"/>
        </w:rPr>
      </w:pPr>
    </w:p>
    <w:p>
      <w:pPr>
        <w:jc w:val="both"/>
        <w:ind w:firstLine="422"/>
        <w:spacing w:after="0" w:line="250" w:lineRule="auto"/>
        <w:rPr>
          <w:sz w:val="20"/>
          <w:szCs w:val="20"/>
          <w:color w:val="auto"/>
        </w:rPr>
      </w:pPr>
      <w:r>
        <w:rPr>
          <w:rFonts w:ascii="Arial" w:cs="Arial" w:eastAsia="Arial" w:hAnsi="Arial"/>
          <w:sz w:val="18"/>
          <w:szCs w:val="18"/>
          <w:color w:val="auto"/>
        </w:rPr>
        <w:t>As of August 13, 2020, we had 16,655,207 shares of common stock issued and outstanding, outstanding stock options to purchase 541,196 shares of our common stock at a weighted average exercise price of $9.00 per share, outstanding warrants to purchase 340,909 shares of our common stock with an exercise price of $1.76 per share, and 1,421,801 shares of common stock reserved for issuance upon conversion of $3.0 million of secured convertible notes at a conversion price of $2.11 per share.</w:t>
      </w:r>
    </w:p>
    <w:p>
      <w:pPr>
        <w:spacing w:after="0" w:line="193"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As of August 13, 2020, we also have reserved shares to issue stock options, restricted stock or other awards to purchase or receive up to 953,898 shares of common stock under our Equity Incentive Plan, and an additional 418,384 shares of common stock issuable pursuant to our employee stock purchase plan. In the future, we may grant these additional shares or issue new securities, in accordance with terms described in employment agreements or as part of additional incentive programs. The exercise, conversion or exchange by holders of stock options, restricted stock units, or warrants for shares of common stock, or the issuance of new shares of common stock for additional compensation or future equity offerings will dilute the percentage ownership of our stockholders. Sales of a substantial number of shares of our common stock could cause the price of our common stock to fall and could impair our ability to raise capital by selling additional securities.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b w:val="1"/>
          <w:bCs w:val="1"/>
          <w:color w:val="auto"/>
        </w:rPr>
        <w:t>Our stock price may be volatile.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While our shares of common stock are listed for trading on the Nasdaq Capital Market, the stock market in general, and the stock prices of technology-based companies in particular, have experienced volatility that often has been unrelated to the operating performance of any specific public company. The market price of our common stock has experienced significant fluctuations and may continue to fluctuate significantly. The market price of our common stock may be significantly affected by a variety of factors, including the following:</w:t>
      </w:r>
    </w:p>
    <w:p>
      <w:pPr>
        <w:spacing w:after="0" w:line="193" w:lineRule="exact"/>
        <w:rPr>
          <w:sz w:val="20"/>
          <w:szCs w:val="20"/>
          <w:color w:val="auto"/>
        </w:rPr>
      </w:pPr>
    </w:p>
    <w:p>
      <w:pPr>
        <w:ind w:firstLine="428"/>
        <w:spacing w:after="0" w:line="262"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81"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215" w:lineRule="exact"/>
        <w:rPr>
          <w:rFonts w:ascii="Arial" w:cs="Arial" w:eastAsia="Arial" w:hAnsi="Arial"/>
          <w:sz w:val="18"/>
          <w:szCs w:val="18"/>
          <w:color w:val="auto"/>
        </w:rPr>
      </w:pPr>
    </w:p>
    <w:p>
      <w:pPr>
        <w:ind w:left="580" w:hanging="15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15"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 w:name="page7"/>
    <w:bookmarkEnd w:id="6"/>
    <w:p>
      <w:pPr>
        <w:jc w:val="both"/>
        <w:ind w:firstLine="422"/>
        <w:spacing w:after="0" w:line="257" w:lineRule="auto"/>
        <w:rPr>
          <w:sz w:val="20"/>
          <w:szCs w:val="20"/>
          <w:color w:val="auto"/>
        </w:rPr>
      </w:pPr>
      <w:r>
        <w:rPr>
          <w:rFonts w:ascii="Arial" w:cs="Arial" w:eastAsia="Arial" w:hAnsi="Arial"/>
          <w:sz w:val="18"/>
          <w:szCs w:val="18"/>
          <w:b w:val="1"/>
          <w:b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85" w:lineRule="exact"/>
        <w:rPr>
          <w:sz w:val="20"/>
          <w:szCs w:val="20"/>
          <w:color w:val="auto"/>
        </w:rPr>
      </w:pPr>
    </w:p>
    <w:p>
      <w:pPr>
        <w:jc w:val="both"/>
        <w:ind w:firstLine="422"/>
        <w:spacing w:after="0" w:line="285" w:lineRule="auto"/>
        <w:rPr>
          <w:sz w:val="20"/>
          <w:szCs w:val="20"/>
          <w:color w:val="auto"/>
        </w:rPr>
      </w:pPr>
      <w:r>
        <w:rPr>
          <w:rFonts w:ascii="Arial" w:cs="Arial" w:eastAsia="Arial" w:hAnsi="Arial"/>
          <w:sz w:val="16"/>
          <w:szCs w:val="16"/>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66" w:lineRule="exact"/>
        <w:rPr>
          <w:sz w:val="20"/>
          <w:szCs w:val="20"/>
          <w:color w:val="auto"/>
        </w:rPr>
      </w:pPr>
    </w:p>
    <w:p>
      <w:pPr>
        <w:jc w:val="both"/>
        <w:ind w:firstLine="422"/>
        <w:spacing w:after="0" w:line="292" w:lineRule="auto"/>
        <w:rPr>
          <w:sz w:val="20"/>
          <w:szCs w:val="20"/>
          <w:color w:val="auto"/>
        </w:rPr>
      </w:pPr>
      <w:r>
        <w:rPr>
          <w:rFonts w:ascii="Arial" w:cs="Arial" w:eastAsia="Arial" w:hAnsi="Arial"/>
          <w:sz w:val="16"/>
          <w:szCs w:val="16"/>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1" w:lineRule="exact"/>
        <w:rPr>
          <w:sz w:val="20"/>
          <w:szCs w:val="20"/>
          <w:color w:val="auto"/>
        </w:rPr>
      </w:pPr>
    </w:p>
    <w:p>
      <w:pPr>
        <w:jc w:val="both"/>
        <w:ind w:firstLine="422"/>
        <w:spacing w:after="0" w:line="280"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1" w:lineRule="exact"/>
        <w:rPr>
          <w:sz w:val="20"/>
          <w:szCs w:val="20"/>
          <w:color w:val="auto"/>
        </w:rPr>
      </w:pPr>
    </w:p>
    <w:p>
      <w:pPr>
        <w:jc w:val="both"/>
        <w:ind w:firstLine="422"/>
        <w:spacing w:after="0" w:line="292" w:lineRule="auto"/>
        <w:rPr>
          <w:sz w:val="20"/>
          <w:szCs w:val="20"/>
          <w:color w:val="auto"/>
        </w:rPr>
      </w:pPr>
      <w:r>
        <w:rPr>
          <w:rFonts w:ascii="Arial" w:cs="Arial" w:eastAsia="Arial" w:hAnsi="Arial"/>
          <w:sz w:val="16"/>
          <w:szCs w:val="16"/>
          <w:color w:val="auto"/>
        </w:rPr>
        <w:t>For further information on factors which could impact us and the statements contained herein, see the section of this prospectus entitled “Risk Factors” and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1" w:lineRule="exact"/>
        <w:rPr>
          <w:sz w:val="20"/>
          <w:szCs w:val="20"/>
          <w:color w:val="auto"/>
        </w:rPr>
      </w:pPr>
    </w:p>
    <w:p>
      <w:pPr>
        <w:jc w:val="both"/>
        <w:ind w:firstLine="422"/>
        <w:spacing w:after="0" w:line="278" w:lineRule="auto"/>
        <w:rPr>
          <w:sz w:val="20"/>
          <w:szCs w:val="20"/>
          <w:color w:val="auto"/>
        </w:rPr>
      </w:pPr>
      <w:r>
        <w:rPr>
          <w:rFonts w:ascii="Arial" w:cs="Arial" w:eastAsia="Arial" w:hAnsi="Arial"/>
          <w:sz w:val="16"/>
          <w:szCs w:val="16"/>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You can also obtain copies of materials we file with the SEC from our Internet website found at </w:t>
      </w:r>
      <w:r>
        <w:rPr>
          <w:rFonts w:ascii="Arial" w:cs="Arial" w:eastAsia="Arial" w:hAnsi="Arial"/>
          <w:sz w:val="16"/>
          <w:szCs w:val="16"/>
          <w:i w:val="1"/>
          <w:iCs w:val="1"/>
          <w:color w:val="auto"/>
        </w:rPr>
        <w:t>http://www.clearone.com/</w:t>
      </w:r>
      <w:r>
        <w:rPr>
          <w:rFonts w:ascii="Arial" w:cs="Arial" w:eastAsia="Arial" w:hAnsi="Arial"/>
          <w:sz w:val="16"/>
          <w:szCs w:val="16"/>
          <w:color w:val="auto"/>
        </w:rPr>
        <w:t>. The information contained in our website is not a part of this prospectus.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1" w:lineRule="exact"/>
        <w:rPr>
          <w:sz w:val="20"/>
          <w:szCs w:val="20"/>
          <w:color w:val="auto"/>
        </w:rPr>
      </w:pPr>
    </w:p>
    <w:p>
      <w:pPr>
        <w:jc w:val="both"/>
        <w:ind w:firstLine="422"/>
        <w:spacing w:after="0" w:line="300"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67" w:lineRule="exact"/>
        <w:rPr>
          <w:sz w:val="20"/>
          <w:szCs w:val="20"/>
          <w:color w:val="auto"/>
        </w:rPr>
      </w:pPr>
    </w:p>
    <w:p>
      <w:pPr>
        <w:ind w:left="380" w:hanging="29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30, 2020;</w:t>
      </w:r>
    </w:p>
    <w:p>
      <w:pPr>
        <w:spacing w:after="0" w:line="30" w:lineRule="exact"/>
        <w:rPr>
          <w:rFonts w:ascii="Arial" w:cs="Arial" w:eastAsia="Arial" w:hAnsi="Arial"/>
          <w:sz w:val="18"/>
          <w:szCs w:val="18"/>
          <w:color w:val="auto"/>
        </w:rPr>
      </w:pPr>
    </w:p>
    <w:p>
      <w:pPr>
        <w:ind w:left="380" w:right="20" w:hanging="299"/>
        <w:spacing w:after="0" w:line="259"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 ended March 31, 2020, as filed with the SEC on May 20, 2020, and for the fiscal quarter ended June 30, 2020, as filed with the SEC on August 13, 2020;</w:t>
      </w:r>
    </w:p>
    <w:p>
      <w:pPr>
        <w:spacing w:after="0" w:line="1" w:lineRule="exact"/>
        <w:rPr>
          <w:rFonts w:ascii="Arial" w:cs="Arial" w:eastAsia="Arial" w:hAnsi="Arial"/>
          <w:sz w:val="18"/>
          <w:szCs w:val="18"/>
          <w:color w:val="auto"/>
        </w:rPr>
      </w:pPr>
    </w:p>
    <w:p>
      <w:pPr>
        <w:ind w:left="380" w:right="20" w:hanging="294"/>
        <w:spacing w:after="0" w:line="259"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January 2, 2020 (Item 5.07), February 3, 2020 (Items 1.01 and 9.01), July 22, 2020 (Item 5.02) and August 25, 2020 (Item 8.01);</w:t>
      </w:r>
    </w:p>
    <w:p>
      <w:pPr>
        <w:spacing w:after="0" w:line="1" w:lineRule="exact"/>
        <w:rPr>
          <w:rFonts w:ascii="Arial" w:cs="Arial" w:eastAsia="Arial" w:hAnsi="Arial"/>
          <w:sz w:val="18"/>
          <w:szCs w:val="18"/>
          <w:color w:val="auto"/>
        </w:rPr>
      </w:pPr>
    </w:p>
    <w:p>
      <w:pPr>
        <w:ind w:left="380" w:hanging="299"/>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December 11, 2019; and</w:t>
      </w:r>
    </w:p>
    <w:p>
      <w:pPr>
        <w:spacing w:after="0" w:line="30" w:lineRule="exact"/>
        <w:rPr>
          <w:rFonts w:ascii="Arial" w:cs="Arial" w:eastAsia="Arial" w:hAnsi="Arial"/>
          <w:sz w:val="18"/>
          <w:szCs w:val="18"/>
          <w:color w:val="auto"/>
        </w:rPr>
      </w:pPr>
    </w:p>
    <w:p>
      <w:pPr>
        <w:ind w:left="380" w:hanging="294"/>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 2018.</w:t>
      </w:r>
    </w:p>
    <w:p>
      <w:pPr>
        <w:spacing w:after="0" w:line="264" w:lineRule="exact"/>
        <w:rPr>
          <w:sz w:val="20"/>
          <w:szCs w:val="20"/>
          <w:color w:val="auto"/>
        </w:rPr>
      </w:pPr>
    </w:p>
    <w:p>
      <w:pPr>
        <w:jc w:val="both"/>
        <w:ind w:firstLine="422"/>
        <w:spacing w:after="0" w:line="285" w:lineRule="auto"/>
        <w:rPr>
          <w:sz w:val="20"/>
          <w:szCs w:val="20"/>
          <w:color w:val="auto"/>
        </w:rPr>
      </w:pPr>
      <w:r>
        <w:rPr>
          <w:rFonts w:ascii="Arial" w:cs="Arial" w:eastAsia="Arial" w:hAnsi="Arial"/>
          <w:sz w:val="16"/>
          <w:szCs w:val="16"/>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66" w:lineRule="exact"/>
        <w:rPr>
          <w:sz w:val="20"/>
          <w:szCs w:val="20"/>
          <w:color w:val="auto"/>
        </w:rPr>
      </w:pPr>
    </w:p>
    <w:p>
      <w:pPr>
        <w:jc w:val="both"/>
        <w:ind w:firstLine="422"/>
        <w:spacing w:after="0" w:line="250"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93" w:lineRule="exact"/>
        <w:rPr>
          <w:sz w:val="20"/>
          <w:szCs w:val="20"/>
          <w:color w:val="auto"/>
        </w:rPr>
      </w:pPr>
    </w:p>
    <w:p>
      <w:pPr>
        <w:jc w:val="both"/>
        <w:ind w:firstLine="422"/>
        <w:spacing w:after="0" w:line="292"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5225 Wiley Post Way, Suite 500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Salt Lake City, UT 84116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(801-975-7200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use the net proceeds from any sale of our securities by us for working capital and general corporate purposes.</w:t>
      </w:r>
    </w:p>
    <w:p>
      <w:pPr>
        <w:spacing w:after="0" w:line="215" w:lineRule="exact"/>
        <w:rPr>
          <w:sz w:val="20"/>
          <w:szCs w:val="20"/>
          <w:color w:val="auto"/>
        </w:rPr>
      </w:pPr>
    </w:p>
    <w:p>
      <w:pPr>
        <w:jc w:val="both"/>
        <w:ind w:firstLine="633"/>
        <w:spacing w:after="0" w:line="213" w:lineRule="exact"/>
        <w:rPr>
          <w:sz w:val="20"/>
          <w:szCs w:val="20"/>
          <w:color w:val="auto"/>
        </w:rPr>
      </w:pPr>
      <w:r>
        <w:rPr>
          <w:rFonts w:ascii="Arial" w:cs="Arial" w:eastAsia="Arial" w:hAnsi="Arial"/>
          <w:sz w:val="18"/>
          <w:szCs w:val="18"/>
          <w:color w:val="auto"/>
        </w:rPr>
        <w:t>The intended use of net proceeds from this offering represents our expectations based upon our present plans and business conditions. We cannot predict with certainty all of the particular uses for the proceeds of this offering or the amounts that we will actually spend on the uses described in this prospectus.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w:t>
      </w:r>
      <w:r>
        <w:rPr>
          <w:rFonts w:ascii="MS PGothic" w:cs="MS PGothic" w:eastAsia="MS PGothic" w:hAnsi="MS PGothic"/>
          <w:sz w:val="18"/>
          <w:szCs w:val="18"/>
          <w:color w:val="auto"/>
        </w:rPr>
        <w:t>‑</w:t>
      </w:r>
      <w:r>
        <w:rPr>
          <w:rFonts w:ascii="Arial" w:cs="Arial" w:eastAsia="Arial" w:hAnsi="Arial"/>
          <w:sz w:val="18"/>
          <w:szCs w:val="18"/>
          <w:color w:val="auto"/>
        </w:rPr>
        <w:t>preservation investments, including short</w:t>
      </w:r>
      <w:r>
        <w:rPr>
          <w:rFonts w:ascii="MS PGothic" w:cs="MS PGothic" w:eastAsia="MS PGothic" w:hAnsi="MS PGothic"/>
          <w:sz w:val="18"/>
          <w:szCs w:val="18"/>
          <w:color w:val="auto"/>
        </w:rPr>
        <w:t>‑</w:t>
      </w:r>
      <w:r>
        <w:rPr>
          <w:rFonts w:ascii="Arial" w:cs="Arial" w:eastAsia="Arial" w:hAnsi="Arial"/>
          <w:sz w:val="18"/>
          <w:szCs w:val="18"/>
          <w:color w:val="auto"/>
        </w:rPr>
        <w:t xml:space="preserve"> and intermediate</w:t>
      </w:r>
      <w:r>
        <w:rPr>
          <w:rFonts w:ascii="MS PGothic" w:cs="MS PGothic" w:eastAsia="MS PGothic" w:hAnsi="MS PGothic"/>
          <w:sz w:val="18"/>
          <w:szCs w:val="18"/>
          <w:color w:val="auto"/>
        </w:rPr>
        <w:t>‑</w:t>
      </w:r>
      <w:r>
        <w:rPr>
          <w:rFonts w:ascii="Arial" w:cs="Arial" w:eastAsia="Arial" w:hAnsi="Arial"/>
          <w:sz w:val="18"/>
          <w:szCs w:val="18"/>
          <w:color w:val="auto"/>
        </w:rPr>
        <w:t>term, interest</w:t>
      </w:r>
      <w:r>
        <w:rPr>
          <w:rFonts w:ascii="MS PGothic" w:cs="MS PGothic" w:eastAsia="MS PGothic" w:hAnsi="MS PGothic"/>
          <w:sz w:val="18"/>
          <w:szCs w:val="18"/>
          <w:color w:val="auto"/>
        </w:rPr>
        <w:t>‑</w:t>
      </w:r>
      <w:r>
        <w:rPr>
          <w:rFonts w:ascii="Arial" w:cs="Arial" w:eastAsia="Arial" w:hAnsi="Arial"/>
          <w:sz w:val="18"/>
          <w:szCs w:val="18"/>
          <w:color w:val="auto"/>
        </w:rPr>
        <w:t>bearing, investment</w:t>
      </w:r>
      <w:r>
        <w:rPr>
          <w:rFonts w:ascii="MS PGothic" w:cs="MS PGothic" w:eastAsia="MS PGothic" w:hAnsi="MS PGothic"/>
          <w:sz w:val="18"/>
          <w:szCs w:val="18"/>
          <w:color w:val="auto"/>
        </w:rPr>
        <w:t>‑</w:t>
      </w:r>
      <w:r>
        <w:rPr>
          <w:rFonts w:ascii="Arial" w:cs="Arial" w:eastAsia="Arial" w:hAnsi="Arial"/>
          <w:sz w:val="18"/>
          <w:szCs w:val="18"/>
          <w:color w:val="auto"/>
        </w:rPr>
        <w:t>grade securities.</w:t>
      </w:r>
    </w:p>
    <w:p>
      <w:pPr>
        <w:spacing w:after="0" w:line="204"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Our plans to use the estimated net proceeds from the sale of these securities may change and, if they do, we will update this information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DESCRIPTION OF OUR COMMON STOCK</w:t>
      </w:r>
    </w:p>
    <w:p>
      <w:pPr>
        <w:spacing w:after="0" w:line="221" w:lineRule="exact"/>
        <w:rPr>
          <w:sz w:val="20"/>
          <w:szCs w:val="20"/>
          <w:color w:val="auto"/>
        </w:rPr>
      </w:pPr>
    </w:p>
    <w:p>
      <w:pPr>
        <w:jc w:val="both"/>
        <w:ind w:firstLine="422"/>
        <w:spacing w:after="0" w:line="250"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 You can access complete information by referring to our Certificate of Incorporation and Bylaws, each as amended to date, which are included as exhibits to the registration statement of which this prospectus forms a part.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1" w:lineRule="exact"/>
        <w:rPr>
          <w:sz w:val="20"/>
          <w:szCs w:val="20"/>
          <w:color w:val="auto"/>
        </w:rPr>
      </w:pPr>
    </w:p>
    <w:p>
      <w:pPr>
        <w:jc w:val="both"/>
        <w:ind w:firstLine="422"/>
        <w:spacing w:after="0" w:line="292"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stockholders to one vote for each share of such stock held by them. Cumulative voting is expressly prohibited by the Certificate of Incorporation. With respect to any matter, a quorum shall be present at a meeting of stockholders if the holders of a majority of the shares entitled to vote on that matter are represented at the meeting in person or by proxy.</w:t>
      </w:r>
    </w:p>
    <w:p>
      <w:pPr>
        <w:spacing w:after="0" w:line="160" w:lineRule="exact"/>
        <w:rPr>
          <w:sz w:val="20"/>
          <w:szCs w:val="20"/>
          <w:color w:val="auto"/>
        </w:rPr>
      </w:pPr>
    </w:p>
    <w:p>
      <w:pPr>
        <w:jc w:val="both"/>
        <w:ind w:firstLine="422"/>
        <w:spacing w:after="0" w:line="248" w:lineRule="auto"/>
        <w:rPr>
          <w:sz w:val="20"/>
          <w:szCs w:val="20"/>
          <w:color w:val="auto"/>
        </w:rPr>
      </w:pPr>
      <w:r>
        <w:rPr>
          <w:rFonts w:ascii="Arial" w:cs="Arial" w:eastAsia="Arial" w:hAnsi="Arial"/>
          <w:sz w:val="18"/>
          <w:szCs w:val="18"/>
          <w:color w:val="auto"/>
        </w:rPr>
        <w:t>Stockholders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4" w:lineRule="exact"/>
        <w:rPr>
          <w:sz w:val="20"/>
          <w:szCs w:val="20"/>
          <w:color w:val="auto"/>
        </w:rPr>
      </w:pPr>
    </w:p>
    <w:p>
      <w:pPr>
        <w:jc w:val="both"/>
        <w:ind w:firstLine="422"/>
        <w:spacing w:after="0" w:line="325" w:lineRule="auto"/>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stockholders. Any future issuance of such shares would reduce the percentage ownership held by existing stockholders and might dilute the book value of their shares.</w:t>
      </w:r>
    </w:p>
    <w:p>
      <w:pPr>
        <w:spacing w:after="0" w:line="135" w:lineRule="exact"/>
        <w:rPr>
          <w:sz w:val="20"/>
          <w:szCs w:val="20"/>
          <w:color w:val="auto"/>
        </w:rPr>
      </w:pPr>
    </w:p>
    <w:p>
      <w:pPr>
        <w:jc w:val="both"/>
        <w:ind w:firstLine="422"/>
        <w:spacing w:after="0" w:line="325"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15" w:lineRule="exact"/>
        <w:rPr>
          <w:sz w:val="20"/>
          <w:szCs w:val="20"/>
          <w:color w:val="auto"/>
        </w:rPr>
      </w:pPr>
    </w:p>
    <w:p>
      <w:pPr>
        <w:jc w:val="both"/>
        <w:ind w:firstLine="422"/>
        <w:spacing w:after="0" w:line="248"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4" w:lineRule="exact"/>
        <w:rPr>
          <w:sz w:val="20"/>
          <w:szCs w:val="20"/>
          <w:color w:val="auto"/>
        </w:rPr>
      </w:pPr>
    </w:p>
    <w:p>
      <w:pPr>
        <w:jc w:val="both"/>
        <w:ind w:firstLine="422"/>
        <w:spacing w:after="0" w:line="248"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15"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90" w:lineRule="exact"/>
        <w:rPr>
          <w:sz w:val="20"/>
          <w:szCs w:val="20"/>
          <w:color w:val="auto"/>
        </w:rPr>
      </w:pPr>
    </w:p>
    <w:p>
      <w:pPr>
        <w:ind w:left="460" w:right="20" w:hanging="151"/>
        <w:spacing w:after="0" w:line="26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jc w:val="both"/>
        <w:ind w:left="460" w:right="20" w:hanging="151"/>
        <w:spacing w:after="0" w:line="24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 w:lineRule="exact"/>
        <w:rPr>
          <w:rFonts w:ascii="Arial" w:cs="Arial" w:eastAsia="Arial" w:hAnsi="Arial"/>
          <w:sz w:val="18"/>
          <w:szCs w:val="18"/>
          <w:color w:val="auto"/>
        </w:rPr>
      </w:pPr>
    </w:p>
    <w:p>
      <w:pPr>
        <w:jc w:val="both"/>
        <w:ind w:left="460" w:right="20" w:hanging="151"/>
        <w:spacing w:after="0" w:line="24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41" w:lineRule="exact"/>
        <w:rPr>
          <w:sz w:val="20"/>
          <w:szCs w:val="20"/>
          <w:color w:val="auto"/>
        </w:rPr>
      </w:pPr>
    </w:p>
    <w:p>
      <w:pPr>
        <w:ind w:left="520" w:hanging="20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6" w:lineRule="exact"/>
        <w:rPr>
          <w:rFonts w:ascii="Arial" w:cs="Arial" w:eastAsia="Arial" w:hAnsi="Arial"/>
          <w:sz w:val="18"/>
          <w:szCs w:val="18"/>
          <w:color w:val="auto"/>
        </w:rPr>
      </w:pPr>
    </w:p>
    <w:p>
      <w:pPr>
        <w:ind w:left="520" w:right="40" w:hanging="209"/>
        <w:spacing w:after="0" w:line="262"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22" w:lineRule="exact"/>
        <w:rPr>
          <w:rFonts w:ascii="Arial" w:cs="Arial" w:eastAsia="Arial" w:hAnsi="Arial"/>
          <w:sz w:val="18"/>
          <w:szCs w:val="18"/>
          <w:color w:val="auto"/>
        </w:rPr>
      </w:pPr>
    </w:p>
    <w:p>
      <w:pPr>
        <w:ind w:left="520" w:right="40" w:hanging="209"/>
        <w:spacing w:after="0" w:line="262"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2" w:lineRule="exact"/>
        <w:rPr>
          <w:rFonts w:ascii="Arial" w:cs="Arial" w:eastAsia="Arial" w:hAnsi="Arial"/>
          <w:sz w:val="18"/>
          <w:szCs w:val="18"/>
          <w:color w:val="auto"/>
        </w:rPr>
      </w:pPr>
    </w:p>
    <w:p>
      <w:pPr>
        <w:ind w:left="520" w:right="40" w:hanging="209"/>
        <w:spacing w:after="0" w:line="262"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2" w:lineRule="exact"/>
        <w:rPr>
          <w:rFonts w:ascii="Arial" w:cs="Arial" w:eastAsia="Arial" w:hAnsi="Arial"/>
          <w:sz w:val="18"/>
          <w:szCs w:val="18"/>
          <w:color w:val="auto"/>
        </w:rPr>
      </w:pPr>
    </w:p>
    <w:p>
      <w:pPr>
        <w:ind w:left="520" w:right="40" w:hanging="209"/>
        <w:spacing w:after="0" w:line="262"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208"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trading symbol “CLRO.”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our common stock is Colonial Stock Transfer.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1"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If there are differences between that prospectus supplement and this prospectus, the prospectus supplement will control. Thus, the statements we make in this section may not apply to a particular series of warrants. Specific warrant agreements will contain additional important terms and provisions and will be incorporated by reference as an exhibit to the registration statement which includes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We may issue warrants for the purchase of common stock in one or more series. We may issue warrants independently or together with common stock, and the warrants may be attached to or separate from these securities.</w:t>
      </w:r>
    </w:p>
    <w:p>
      <w:pPr>
        <w:spacing w:after="0" w:line="18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will evidence each series of warrants by warrant certificates that we may issue under a separate agreement. We may enter into the warrant agreement with a warrant agent. Each warrant agent may be a bank that we select which has its principal office in the United States and a combined capital and surplus of at least $50,000,000. We may also choose to act as our own warrant agent. We will indicate the name and address of any such warrant agent in the applicable prospectus supplement relating to a particular series of warrants.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15" w:lineRule="exact"/>
        <w:rPr>
          <w:sz w:val="20"/>
          <w:szCs w:val="20"/>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215" w:lineRule="exact"/>
        <w:rPr>
          <w:rFonts w:ascii="Arial" w:cs="Arial" w:eastAsia="Arial" w:hAnsi="Arial"/>
          <w:sz w:val="18"/>
          <w:szCs w:val="18"/>
          <w:color w:val="auto"/>
        </w:rPr>
      </w:pPr>
    </w:p>
    <w:p>
      <w:pPr>
        <w:ind w:left="580" w:hanging="232"/>
        <w:spacing w:after="0" w:line="26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81"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215" w:lineRule="exact"/>
        <w:rPr>
          <w:rFonts w:ascii="Arial" w:cs="Arial" w:eastAsia="Arial" w:hAnsi="Arial"/>
          <w:sz w:val="18"/>
          <w:szCs w:val="18"/>
          <w:color w:val="auto"/>
        </w:rPr>
      </w:pPr>
    </w:p>
    <w:p>
      <w:pPr>
        <w:ind w:left="580" w:hanging="232"/>
        <w:spacing w:after="0" w:line="26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the number of shares of common stock purchasable upon the exercise of one warrant and the price at which these shares may be purchased upon such exercise;</w:t>
      </w:r>
    </w:p>
    <w:p>
      <w:pPr>
        <w:spacing w:after="0" w:line="181"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warrant agreement under which the warrants will be issued;</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15" w:lineRule="exact"/>
        <w:rPr>
          <w:rFonts w:ascii="Arial" w:cs="Arial" w:eastAsia="Arial" w:hAnsi="Arial"/>
          <w:sz w:val="18"/>
          <w:szCs w:val="18"/>
          <w:color w:val="auto"/>
        </w:rPr>
      </w:pPr>
    </w:p>
    <w:p>
      <w:pPr>
        <w:ind w:left="580" w:hanging="232"/>
        <w:spacing w:after="0" w:line="26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81" w:lineRule="exact"/>
        <w:rPr>
          <w:rFonts w:ascii="Arial" w:cs="Arial" w:eastAsia="Arial" w:hAnsi="Arial"/>
          <w:sz w:val="18"/>
          <w:szCs w:val="18"/>
          <w:color w:val="auto"/>
        </w:rPr>
      </w:pPr>
    </w:p>
    <w:p>
      <w:pPr>
        <w:ind w:left="580" w:hanging="23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2" w:name="page13"/>
    <w:bookmarkEnd w:id="12"/>
    <w:p>
      <w:pPr>
        <w:ind w:left="580" w:hanging="23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identities of the warrant agent and any calculation or other agent for the warrants;</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215" w:lineRule="exact"/>
        <w:rPr>
          <w:rFonts w:ascii="Arial" w:cs="Arial" w:eastAsia="Arial" w:hAnsi="Arial"/>
          <w:sz w:val="18"/>
          <w:szCs w:val="18"/>
          <w:color w:val="auto"/>
        </w:rPr>
      </w:pPr>
    </w:p>
    <w:p>
      <w:pPr>
        <w:ind w:left="580" w:hanging="23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securities exchange or quotation system on which the warrants or any securities deliverable upon exercise of the warrants may be listed; and</w:t>
      </w:r>
    </w:p>
    <w:p>
      <w:pPr>
        <w:spacing w:after="0" w:line="238" w:lineRule="exact"/>
        <w:rPr>
          <w:rFonts w:ascii="Arial" w:cs="Arial" w:eastAsia="Arial" w:hAnsi="Arial"/>
          <w:sz w:val="16"/>
          <w:szCs w:val="16"/>
          <w:color w:val="auto"/>
        </w:rPr>
      </w:pPr>
    </w:p>
    <w:p>
      <w:pPr>
        <w:ind w:left="580" w:hanging="23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 in the case of warrants to purchase common stock, the right to receive dividends, if any, or, payments upon our liquidation, dissolution or winding up or to exercise voting rights, if 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on the expiration date that we set forth in the applicable prospectus supplement. After the close of business on the expiration date, unexercised warrants will become void.</w:t>
      </w:r>
    </w:p>
    <w:p>
      <w:pPr>
        <w:spacing w:after="0" w:line="193"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9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Until the warrant is properly exercised, no holder of any warrant will be entitled to any rights of a holder of the securities purchasable upon exercise of the warrant.</w:t>
      </w:r>
    </w:p>
    <w:p>
      <w:pPr>
        <w:spacing w:after="0" w:line="18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1"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in accordance with their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Calculation Agent</w:t>
      </w:r>
    </w:p>
    <w:p>
      <w:pPr>
        <w:spacing w:after="0" w:line="22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w:t>
      </w:r>
    </w:p>
    <w:p>
      <w:pPr>
        <w:spacing w:after="0" w:line="19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calculation agent’s determination of any amount of money payable or securities deliverable with respect to a warrant will be final and binding in the absence of manifest error.</w:t>
      </w:r>
    </w:p>
    <w:p>
      <w:pPr>
        <w:spacing w:after="0" w:line="17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DESCRIPTION OF STOCK PURCHASE CONTRACTS</w:t>
      </w:r>
    </w:p>
    <w:p>
      <w:pPr>
        <w:spacing w:after="0" w:line="22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may issue stock purchase contracts, including contracts obligating holders to purchase from or sell to us, and obligating us to sell to or purchase from the holders, a specified number of shares of common stock at a future date or dates, or a variable number of shares of common stock for a stated amount of consideration,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and may be subject to adjustment under anti-dilution formulas.</w:t>
      </w:r>
    </w:p>
    <w:p>
      <w:pPr>
        <w:spacing w:after="0" w:line="166" w:lineRule="exact"/>
        <w:rPr>
          <w:sz w:val="20"/>
          <w:szCs w:val="20"/>
          <w:color w:val="auto"/>
        </w:rPr>
      </w:pPr>
    </w:p>
    <w:p>
      <w:pPr>
        <w:jc w:val="both"/>
        <w:ind w:firstLine="633"/>
        <w:spacing w:after="0" w:line="311" w:lineRule="auto"/>
        <w:rPr>
          <w:sz w:val="20"/>
          <w:szCs w:val="20"/>
          <w:color w:val="auto"/>
        </w:rPr>
      </w:pPr>
      <w:r>
        <w:rPr>
          <w:rFonts w:ascii="Arial" w:cs="Arial" w:eastAsia="Arial" w:hAnsi="Arial"/>
          <w:sz w:val="15"/>
          <w:szCs w:val="15"/>
          <w:color w:val="auto"/>
        </w:rPr>
        <w:t>The stock purchase contracts may require holders to secure their obligations in a specified manner and in certain circumstances we may deliver newly issued prepaid stock purchase contracts upon release to a holder of any collateral securing such holder’s obligations under the original stock purchase contract. The stock purchase contracts may be issued separately or as a part of units consisting of a stock purchase contract and, as security for the holder’s obligations to purchase the shares under the stock purchase contracts, debt obligations of third parties, including U.S. Treasury securities. The stock purchase contracts may require us to make periodic payments to the holders of these units or vice versa, and such payments may be unsecured or prefunded on some basis.</w:t>
      </w:r>
    </w:p>
    <w:p>
      <w:pPr>
        <w:spacing w:after="0" w:line="149"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 applicable prospectus supplement will describe the terms of any stock purchase contracts offered thereby and will contain a discussion of any material federal income tax considerations applicable to the stock purchase contracts. We will file with the SEC as exhibits to a current report on Form 8-K forms of any stock purchase contracts to be issued either separately or as a part of units.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applicable prospectus supplement will describe:</w:t>
      </w:r>
    </w:p>
    <w:p>
      <w:pPr>
        <w:spacing w:after="0" w:line="215" w:lineRule="exact"/>
        <w:rPr>
          <w:sz w:val="20"/>
          <w:szCs w:val="20"/>
          <w:color w:val="auto"/>
        </w:rPr>
      </w:pPr>
    </w:p>
    <w:p>
      <w:pPr>
        <w:ind w:left="640" w:hanging="318"/>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81"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unit agreement under which the units will be issued;</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1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may sell the securities being offered pursuant to this prospectus through underwriters or dealers, through agents, or directly to one or more purchasers or through a combination of these methods. The applicable prospectus supplement will describe the terms of the offering of the securities, including:</w:t>
      </w:r>
    </w:p>
    <w:p>
      <w:pPr>
        <w:spacing w:after="0" w:line="190" w:lineRule="exact"/>
        <w:rPr>
          <w:sz w:val="20"/>
          <w:szCs w:val="20"/>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15" w:lineRule="exact"/>
        <w:rPr>
          <w:sz w:val="20"/>
          <w:szCs w:val="20"/>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215" w:lineRule="exact"/>
        <w:rPr>
          <w:rFonts w:ascii="Arial" w:cs="Arial" w:eastAsia="Arial" w:hAnsi="Arial"/>
          <w:sz w:val="18"/>
          <w:szCs w:val="18"/>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15"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7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9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9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 w:name="page16"/>
    <w:bookmarkEnd w:id="15"/>
    <w:p>
      <w:pPr>
        <w:jc w:val="both"/>
        <w:ind w:firstLine="633"/>
        <w:spacing w:after="0" w:line="300" w:lineRule="auto"/>
        <w:rPr>
          <w:sz w:val="20"/>
          <w:szCs w:val="20"/>
          <w:color w:val="auto"/>
        </w:rPr>
      </w:pPr>
      <w:r>
        <w:rPr>
          <w:rFonts w:ascii="Arial" w:cs="Arial" w:eastAsia="Arial" w:hAnsi="Arial"/>
          <w:sz w:val="16"/>
          <w:szCs w:val="16"/>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4"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6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spacing w:after="0" w:line="190"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5"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71"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under the symbol “CLRO.” We have no current plans for listing of the warrants, stock purchase contracts or units on any securities exchange or quotation system; any such listing with respect to any particular warrants, stock purchase contracts or units will be described in the applicable prospectus supplement or other offering materials, as the case may be. Any underwriters to whom securities are sold by us for public offering and sale may make a market in the securities, but such underwriters will not be obligated to do so and may discontinue any market making at any time without notice.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both"/>
        <w:ind w:firstLine="633"/>
        <w:spacing w:after="0" w:line="300" w:lineRule="auto"/>
        <w:rPr>
          <w:sz w:val="20"/>
          <w:szCs w:val="20"/>
          <w:color w:val="auto"/>
        </w:rPr>
      </w:pPr>
      <w:r>
        <w:rPr>
          <w:rFonts w:ascii="Arial" w:cs="Arial" w:eastAsia="Arial" w:hAnsi="Arial"/>
          <w:sz w:val="16"/>
          <w:szCs w:val="16"/>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1" w:lineRule="exact"/>
        <w:rPr>
          <w:sz w:val="20"/>
          <w:szCs w:val="20"/>
          <w:color w:val="auto"/>
        </w:rPr>
      </w:pPr>
    </w:p>
    <w:p>
      <w:pPr>
        <w:ind w:right="40" w:firstLine="422"/>
        <w:spacing w:after="0" w:line="250"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validity of the securities being offered hereby will be passed upon by Seyfarth Shaw LLP.</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w:t>
      </w:r>
    </w:p>
    <w:p>
      <w:pPr>
        <w:spacing w:after="0" w:line="21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1" w:lineRule="exact"/>
        <w:rPr>
          <w:sz w:val="20"/>
          <w:szCs w:val="20"/>
          <w:color w:val="auto"/>
        </w:rPr>
      </w:pPr>
    </w:p>
    <w:p>
      <w:pPr>
        <w:ind w:right="120" w:firstLine="563"/>
        <w:spacing w:after="0" w:line="25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63"/>
        </w:trPr>
        <w:tc>
          <w:tcPr>
            <w:tcW w:w="9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64"/>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63"/>
        </w:trPr>
        <w:tc>
          <w:tcPr>
            <w:tcW w:w="9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64"/>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63"/>
        </w:trPr>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Fees and Expenses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31"/>
        </w:trPr>
        <w:tc>
          <w:tcPr>
            <w:tcW w:w="91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$80,298</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1" w:lineRule="exact"/>
        <w:rPr>
          <w:sz w:val="20"/>
          <w:szCs w:val="20"/>
          <w:color w:val="auto"/>
        </w:rPr>
      </w:pPr>
    </w:p>
    <w:p>
      <w:pPr>
        <w:jc w:val="both"/>
        <w:ind w:firstLine="422"/>
        <w:spacing w:after="0" w:line="280" w:lineRule="auto"/>
        <w:rPr>
          <w:sz w:val="20"/>
          <w:szCs w:val="20"/>
          <w:color w:val="auto"/>
        </w:rPr>
      </w:pPr>
      <w:r>
        <w:rPr>
          <w:rFonts w:ascii="Arial" w:cs="Arial" w:eastAsia="Arial" w:hAnsi="Arial"/>
          <w:sz w:val="16"/>
          <w:szCs w:val="16"/>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7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81"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90" w:lineRule="exact"/>
        <w:rPr>
          <w:sz w:val="20"/>
          <w:szCs w:val="20"/>
          <w:color w:val="auto"/>
        </w:rPr>
      </w:pPr>
    </w:p>
    <w:p>
      <w:pPr>
        <w:ind w:left="760" w:hanging="33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109" w:lineRule="exact"/>
        <w:rPr>
          <w:rFonts w:ascii="Arial" w:cs="Arial" w:eastAsia="Arial" w:hAnsi="Arial"/>
          <w:sz w:val="18"/>
          <w:szCs w:val="18"/>
          <w:color w:val="auto"/>
        </w:rPr>
      </w:pPr>
    </w:p>
    <w:p>
      <w:pPr>
        <w:ind w:left="760" w:hanging="33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09" w:lineRule="exact"/>
        <w:rPr>
          <w:rFonts w:ascii="Arial" w:cs="Arial" w:eastAsia="Arial" w:hAnsi="Arial"/>
          <w:sz w:val="18"/>
          <w:szCs w:val="18"/>
          <w:color w:val="auto"/>
        </w:rPr>
      </w:pPr>
    </w:p>
    <w:p>
      <w:pPr>
        <w:ind w:left="760" w:hanging="33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109" w:lineRule="exact"/>
        <w:rPr>
          <w:rFonts w:ascii="Arial" w:cs="Arial" w:eastAsia="Arial" w:hAnsi="Arial"/>
          <w:sz w:val="18"/>
          <w:szCs w:val="18"/>
          <w:color w:val="auto"/>
        </w:rPr>
      </w:pPr>
    </w:p>
    <w:p>
      <w:pPr>
        <w:ind w:left="760" w:hanging="33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110" w:lineRule="exact"/>
        <w:rPr>
          <w:sz w:val="20"/>
          <w:szCs w:val="20"/>
          <w:color w:val="auto"/>
        </w:rPr>
      </w:pPr>
    </w:p>
    <w:p>
      <w:pPr>
        <w:jc w:val="both"/>
        <w:ind w:firstLine="422"/>
        <w:spacing w:after="0" w:line="300" w:lineRule="auto"/>
        <w:rPr>
          <w:sz w:val="20"/>
          <w:szCs w:val="20"/>
          <w:color w:val="auto"/>
        </w:rPr>
      </w:pPr>
      <w:r>
        <w:rPr>
          <w:rFonts w:ascii="Arial" w:cs="Arial" w:eastAsia="Arial" w:hAnsi="Arial"/>
          <w:sz w:val="16"/>
          <w:szCs w:val="16"/>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jc w:val="both"/>
        <w:ind w:firstLine="422"/>
        <w:spacing w:after="0" w:line="249"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9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EXHIBITS.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Exhibit Index to this Registration Statement on Form S-3 which is incorporated herein by reference.</w:t>
      </w: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1" w:lineRule="exact"/>
        <w:rPr>
          <w:sz w:val="20"/>
          <w:szCs w:val="20"/>
          <w:color w:val="auto"/>
        </w:rPr>
      </w:pPr>
    </w:p>
    <w:p>
      <w:pPr>
        <w:ind w:left="700" w:hanging="694"/>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15" w:lineRule="exact"/>
        <w:rPr>
          <w:rFonts w:ascii="Arial" w:cs="Arial" w:eastAsia="Arial" w:hAnsi="Arial"/>
          <w:sz w:val="18"/>
          <w:szCs w:val="18"/>
          <w:color w:val="auto"/>
        </w:rPr>
      </w:pPr>
    </w:p>
    <w:p>
      <w:pPr>
        <w:ind w:left="1380" w:hanging="678"/>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15" w:lineRule="exact"/>
        <w:rPr>
          <w:rFonts w:ascii="Arial" w:cs="Arial" w:eastAsia="Arial" w:hAnsi="Arial"/>
          <w:sz w:val="18"/>
          <w:szCs w:val="18"/>
          <w:color w:val="auto"/>
        </w:rPr>
      </w:pPr>
    </w:p>
    <w:p>
      <w:pPr>
        <w:ind w:left="2100" w:hanging="702"/>
        <w:spacing w:after="0"/>
        <w:tabs>
          <w:tab w:leader="none" w:pos="21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15" w:lineRule="exact"/>
        <w:rPr>
          <w:rFonts w:ascii="Arial" w:cs="Arial" w:eastAsia="Arial" w:hAnsi="Arial"/>
          <w:sz w:val="18"/>
          <w:szCs w:val="18"/>
          <w:color w:val="auto"/>
        </w:rPr>
      </w:pPr>
    </w:p>
    <w:p>
      <w:pPr>
        <w:ind w:left="2100" w:right="40" w:hanging="702"/>
        <w:spacing w:after="0" w:line="282" w:lineRule="auto"/>
        <w:tabs>
          <w:tab w:leader="none" w:pos="2093"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69" w:lineRule="exact"/>
        <w:rPr>
          <w:rFonts w:ascii="Arial" w:cs="Arial" w:eastAsia="Arial" w:hAnsi="Arial"/>
          <w:sz w:val="16"/>
          <w:szCs w:val="16"/>
          <w:color w:val="auto"/>
        </w:rPr>
      </w:pPr>
    </w:p>
    <w:p>
      <w:pPr>
        <w:ind w:left="2100" w:right="100" w:hanging="702"/>
        <w:spacing w:after="0" w:line="262" w:lineRule="auto"/>
        <w:tabs>
          <w:tab w:leader="none" w:pos="2129"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1" w:lineRule="exact"/>
        <w:rPr>
          <w:sz w:val="20"/>
          <w:szCs w:val="20"/>
          <w:color w:val="auto"/>
        </w:rPr>
      </w:pPr>
    </w:p>
    <w:p>
      <w:pPr>
        <w:ind w:left="1400" w:right="200"/>
        <w:spacing w:after="0" w:line="29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do not apply if the information required to be included in a post-effective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by those paragraphs is contained in reports filed with or furnished to the Commission by the Registrant pursuant to Section 13 or Section 15(d) of the Securities Exchange Act of 1934 that are incorporated by reference in the registration statement,or is contained in a form of prospectus filed pursuant to Rule 424(b) that is part of the registration statement.</w:t>
      </w:r>
    </w:p>
    <w:p>
      <w:pPr>
        <w:spacing w:after="0" w:line="186" w:lineRule="exact"/>
        <w:rPr>
          <w:sz w:val="20"/>
          <w:szCs w:val="20"/>
          <w:color w:val="auto"/>
        </w:rPr>
      </w:pPr>
    </w:p>
    <w:p>
      <w:pPr>
        <w:ind w:left="1400" w:right="80" w:hanging="698"/>
        <w:spacing w:after="0" w:line="253" w:lineRule="auto"/>
        <w:tabs>
          <w:tab w:leader="none" w:pos="13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9" w:name="page20"/>
    <w:bookmarkEnd w:id="19"/>
    <w:p>
      <w:pPr>
        <w:ind w:left="698" w:right="380" w:hanging="698"/>
        <w:spacing w:after="0" w:line="262"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1" w:lineRule="exact"/>
        <w:rPr>
          <w:rFonts w:ascii="Arial" w:cs="Arial" w:eastAsia="Arial" w:hAnsi="Arial"/>
          <w:sz w:val="18"/>
          <w:szCs w:val="18"/>
          <w:color w:val="auto"/>
        </w:rPr>
      </w:pPr>
    </w:p>
    <w:p>
      <w:pPr>
        <w:ind w:left="678" w:hanging="678"/>
        <w:spacing w:after="0"/>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15" w:lineRule="exact"/>
        <w:rPr>
          <w:rFonts w:ascii="Arial" w:cs="Arial" w:eastAsia="Arial" w:hAnsi="Arial"/>
          <w:sz w:val="18"/>
          <w:szCs w:val="18"/>
          <w:color w:val="auto"/>
        </w:rPr>
      </w:pPr>
    </w:p>
    <w:p>
      <w:pPr>
        <w:ind w:left="1398" w:hanging="664"/>
        <w:spacing w:after="0"/>
        <w:tabs>
          <w:tab w:leader="none" w:pos="1398"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15" w:lineRule="exact"/>
        <w:rPr>
          <w:rFonts w:ascii="Arial" w:cs="Arial" w:eastAsia="Arial" w:hAnsi="Arial"/>
          <w:sz w:val="18"/>
          <w:szCs w:val="18"/>
          <w:color w:val="auto"/>
        </w:rPr>
      </w:pPr>
    </w:p>
    <w:p>
      <w:pPr>
        <w:ind w:left="1398" w:right="120" w:hanging="5"/>
        <w:spacing w:after="0" w:line="325" w:lineRule="auto"/>
        <w:tabs>
          <w:tab w:leader="none" w:pos="1686" w:val="left"/>
        </w:tabs>
        <w:numPr>
          <w:ilvl w:val="3"/>
          <w:numId w:val="14"/>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4" w:lineRule="exact"/>
        <w:rPr>
          <w:rFonts w:ascii="Arial" w:cs="Arial" w:eastAsia="Arial" w:hAnsi="Arial"/>
          <w:sz w:val="16"/>
          <w:szCs w:val="16"/>
          <w:color w:val="auto"/>
        </w:rPr>
      </w:pPr>
    </w:p>
    <w:p>
      <w:pPr>
        <w:ind w:left="1398" w:right="60" w:hanging="5"/>
        <w:spacing w:after="0" w:line="299" w:lineRule="auto"/>
        <w:tabs>
          <w:tab w:leader="none" w:pos="1659" w:val="left"/>
        </w:tabs>
        <w:numPr>
          <w:ilvl w:val="3"/>
          <w:numId w:val="14"/>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4" w:lineRule="exact"/>
        <w:rPr>
          <w:rFonts w:ascii="Arial" w:cs="Arial" w:eastAsia="Arial" w:hAnsi="Arial"/>
          <w:sz w:val="15"/>
          <w:szCs w:val="15"/>
          <w:color w:val="auto"/>
        </w:rPr>
      </w:pPr>
    </w:p>
    <w:p>
      <w:pPr>
        <w:ind w:left="1358" w:hanging="630"/>
        <w:spacing w:after="0" w:line="282" w:lineRule="auto"/>
        <w:tabs>
          <w:tab w:leader="none" w:pos="1555" w:val="left"/>
        </w:tabs>
        <w:numPr>
          <w:ilvl w:val="2"/>
          <w:numId w:val="14"/>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9" w:lineRule="exact"/>
        <w:rPr>
          <w:rFonts w:ascii="Arial" w:cs="Arial" w:eastAsia="Arial" w:hAnsi="Arial"/>
          <w:sz w:val="16"/>
          <w:szCs w:val="16"/>
          <w:color w:val="auto"/>
        </w:rPr>
      </w:pPr>
    </w:p>
    <w:p>
      <w:pPr>
        <w:ind w:left="698" w:right="20" w:hanging="698"/>
        <w:spacing w:after="0" w:line="287"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6" w:lineRule="exact"/>
        <w:rPr>
          <w:rFonts w:ascii="Arial" w:cs="Arial" w:eastAsia="Arial" w:hAnsi="Arial"/>
          <w:sz w:val="16"/>
          <w:szCs w:val="16"/>
          <w:color w:val="auto"/>
        </w:rPr>
      </w:pPr>
    </w:p>
    <w:p>
      <w:pPr>
        <w:ind w:left="1398" w:right="260" w:hanging="702"/>
        <w:spacing w:after="0" w:line="262" w:lineRule="auto"/>
        <w:tabs>
          <w:tab w:leader="none" w:pos="14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81" w:lineRule="exact"/>
        <w:rPr>
          <w:rFonts w:ascii="Arial" w:cs="Arial" w:eastAsia="Arial" w:hAnsi="Arial"/>
          <w:sz w:val="18"/>
          <w:szCs w:val="18"/>
          <w:color w:val="auto"/>
        </w:rPr>
      </w:pPr>
    </w:p>
    <w:p>
      <w:pPr>
        <w:ind w:left="1398" w:right="160" w:hanging="702"/>
        <w:spacing w:after="0" w:line="262" w:lineRule="auto"/>
        <w:tabs>
          <w:tab w:leader="none" w:pos="14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8" w:lineRule="exact"/>
        <w:rPr>
          <w:sz w:val="20"/>
          <w:szCs w:val="20"/>
          <w:color w:val="auto"/>
        </w:rPr>
      </w:pPr>
    </w:p>
    <w:p>
      <w:pPr>
        <w:ind w:left="4798"/>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85725</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518"/>
          </w:cols>
          <w:pgMar w:left="1022" w:top="338" w:right="359" w:bottom="1440" w:gutter="0" w:footer="0" w:header="0"/>
        </w:sectPr>
      </w:pPr>
    </w:p>
    <w:bookmarkStart w:id="20" w:name="page21"/>
    <w:bookmarkEnd w:id="20"/>
    <w:p>
      <w:pPr>
        <w:ind w:left="2094" w:right="220" w:hanging="702"/>
        <w:spacing w:after="0" w:line="262" w:lineRule="auto"/>
        <w:tabs>
          <w:tab w:leader="none" w:pos="21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1" w:lineRule="exact"/>
        <w:rPr>
          <w:rFonts w:ascii="Arial" w:cs="Arial" w:eastAsia="Arial" w:hAnsi="Arial"/>
          <w:sz w:val="18"/>
          <w:szCs w:val="18"/>
          <w:color w:val="auto"/>
        </w:rPr>
      </w:pPr>
    </w:p>
    <w:p>
      <w:pPr>
        <w:ind w:left="2094" w:hanging="702"/>
        <w:spacing w:after="0"/>
        <w:tabs>
          <w:tab w:leader="none" w:pos="20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5" w:lineRule="exact"/>
        <w:rPr>
          <w:rFonts w:ascii="Arial" w:cs="Arial" w:eastAsia="Arial" w:hAnsi="Arial"/>
          <w:sz w:val="18"/>
          <w:szCs w:val="18"/>
          <w:color w:val="auto"/>
        </w:rPr>
      </w:pPr>
    </w:p>
    <w:p>
      <w:pPr>
        <w:ind w:left="694" w:right="80" w:hanging="694"/>
        <w:spacing w:after="0" w:line="287"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6" w:lineRule="exact"/>
        <w:rPr>
          <w:rFonts w:ascii="Arial" w:cs="Arial" w:eastAsia="Arial" w:hAnsi="Arial"/>
          <w:sz w:val="16"/>
          <w:szCs w:val="16"/>
          <w:color w:val="auto"/>
        </w:rPr>
      </w:pPr>
    </w:p>
    <w:p>
      <w:pPr>
        <w:ind w:left="694" w:hanging="694"/>
        <w:spacing w:after="0" w:line="282"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14"/>
          </w:cols>
          <w:pgMar w:left="326" w:top="549"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80" w:firstLine="439"/>
        <w:spacing w:after="0" w:line="253" w:lineRule="auto"/>
        <w:rPr>
          <w:sz w:val="20"/>
          <w:szCs w:val="20"/>
          <w:color w:val="auto"/>
        </w:rPr>
      </w:pPr>
      <w:r>
        <w:rPr>
          <w:rFonts w:ascii="Arial" w:cs="Arial" w:eastAsia="Arial" w:hAnsi="Arial"/>
          <w:sz w:val="18"/>
          <w:szCs w:val="18"/>
          <w:color w:val="auto"/>
        </w:rPr>
        <w:t>Pursuant to the requirements of the Securities Act, the registrant hereby certifies that it has reasonable grounds to believe that it meets all of the requirements for filing on Form S-3 and has duly caused this registration statement to be signed on its behalf by the undersigned, thereunto duly authorized, in the city of Salt Lake City, Utah on this 25th day of August, 2020.</w:t>
      </w:r>
    </w:p>
    <w:p>
      <w:pPr>
        <w:spacing w:after="0" w:line="190" w:lineRule="exact"/>
        <w:rPr>
          <w:sz w:val="20"/>
          <w:szCs w:val="20"/>
          <w:color w:val="auto"/>
        </w:rPr>
      </w:pPr>
    </w:p>
    <w:p>
      <w:pPr>
        <w:ind w:left="6100"/>
        <w:spacing w:after="0"/>
        <w:rPr>
          <w:sz w:val="20"/>
          <w:szCs w:val="20"/>
          <w:color w:val="auto"/>
        </w:rPr>
      </w:pPr>
      <w:r>
        <w:rPr>
          <w:rFonts w:ascii="Arial" w:cs="Arial" w:eastAsia="Arial" w:hAnsi="Arial"/>
          <w:sz w:val="18"/>
          <w:szCs w:val="18"/>
          <w:u w:val="single" w:color="auto"/>
          <w:color w:val="auto"/>
        </w:rPr>
        <w:t>CLEARONE, INC.</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03"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10160</wp:posOffset>
            </wp:positionV>
            <wp:extent cx="3266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Zeynep Hakimoglu</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right="20" w:firstLine="44"/>
        <w:spacing w:after="0" w:line="306" w:lineRule="auto"/>
        <w:rPr>
          <w:sz w:val="20"/>
          <w:szCs w:val="20"/>
          <w:color w:val="auto"/>
        </w:rPr>
      </w:pPr>
      <w:r>
        <w:rPr>
          <w:rFonts w:ascii="Arial" w:cs="Arial" w:eastAsia="Arial" w:hAnsi="Arial"/>
          <w:sz w:val="15"/>
          <w:szCs w:val="15"/>
          <w:b w:val="1"/>
          <w:bCs w:val="1"/>
          <w:color w:val="auto"/>
        </w:rPr>
        <w:t>KNOW ALL MEN BY THESE PRESENTS</w:t>
      </w:r>
      <w:r>
        <w:rPr>
          <w:rFonts w:ascii="Arial" w:cs="Arial" w:eastAsia="Arial" w:hAnsi="Arial"/>
          <w:sz w:val="15"/>
          <w:szCs w:val="15"/>
          <w:color w:val="auto"/>
        </w:rPr>
        <w:t>, that each person whose signature appears below hereby constitutes and appoints Zeynep Hakimoglu, Narsi</w:t>
      </w:r>
      <w:r>
        <w:rPr>
          <w:rFonts w:ascii="Arial" w:cs="Arial" w:eastAsia="Arial" w:hAnsi="Arial"/>
          <w:sz w:val="15"/>
          <w:szCs w:val="15"/>
          <w:b w:val="1"/>
          <w:bCs w:val="1"/>
          <w:color w:val="auto"/>
        </w:rPr>
        <w:t xml:space="preserve"> </w:t>
      </w:r>
      <w:r>
        <w:rPr>
          <w:rFonts w:ascii="Arial" w:cs="Arial" w:eastAsia="Arial" w:hAnsi="Arial"/>
          <w:sz w:val="15"/>
          <w:szCs w:val="15"/>
          <w:color w:val="auto"/>
        </w:rPr>
        <w:t>Narayanan, or any one of them, his or her attorneys-in-fact and agents, each with full power of substitution and re-substitution for him in any and all capacities, to sign any or all amendments or post-effective amendments to this registration statement on Form S-3 or a registration statement prepared in accordance with Rule 462 of the Securities Act of 1933, as amended, and to file the same, with exhibits thereto and other documents in connection herewith or in connection with the registration of the offered securities under the Securities Exchange Act of 1934, as amended, with the Securities and Exchange Commission, granting unto each of such attorneys-in-fact and agents full power to do and perform each and every act and thing requisite and necessary in connection with such matters and hereby ratifying and confirming all that each of such attorneys-in-fact and agents or his substitutes may do or cause to be done by virtue hereof.</w:t>
      </w:r>
    </w:p>
    <w:p>
      <w:pPr>
        <w:spacing w:after="0" w:line="233" w:lineRule="exact"/>
        <w:rPr>
          <w:sz w:val="20"/>
          <w:szCs w:val="20"/>
          <w:color w:val="auto"/>
        </w:rPr>
      </w:pPr>
    </w:p>
    <w:p>
      <w:pPr>
        <w:ind w:left="2840"/>
        <w:spacing w:after="0"/>
        <w:tabs>
          <w:tab w:leader="none" w:pos="832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b w:val="1"/>
          <w:bCs w:val="1"/>
          <w:color w:val="auto"/>
        </w:rPr>
        <w:t>Signatures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19"/>
                <w:szCs w:val="19"/>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Zeynep Hakimoglu</w:t>
            </w:r>
          </w:p>
        </w:tc>
      </w:tr>
      <w:tr>
        <w:trPr>
          <w:trHeight w:val="192"/>
        </w:trPr>
        <w:tc>
          <w:tcPr>
            <w:tcW w:w="4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20" w:type="dxa"/>
            <w:vAlign w:val="bottom"/>
          </w:tcPr>
          <w:p>
            <w:pPr>
              <w:jc w:val="center"/>
              <w:spacing w:after="0" w:line="192" w:lineRule="exact"/>
              <w:rPr>
                <w:sz w:val="20"/>
                <w:szCs w:val="20"/>
                <w:color w:val="auto"/>
              </w:rPr>
            </w:pPr>
            <w:r>
              <w:rPr>
                <w:rFonts w:ascii="Arial" w:cs="Arial" w:eastAsia="Arial" w:hAnsi="Arial"/>
                <w:sz w:val="18"/>
                <w:szCs w:val="18"/>
                <w:color w:val="auto"/>
                <w:w w:val="89"/>
              </w:rPr>
              <w:t>Zeynep Hakimoglu, Chairman of the Board of Directors, President and</w:t>
            </w:r>
          </w:p>
        </w:tc>
      </w:tr>
      <w:tr>
        <w:trPr>
          <w:trHeight w:val="211"/>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3"/>
        </w:trPr>
        <w:tc>
          <w:tcPr>
            <w:tcW w:w="4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r>
      <w:tr>
        <w:trPr>
          <w:trHeight w:val="442"/>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Narsi Narayanan</w:t>
            </w:r>
          </w:p>
        </w:tc>
      </w:tr>
      <w:tr>
        <w:trPr>
          <w:trHeight w:val="199"/>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20" w:type="dxa"/>
            <w:vAlign w:val="bottom"/>
          </w:tcPr>
          <w:p>
            <w:pPr>
              <w:jc w:val="center"/>
              <w:spacing w:after="0" w:line="199" w:lineRule="exact"/>
              <w:rPr>
                <w:sz w:val="20"/>
                <w:szCs w:val="20"/>
                <w:color w:val="auto"/>
              </w:rPr>
            </w:pPr>
            <w:r>
              <w:rPr>
                <w:rFonts w:ascii="Arial" w:cs="Arial" w:eastAsia="Arial" w:hAnsi="Arial"/>
                <w:sz w:val="18"/>
                <w:szCs w:val="18"/>
                <w:color w:val="auto"/>
                <w:w w:val="87"/>
              </w:rPr>
              <w:t>Narsi Narayanan, Senior Vice President of Finance</w:t>
            </w:r>
          </w:p>
        </w:tc>
      </w:tr>
      <w:tr>
        <w:trPr>
          <w:trHeight w:val="223"/>
        </w:trPr>
        <w:tc>
          <w:tcPr>
            <w:tcW w:w="4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(Principal Financial and Principal Accounting Officer)</w:t>
            </w:r>
          </w:p>
        </w:tc>
      </w:tr>
      <w:tr>
        <w:trPr>
          <w:trHeight w:val="442"/>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Larry R. Hendricks</w:t>
            </w:r>
          </w:p>
        </w:tc>
      </w:tr>
      <w:tr>
        <w:trPr>
          <w:trHeight w:val="303"/>
        </w:trPr>
        <w:tc>
          <w:tcPr>
            <w:tcW w:w="4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Larry R. Hendricks, Director</w:t>
            </w:r>
          </w:p>
        </w:tc>
      </w:tr>
      <w:tr>
        <w:trPr>
          <w:trHeight w:val="548"/>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Lisa Higley</w:t>
            </w:r>
          </w:p>
        </w:tc>
      </w:tr>
      <w:tr>
        <w:trPr>
          <w:trHeight w:val="303"/>
        </w:trPr>
        <w:tc>
          <w:tcPr>
            <w:tcW w:w="4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Lisa Higley, Director</w:t>
            </w:r>
          </w:p>
        </w:tc>
      </w:tr>
      <w:tr>
        <w:trPr>
          <w:trHeight w:val="548"/>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L. Robinson</w:t>
            </w:r>
          </w:p>
        </w:tc>
      </w:tr>
      <w:tr>
        <w:trPr>
          <w:trHeight w:val="303"/>
        </w:trPr>
        <w:tc>
          <w:tcPr>
            <w:tcW w:w="4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Eric L. Robinson, Director</w:t>
            </w:r>
          </w:p>
        </w:tc>
      </w:tr>
      <w:tr>
        <w:trPr>
          <w:trHeight w:val="548"/>
        </w:trPr>
        <w:tc>
          <w:tcPr>
            <w:tcW w:w="4540" w:type="dxa"/>
            <w:vAlign w:val="bottom"/>
          </w:tcPr>
          <w:p>
            <w:pPr>
              <w:ind w:left="2400"/>
              <w:spacing w:after="0"/>
              <w:rPr>
                <w:sz w:val="20"/>
                <w:szCs w:val="20"/>
                <w:color w:val="auto"/>
              </w:rPr>
            </w:pPr>
            <w:r>
              <w:rPr>
                <w:rFonts w:ascii="Arial" w:cs="Arial" w:eastAsia="Arial" w:hAnsi="Arial"/>
                <w:sz w:val="18"/>
                <w:szCs w:val="18"/>
                <w:color w:val="auto"/>
              </w:rPr>
              <w:t>August 25, 2020</w:t>
            </w:r>
          </w:p>
        </w:tc>
        <w:tc>
          <w:tcPr>
            <w:tcW w:w="148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Bruce Whaley</w:t>
            </w:r>
          </w:p>
        </w:tc>
      </w:tr>
      <w:tr>
        <w:trPr>
          <w:trHeight w:val="303"/>
        </w:trPr>
        <w:tc>
          <w:tcPr>
            <w:tcW w:w="4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Bruce Whaley, Director</w:t>
            </w:r>
          </w:p>
        </w:tc>
      </w:tr>
      <w:tr>
        <w:trPr>
          <w:trHeight w:val="607"/>
        </w:trPr>
        <w:tc>
          <w:tcPr>
            <w:tcW w:w="4540" w:type="dxa"/>
            <w:vAlign w:val="bottom"/>
          </w:tcPr>
          <w:p>
            <w:pPr>
              <w:spacing w:after="0"/>
              <w:rPr>
                <w:sz w:val="24"/>
                <w:szCs w:val="24"/>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5220" w:type="dxa"/>
            <w:vAlign w:val="bottom"/>
          </w:tcPr>
          <w:p>
            <w:pPr>
              <w:spacing w:after="0"/>
              <w:rPr>
                <w:sz w:val="24"/>
                <w:szCs w:val="24"/>
                <w:color w:val="auto"/>
              </w:rPr>
            </w:pPr>
          </w:p>
        </w:tc>
      </w:tr>
      <w:tr>
        <w:trPr>
          <w:trHeight w:val="113"/>
        </w:trPr>
        <w:tc>
          <w:tcPr>
            <w:tcW w:w="45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22" w:name="page23"/>
    <w:bookmarkEnd w:id="22"/>
    <w:p>
      <w:pPr>
        <w:jc w:val="center"/>
        <w:ind w:right="220"/>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Placement Agency Agreement, Dealer-Manager Agreement, Distribution Agreement or similar agreement.</w:t>
      </w:r>
    </w:p>
    <w:p>
      <w:pPr>
        <w:spacing w:after="0" w:line="30" w:lineRule="exact"/>
        <w:rPr>
          <w:sz w:val="20"/>
          <w:szCs w:val="20"/>
          <w:color w:val="auto"/>
        </w:rPr>
      </w:pPr>
    </w:p>
    <w:p>
      <w:pPr>
        <w:ind w:left="620" w:right="240" w:hanging="619"/>
        <w:spacing w:after="0" w:line="292" w:lineRule="auto"/>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39">
        <w:r>
          <w:rPr>
            <w:rFonts w:ascii="Arial" w:cs="Arial" w:eastAsia="Arial" w:hAnsi="Arial"/>
            <w:sz w:val="16"/>
            <w:szCs w:val="16"/>
            <w:u w:val="single" w:color="auto"/>
            <w:color w:val="0000FF"/>
          </w:rPr>
          <w:t>Description of Securities Registered Pursuant to Section 12 of the Securities Exchange Act of 1934 (filed as Exhibit 4.1 to ClearOne, Inc.’s</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Annual Report on Form 10-K for the year ended December 31, 2019 and incorporated herein by reference).</w:t>
        </w:r>
      </w:hyperlink>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Warrant.</w:t>
      </w:r>
    </w:p>
    <w:p>
      <w:pPr>
        <w:spacing w:after="0" w:line="16"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24">
        <w:r>
          <w:rPr>
            <w:rFonts w:ascii="Arial" w:cs="Arial" w:eastAsia="Arial" w:hAnsi="Arial"/>
            <w:sz w:val="16"/>
            <w:szCs w:val="16"/>
            <w:u w:val="single" w:color="auto"/>
            <w:color w:val="0000EE"/>
          </w:rPr>
          <w:t>Opinion of Seyfarth Shaw LLP regarding the validity of the securities being issued.</w:t>
        </w:r>
      </w:hyperlink>
    </w:p>
    <w:p>
      <w:pPr>
        <w:spacing w:after="0" w:line="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Stock Purchase Contract.</w:t>
      </w:r>
    </w:p>
    <w:p>
      <w:pPr>
        <w:spacing w:after="0" w:line="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Unit.</w:t>
      </w:r>
    </w:p>
    <w:p>
      <w:pPr>
        <w:spacing w:after="0" w:line="30"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8"/>
          <w:szCs w:val="18"/>
          <w:color w:val="auto"/>
        </w:rPr>
        <w:t>23.1</w:t>
      </w:r>
      <w:r>
        <w:rPr>
          <w:sz w:val="20"/>
          <w:szCs w:val="20"/>
          <w:color w:val="auto"/>
        </w:rPr>
        <w:tab/>
      </w:r>
      <w:hyperlink w:anchor="page27">
        <w:r>
          <w:rPr>
            <w:rFonts w:ascii="Arial" w:cs="Arial" w:eastAsia="Arial" w:hAnsi="Arial"/>
            <w:sz w:val="15"/>
            <w:szCs w:val="15"/>
            <w:u w:val="single" w:color="auto"/>
            <w:color w:val="0000EE"/>
          </w:rPr>
          <w:t>Consent of Tanner LLC</w:t>
        </w:r>
      </w:hyperlink>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Seyfarth Shaw LLP (included in Exhibit 5.1).</w:t>
      </w:r>
    </w:p>
    <w:p>
      <w:pPr>
        <w:spacing w:after="0" w:line="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filed by amendment or as an exhibit to a Current Report on Form 8-K and incorporated herein by reference,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-72390</wp:posOffset>
            </wp:positionV>
            <wp:extent cx="336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77470</wp:posOffset>
            </wp:positionV>
            <wp:extent cx="713549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40"/>
          </w:cols>
          <w:pgMar w:left="740" w:top="754" w:right="519" w:bottom="1440" w:gutter="0" w:footer="0" w:header="0"/>
        </w:sectPr>
      </w:pPr>
    </w:p>
    <w:bookmarkStart w:id="23" w:name="page24"/>
    <w:bookmarkEnd w:id="23"/>
    <w:p>
      <w:pPr>
        <w:ind w:left="10420"/>
        <w:spacing w:after="0"/>
        <w:rPr>
          <w:sz w:val="20"/>
          <w:szCs w:val="20"/>
          <w:color w:val="auto"/>
        </w:rPr>
      </w:pPr>
      <w:r>
        <w:rPr>
          <w:rFonts w:ascii="Arial" w:cs="Arial" w:eastAsia="Arial" w:hAnsi="Arial"/>
          <w:sz w:val="18"/>
          <w:szCs w:val="18"/>
          <w:b w:val="1"/>
          <w:bCs w:val="1"/>
          <w:color w:val="auto"/>
        </w:rPr>
        <w:t>Exhibit 5.1</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[LETTERHEAD OF SEYFARTH SHAW LLP]</w:t>
      </w: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August 25, 2020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84116</w:t>
      </w:r>
    </w:p>
    <w:p>
      <w:pPr>
        <w:spacing w:after="0" w:line="230"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9" w:lineRule="exact"/>
        <w:rPr>
          <w:sz w:val="20"/>
          <w:szCs w:val="20"/>
          <w:color w:val="auto"/>
        </w:rPr>
      </w:pPr>
    </w:p>
    <w:p>
      <w:pPr>
        <w:jc w:val="both"/>
        <w:ind w:right="100" w:firstLine="1266"/>
        <w:spacing w:after="0" w:line="248" w:lineRule="auto"/>
        <w:rPr>
          <w:sz w:val="20"/>
          <w:szCs w:val="20"/>
          <w:color w:val="auto"/>
        </w:rPr>
      </w:pPr>
      <w:r>
        <w:rPr>
          <w:rFonts w:ascii="Arial" w:cs="Arial" w:eastAsia="Arial" w:hAnsi="Arial"/>
          <w:sz w:val="18"/>
          <w:szCs w:val="18"/>
          <w:color w:val="auto"/>
        </w:rPr>
        <w:t>We have acted as counsel to ClearOne, Inc., a Delaware corporation (the “Company”), in connection with the Company’s registration statement on Form S-3 filed with the Securities and Exchange Commission (the “Registration Statement”) under the Securities Act of 1933, as amended (the “Securities Act”), relating to an aggregate of up to $10,000,000 aggregate principal amount of shares of common stock, par value $0.001 per share (the “Common Stock”), warrants to purchase shares of Common Stock (the “Warrants”), stock purchase contracts (“SPCs”) and units consisting of any combination of Common Stock, Warrants and SPCs (the “Units”) of the Company (each a “Security” and collectively, the “Securities”) under the Securities Act of 1933, as amended (the “Securities Act”).</w:t>
      </w:r>
    </w:p>
    <w:p>
      <w:pPr>
        <w:spacing w:after="0" w:line="194" w:lineRule="exact"/>
        <w:rPr>
          <w:sz w:val="20"/>
          <w:szCs w:val="20"/>
          <w:color w:val="auto"/>
        </w:rPr>
      </w:pPr>
    </w:p>
    <w:p>
      <w:pPr>
        <w:jc w:val="both"/>
        <w:ind w:right="100" w:firstLine="1266"/>
        <w:spacing w:after="0" w:line="262" w:lineRule="auto"/>
        <w:rPr>
          <w:sz w:val="20"/>
          <w:szCs w:val="20"/>
          <w:color w:val="auto"/>
        </w:rPr>
      </w:pPr>
      <w:r>
        <w:rPr>
          <w:rFonts w:ascii="Arial" w:cs="Arial" w:eastAsia="Arial" w:hAnsi="Arial"/>
          <w:sz w:val="18"/>
          <w:szCs w:val="18"/>
          <w:color w:val="auto"/>
        </w:rPr>
        <w:t>In our capacity as counsel to the Company and for purposes of this opinion, we have examined originals, or copies certified or otherwise identified to our satisfaction, of the following documents (collectively, the “Documents”):</w:t>
      </w:r>
    </w:p>
    <w:p>
      <w:pPr>
        <w:spacing w:after="0" w:line="221" w:lineRule="exact"/>
        <w:rPr>
          <w:sz w:val="20"/>
          <w:szCs w:val="20"/>
          <w:color w:val="auto"/>
        </w:rPr>
      </w:pPr>
    </w:p>
    <w:p>
      <w:pPr>
        <w:ind w:left="1700" w:hanging="40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on the date hereof (the “Charter”);</w:t>
      </w:r>
    </w:p>
    <w:p>
      <w:pPr>
        <w:spacing w:after="0" w:line="320" w:lineRule="exact"/>
        <w:rPr>
          <w:rFonts w:ascii="Arial" w:cs="Arial" w:eastAsia="Arial" w:hAnsi="Arial"/>
          <w:sz w:val="18"/>
          <w:szCs w:val="18"/>
          <w:color w:val="auto"/>
        </w:rPr>
      </w:pPr>
    </w:p>
    <w:p>
      <w:pPr>
        <w:ind w:left="1700" w:hanging="40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Bylaws of the Company, as in effect on the date hereof (the “By-Laws”);</w:t>
      </w:r>
    </w:p>
    <w:p>
      <w:pPr>
        <w:spacing w:after="0" w:line="320" w:lineRule="exact"/>
        <w:rPr>
          <w:rFonts w:ascii="Arial" w:cs="Arial" w:eastAsia="Arial" w:hAnsi="Arial"/>
          <w:sz w:val="18"/>
          <w:szCs w:val="18"/>
          <w:color w:val="auto"/>
        </w:rPr>
      </w:pPr>
    </w:p>
    <w:p>
      <w:pPr>
        <w:ind w:left="1700" w:hanging="40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Statement and all exhibits thereto;</w:t>
      </w:r>
    </w:p>
    <w:p>
      <w:pPr>
        <w:spacing w:after="0" w:line="320" w:lineRule="exact"/>
        <w:rPr>
          <w:rFonts w:ascii="Arial" w:cs="Arial" w:eastAsia="Arial" w:hAnsi="Arial"/>
          <w:sz w:val="18"/>
          <w:szCs w:val="18"/>
          <w:color w:val="auto"/>
        </w:rPr>
      </w:pPr>
    </w:p>
    <w:p>
      <w:pPr>
        <w:jc w:val="both"/>
        <w:ind w:left="1700" w:hanging="402"/>
        <w:spacing w:after="0" w:line="253"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status certificate of the Secretary of State of the State of Delaware, dated as of a recent date, to the effect that the Company is du incorporated and validly existing under the laws of the State of Delaware and is duly authorized to transact business in the State Delaware;</w:t>
      </w:r>
    </w:p>
    <w:p>
      <w:pPr>
        <w:spacing w:after="0" w:line="295" w:lineRule="exact"/>
        <w:rPr>
          <w:rFonts w:ascii="Arial" w:cs="Arial" w:eastAsia="Arial" w:hAnsi="Arial"/>
          <w:sz w:val="18"/>
          <w:szCs w:val="18"/>
          <w:color w:val="auto"/>
        </w:rPr>
      </w:pPr>
    </w:p>
    <w:p>
      <w:pPr>
        <w:ind w:left="1700" w:hanging="402"/>
        <w:spacing w:after="0" w:line="262"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status certificate of the Secretary of State of the State of Utah, dated as of a recent date, to the effect that the Company is a forei corporation duly qualified and authorized to conduct business in the State of Utah;</w:t>
      </w:r>
    </w:p>
    <w:p>
      <w:pPr>
        <w:spacing w:after="0" w:line="286" w:lineRule="exact"/>
        <w:rPr>
          <w:rFonts w:ascii="Arial" w:cs="Arial" w:eastAsia="Arial" w:hAnsi="Arial"/>
          <w:sz w:val="18"/>
          <w:szCs w:val="18"/>
          <w:color w:val="auto"/>
        </w:rPr>
      </w:pPr>
    </w:p>
    <w:p>
      <w:pPr>
        <w:ind w:left="1700" w:hanging="402"/>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corporate proceedings of the Company with respect to the authorization of the issuance of the Securities; and</w:t>
      </w:r>
    </w:p>
    <w:p>
      <w:pPr>
        <w:spacing w:after="0" w:line="320" w:lineRule="exact"/>
        <w:rPr>
          <w:rFonts w:ascii="Arial" w:cs="Arial" w:eastAsia="Arial" w:hAnsi="Arial"/>
          <w:sz w:val="18"/>
          <w:szCs w:val="18"/>
          <w:color w:val="auto"/>
        </w:rPr>
      </w:pPr>
    </w:p>
    <w:p>
      <w:pPr>
        <w:ind w:left="1700" w:right="60" w:hanging="402"/>
        <w:spacing w:after="0" w:line="262"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corporate records, documents and other instruments as we have deemed necessary or appropriate to express the opinions forth in this letter, subject to the assumptions, limitations and qualifications stated herein.</w:t>
      </w:r>
    </w:p>
    <w:p>
      <w:pPr>
        <w:spacing w:after="0" w:line="273" w:lineRule="exact"/>
        <w:rPr>
          <w:sz w:val="20"/>
          <w:szCs w:val="20"/>
          <w:color w:val="auto"/>
        </w:rPr>
      </w:pPr>
    </w:p>
    <w:p>
      <w:pPr>
        <w:ind w:right="100" w:firstLine="1301"/>
        <w:spacing w:after="0" w:line="262" w:lineRule="auto"/>
        <w:rPr>
          <w:sz w:val="20"/>
          <w:szCs w:val="20"/>
          <w:color w:val="auto"/>
        </w:rPr>
      </w:pPr>
      <w:r>
        <w:rPr>
          <w:rFonts w:ascii="Arial" w:cs="Arial" w:eastAsia="Arial" w:hAnsi="Arial"/>
          <w:sz w:val="18"/>
          <w:szCs w:val="18"/>
          <w:color w:val="auto"/>
        </w:rPr>
        <w:t>As to questions of fact material to this opinion, we have relied on certificates or comparable documents of public officials and of officers and representatives of the Company.</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 reaching the opinions set forth below, we have assumed the following:</w:t>
      </w:r>
    </w:p>
    <w:p>
      <w:pPr>
        <w:spacing w:after="0" w:line="215" w:lineRule="exact"/>
        <w:rPr>
          <w:sz w:val="20"/>
          <w:szCs w:val="20"/>
          <w:color w:val="auto"/>
        </w:rPr>
      </w:pPr>
    </w:p>
    <w:p>
      <w:pPr>
        <w:ind w:left="1840" w:hanging="505"/>
        <w:spacing w:after="0"/>
        <w:tabs>
          <w:tab w:leader="none" w:pos="1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person executing any of the Documents on behalf of any party (other than the Company) is duly authorized to do so;</w:t>
      </w:r>
    </w:p>
    <w:p>
      <w:pPr>
        <w:spacing w:after="0" w:line="238" w:lineRule="exact"/>
        <w:rPr>
          <w:rFonts w:ascii="Arial" w:cs="Arial" w:eastAsia="Arial" w:hAnsi="Arial"/>
          <w:sz w:val="16"/>
          <w:szCs w:val="16"/>
          <w:color w:val="auto"/>
        </w:rPr>
      </w:pPr>
    </w:p>
    <w:p>
      <w:pPr>
        <w:ind w:left="1840" w:hanging="505"/>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natural person executing any of the Documents is legally competent to do so;</w:t>
      </w: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4" w:name="page25"/>
    <w:bookmarkEnd w:id="24"/>
    <w:p>
      <w:pPr>
        <w:jc w:val="both"/>
        <w:ind w:firstLine="1335"/>
        <w:spacing w:after="0" w:line="248" w:lineRule="auto"/>
        <w:tabs>
          <w:tab w:leader="none" w:pos="20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the Documents submitted to us as originals are authentic; the form and content of any Documents submitted to us as unexecuted drafts do not differ in any respect relevant to this opinion from the form and content of such documents as executed and delivered; any of the Documents submitted to us as certified, facsimile or photostatic copies conform to the original documents; all signatures on all of the Documents are genuine; all public records reviewed or relied upon by us or on our behalf are true and complete; all statements and information contained in the Documents are true and complete; there has been no modification of, or amendment to, any of the Documents, and there has been no waiver of any provision of any of the Documents by action or omission of the parties or otherwise;</w:t>
      </w:r>
    </w:p>
    <w:p>
      <w:pPr>
        <w:spacing w:after="0" w:line="193" w:lineRule="exact"/>
        <w:rPr>
          <w:rFonts w:ascii="Arial" w:cs="Arial" w:eastAsia="Arial" w:hAnsi="Arial"/>
          <w:sz w:val="18"/>
          <w:szCs w:val="18"/>
          <w:color w:val="auto"/>
        </w:rPr>
      </w:pPr>
    </w:p>
    <w:p>
      <w:pPr>
        <w:ind w:left="1800" w:hanging="465"/>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certificates submitted to us are true, correct and complete both when made and as of the date hereof;</w:t>
      </w:r>
    </w:p>
    <w:p>
      <w:pPr>
        <w:spacing w:after="0" w:line="215" w:lineRule="exact"/>
        <w:rPr>
          <w:rFonts w:ascii="Arial" w:cs="Arial" w:eastAsia="Arial" w:hAnsi="Arial"/>
          <w:sz w:val="18"/>
          <w:szCs w:val="18"/>
          <w:color w:val="auto"/>
        </w:rPr>
      </w:pPr>
    </w:p>
    <w:p>
      <w:pPr>
        <w:jc w:val="both"/>
        <w:ind w:firstLine="1335"/>
        <w:spacing w:after="0" w:line="300" w:lineRule="auto"/>
        <w:tabs>
          <w:tab w:leader="none" w:pos="17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resolutions to be adopted subsequent to the date hereof, and the actions to be taken by the Company’s Board of Directors or a duly authorized committee thereof subsequent to the date hereof, including, but not limited to, the adoption of all resolutions and the taking of all actions necessary to authorize the issuance and sale of the Securities in accordance with the Charter, Bylaws and applicable law;</w:t>
      </w:r>
    </w:p>
    <w:p>
      <w:pPr>
        <w:spacing w:after="0" w:line="154" w:lineRule="exact"/>
        <w:rPr>
          <w:rFonts w:ascii="Arial" w:cs="Arial" w:eastAsia="Arial" w:hAnsi="Arial"/>
          <w:sz w:val="16"/>
          <w:szCs w:val="16"/>
          <w:color w:val="auto"/>
        </w:rPr>
      </w:pPr>
    </w:p>
    <w:p>
      <w:pPr>
        <w:jc w:val="both"/>
        <w:ind w:firstLine="1335"/>
        <w:spacing w:after="0" w:line="253" w:lineRule="auto"/>
        <w:tabs>
          <w:tab w:leader="none" w:pos="1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each class of Securities to be offered and sold subsequent to the date hereof as Securities under the Registration Statement, together with the number of Securities of the same class issuable upon exercise, conversion or exchange of any such Securities will not, in the aggregate, exceed the number of shares of each such class of Securities authorized in the Charter;</w:t>
      </w:r>
    </w:p>
    <w:p>
      <w:pPr>
        <w:spacing w:after="0" w:line="191" w:lineRule="exact"/>
        <w:rPr>
          <w:rFonts w:ascii="Arial" w:cs="Arial" w:eastAsia="Arial" w:hAnsi="Arial"/>
          <w:sz w:val="18"/>
          <w:szCs w:val="18"/>
          <w:color w:val="auto"/>
        </w:rPr>
      </w:pPr>
    </w:p>
    <w:p>
      <w:pPr>
        <w:jc w:val="both"/>
        <w:ind w:firstLine="1335"/>
        <w:spacing w:after="0" w:line="263" w:lineRule="auto"/>
        <w:tabs>
          <w:tab w:leader="none" w:pos="183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none of the terms of any of the Securities or any agreements related thereto to be established subsequent to the date hereof, nor the issuance or delivery of any such Securities containing such terms established subsequent to the date hereof, nor the compliance by the Company with the terms of any such Securities or agreements established subsequent to the date hereof will violate any applicable law or will conflict with, or result in a breach or violation of, the Charter or Bylaws, or any instrument or agreement to which the Company is a party or by which the Company is bound or any order or decree of any court, administrative or governmental body having jurisdiction over the Company;</w:t>
      </w:r>
    </w:p>
    <w:p>
      <w:pPr>
        <w:spacing w:after="0" w:line="178" w:lineRule="exact"/>
        <w:rPr>
          <w:rFonts w:ascii="Arial" w:cs="Arial" w:eastAsia="Arial" w:hAnsi="Arial"/>
          <w:sz w:val="16"/>
          <w:szCs w:val="16"/>
          <w:color w:val="auto"/>
        </w:rPr>
      </w:pPr>
    </w:p>
    <w:p>
      <w:pPr>
        <w:ind w:firstLine="1335"/>
        <w:spacing w:after="0" w:line="280" w:lineRule="auto"/>
        <w:tabs>
          <w:tab w:leader="none" w:pos="19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form of certificate or other instrument or document representing the Securities approved subsequent to the date hereof will conform in all respects to the requirements applicable under Delaware law; and</w:t>
      </w:r>
    </w:p>
    <w:p>
      <w:pPr>
        <w:spacing w:after="0" w:line="164" w:lineRule="exact"/>
        <w:rPr>
          <w:rFonts w:ascii="Arial" w:cs="Arial" w:eastAsia="Arial" w:hAnsi="Arial"/>
          <w:sz w:val="16"/>
          <w:szCs w:val="16"/>
          <w:color w:val="auto"/>
        </w:rPr>
      </w:pPr>
    </w:p>
    <w:p>
      <w:pPr>
        <w:ind w:firstLine="1335"/>
        <w:spacing w:after="0" w:line="354" w:lineRule="auto"/>
        <w:tabs>
          <w:tab w:leader="none" w:pos="175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Registration Statement has been filed with the Commission and the Registration Statement and any and all Prospectus Supplement(s) required by applicable laws have been effective under the Securities Act, except with respect to the opinion expressed in paragraph no. 2 below which is not subject to this assumption.</w:t>
      </w:r>
    </w:p>
    <w:p>
      <w:pPr>
        <w:spacing w:after="0" w:line="119" w:lineRule="exact"/>
        <w:rPr>
          <w:sz w:val="20"/>
          <w:szCs w:val="20"/>
          <w:color w:val="auto"/>
        </w:rPr>
      </w:pPr>
    </w:p>
    <w:p>
      <w:pPr>
        <w:jc w:val="both"/>
        <w:ind w:firstLine="1329"/>
        <w:spacing w:after="0" w:line="314" w:lineRule="auto"/>
        <w:rPr>
          <w:sz w:val="20"/>
          <w:szCs w:val="20"/>
          <w:color w:val="auto"/>
        </w:rPr>
      </w:pPr>
      <w:r>
        <w:rPr>
          <w:rFonts w:ascii="Arial" w:cs="Arial" w:eastAsia="Arial" w:hAnsi="Arial"/>
          <w:sz w:val="14"/>
          <w:szCs w:val="14"/>
          <w:color w:val="auto"/>
        </w:rPr>
        <w:t>The scope of this opinion is limited to the laws of the State of Delaware, including without limitation applicable provisions of the Delaware Constitution and reported judicial decisions interpreting these laws. This opinion letter is issued as of the date hereof and is necessarily limited to laws now in effect and facts and circumstances presently existing and brought to our attention. We have assumed that, at or prior to the time of the issuance and delivery of any Securities, that there will not have occurred any change in law or the Company’s Charter, or further action by the Company’s Board of Directors, in each case affecting the validity of the issuance of the Securities.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Based on the foregoing, and subject to the assumptions, limitations and qualifications set forth herein, we are of the opinion that:</w:t>
      </w:r>
    </w:p>
    <w:p>
      <w:pPr>
        <w:spacing w:after="0" w:line="225" w:lineRule="exact"/>
        <w:rPr>
          <w:sz w:val="20"/>
          <w:szCs w:val="20"/>
          <w:color w:val="auto"/>
        </w:rPr>
      </w:pPr>
    </w:p>
    <w:p>
      <w:pPr>
        <w:jc w:val="both"/>
        <w:ind w:firstLine="1272"/>
        <w:spacing w:after="0" w:line="265" w:lineRule="auto"/>
        <w:tabs>
          <w:tab w:leader="none" w:pos="18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due authorization by the Board of Directors of a designated number of shares of Common Stock for issuance at a minimum price or value of consideration to be set by the Board of Directors, all necessary corporate action on the part of the Company will have been taken to authorize the issuance and sale of such shares of Common Stock, and when such shares of Common Stock are issued and delivered against payment of the consideration therefor as set by the Board of Directors, such shares of Common Stock will be validly issued, fully paid and non-assessable.</w:t>
      </w:r>
    </w:p>
    <w:p>
      <w:pPr>
        <w:spacing w:after="0" w:line="189" w:lineRule="exact"/>
        <w:rPr>
          <w:rFonts w:ascii="Arial" w:cs="Arial" w:eastAsia="Arial" w:hAnsi="Arial"/>
          <w:sz w:val="16"/>
          <w:szCs w:val="16"/>
          <w:color w:val="auto"/>
        </w:rPr>
      </w:pPr>
    </w:p>
    <w:p>
      <w:pPr>
        <w:ind w:left="1760" w:hanging="488"/>
        <w:spacing w:after="0"/>
        <w:tabs>
          <w:tab w:leader="none" w:pos="1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the corporate power to enter into SPCs and the Units.</w:t>
      </w:r>
    </w:p>
    <w:p>
      <w:pPr>
        <w:spacing w:after="0" w:line="224" w:lineRule="exact"/>
        <w:rPr>
          <w:rFonts w:ascii="Arial" w:cs="Arial" w:eastAsia="Arial" w:hAnsi="Arial"/>
          <w:sz w:val="16"/>
          <w:szCs w:val="16"/>
          <w:color w:val="auto"/>
        </w:rPr>
      </w:pPr>
    </w:p>
    <w:p>
      <w:pPr>
        <w:jc w:val="both"/>
        <w:ind w:firstLine="1272"/>
        <w:spacing w:after="0" w:line="263" w:lineRule="auto"/>
        <w:tabs>
          <w:tab w:leader="none" w:pos="19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(i) approval by the Company’s Board of Directors of an underwriting agreement, stock purchase agreement or other contract (each, a “Purchase Agreement”) relating to any series of SPCs or Units and due authorization by the Board of Directors of the delivery of the SPCs or Units pursuant to any such Purchase Agreement;(iii) due execution of such any such Purchase Agreement or on behalf of the Company; and (iii) compliance with the conditions established by the Board of Directors for the delivery of the SPCs or Units, such SPCs or Units may be delivered by or on behalf of the Company and will be legal, valid and binding obligations of the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firstLine="1272"/>
        <w:spacing w:after="0" w:line="247" w:lineRule="auto"/>
        <w:tabs>
          <w:tab w:leader="none" w:pos="19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 designation and titling by the Company’s Board of Directors of the Warrants; (b) due authorization by the Board of Directors of the execution and delivery by the Company of a warrant agreement relating to the Warrants; (c) setting by the Board of Directors of the number of Warrants to be issued; (d) establishment by the Board of Directors of the terms, conditions and provisions of the Warrants; (e) due authorization by the Board of Directors of the Warrants for issuance at a minimum price or value of consideration to be set by the Board of Directors; and (f) reservation and due authorization by the Board of Directors of the shares of Common Stock of the Company issuable upon exercise of such Warrants in accordance with the procedures set forth in Paragraph 1, at a minimum price or value of consideration to be set by the Company’s Board of Directors, all necessary corporate action on the part of the Company will have been taken to authorize the issuance and sale of the Warrants and the Warrants will be legal, valid and binding obligations of the Company.</w:t>
      </w:r>
    </w:p>
    <w:p>
      <w:pPr>
        <w:spacing w:after="0" w:line="195"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the reference to us under the heading "Legal Matters" in the Registration Statement, the prospectus constituting a part thereof and any amendments or supplements thereto, as incorporated by reference in the Registration Statement. In giving this consent, we do not admit that we are in the category of persons whose consent is required under Section 7 of the Securities Act, or the rules and regulations promulgated thereunder. In rendering the opinions set forth above, we are opining only as to the specific legal issues expressly set forth therein, and no opinion shall be inferred as to any other matter or matters.</w:t>
      </w:r>
    </w:p>
    <w:p>
      <w:pPr>
        <w:spacing w:after="0" w:line="19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This opinion is intended solely for use in connection with the registration of the Securities that are the subject of the Registration Statement and is not to be relied upon for any other purpose.</w:t>
      </w:r>
    </w:p>
    <w:p>
      <w:pPr>
        <w:spacing w:after="0" w:line="200" w:lineRule="exact"/>
        <w:rPr>
          <w:sz w:val="20"/>
          <w:szCs w:val="20"/>
          <w:color w:val="auto"/>
        </w:rPr>
      </w:pP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Very truly yours,</w:t>
      </w:r>
    </w:p>
    <w:p>
      <w:pPr>
        <w:spacing w:after="0" w:line="32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SEYFARTH SHAW LLP</w:t>
      </w:r>
    </w:p>
    <w:p>
      <w:pPr>
        <w:sectPr>
          <w:pgSz w:w="11900" w:h="16838" w:orient="portrait"/>
          <w:cols w:equalWidth="0" w:num="1">
            <w:col w:w="11240"/>
          </w:cols>
          <w:pgMar w:left="320" w:top="90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2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March 30, 2020, with respect to the consolidated balance sheets of ClearOne, Inc. and subsidiaries as of December 31, 2019 and 2018, and the related consolidated statements of operations and comprehensive loss, shareholders’ equity, and cash flows for each of the years in the two-year period ended December 31, 2019, and to the reference to our firm under the heading “Experts” in the Prospectus, which is part of this Registration Statement on Form S-3.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August 25,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4">
    <w:nsid w:val="431BD7B7"/>
    <w:multiLevelType w:val="hybridMultilevel"/>
    <w:lvl w:ilvl="0">
      <w:lvlJc w:val="left"/>
      <w:lvlText w:val="%1"/>
      <w:numFmt w:val="upperLetter"/>
      <w:start w:val="1"/>
    </w:lvl>
    <w:lvl w:ilvl="1">
      <w:lvlJc w:val="left"/>
      <w:lvlText w:val="(%2)"/>
      <w:numFmt w:val="lowerRoman"/>
      <w:start w:val="3"/>
    </w:lvl>
  </w:abstractNum>
  <w:abstractNum w:abstractNumId="15">
    <w:nsid w:val="3F2DBA31"/>
    <w:multiLevelType w:val="hybridMultilevel"/>
    <w:lvl w:ilvl="0">
      <w:lvlJc w:val="left"/>
      <w:lvlText w:val="%1."/>
      <w:numFmt w:val="upperLetter"/>
      <w:start w:val="2"/>
    </w:lvl>
    <w:lvl w:ilvl="1">
      <w:lvlJc w:val="left"/>
      <w:lvlText w:val="%2"/>
      <w:numFmt w:val="lowerRoman"/>
      <w:start w:val="1"/>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9" Type="http://schemas.openxmlformats.org/officeDocument/2006/relationships/hyperlink" Target="http://www.sec.gov/Archives/edgar/data/840715/000175392620000071/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2020-08-25T15:54:36Z</dcterms:created>
  <dcterms:modified xsi:type="dcterms:W3CDTF">2020-08-25T15:54:36Z</dcterms:modified>
</cp:coreProperties>
</file>