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rPr>
          <w:sz w:val="20"/>
          <w:szCs w:val="20"/>
          <w:color w:val="auto"/>
        </w:rPr>
      </w:pPr>
      <w:r>
        <w:rPr>
          <w:rFonts w:ascii="Arial" w:cs="Arial" w:eastAsia="Arial" w:hAnsi="Arial"/>
          <w:sz w:val="18"/>
          <w:szCs w:val="18"/>
          <w:color w:val="auto"/>
        </w:rPr>
        <w:t>(Mark One)</w:t>
      </w:r>
    </w:p>
    <w:p>
      <w:pPr>
        <w:spacing w:after="0" w:line="232" w:lineRule="exact"/>
        <w:rPr>
          <w:sz w:val="24"/>
          <w:szCs w:val="24"/>
          <w:color w:val="auto"/>
        </w:rPr>
      </w:pPr>
    </w:p>
    <w:p>
      <w:pPr>
        <w:ind w:left="4300" w:right="1980" w:hanging="4292"/>
        <w:spacing w:after="0" w:line="532" w:lineRule="auto"/>
        <w:tabs>
          <w:tab w:leader="none" w:pos="6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2008</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For the transition period from ________ to 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3140" w:type="dxa"/>
        <w:tblCellMar>
          <w:top w:w="0" w:type="dxa"/>
          <w:left w:w="0" w:type="dxa"/>
          <w:bottom w:w="0" w:type="dxa"/>
          <w:right w:w="0" w:type="dxa"/>
        </w:tblCellMar>
      </w:tblPr>
      <w:tr>
        <w:trPr>
          <w:trHeight w:val="220"/>
        </w:trPr>
        <w:tc>
          <w:tcPr>
            <w:tcW w:w="3080" w:type="dxa"/>
            <w:vAlign w:val="bottom"/>
          </w:tcPr>
          <w:p>
            <w:pPr>
              <w:jc w:val="center"/>
              <w:ind w:right="810"/>
              <w:spacing w:after="0"/>
              <w:rPr>
                <w:sz w:val="20"/>
                <w:szCs w:val="20"/>
                <w:color w:val="auto"/>
              </w:rPr>
            </w:pPr>
            <w:r>
              <w:rPr>
                <w:rFonts w:ascii="Arial" w:cs="Arial" w:eastAsia="Arial" w:hAnsi="Arial"/>
                <w:sz w:val="18"/>
                <w:szCs w:val="18"/>
                <w:b w:val="1"/>
                <w:bCs w:val="1"/>
                <w:color w:val="auto"/>
                <w:w w:val="94"/>
              </w:rPr>
              <w:t>Utah</w:t>
            </w:r>
          </w:p>
        </w:tc>
        <w:tc>
          <w:tcPr>
            <w:tcW w:w="224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87-0398877</w:t>
            </w:r>
          </w:p>
        </w:tc>
      </w:tr>
      <w:tr>
        <w:trPr>
          <w:trHeight w:val="216"/>
        </w:trPr>
        <w:tc>
          <w:tcPr>
            <w:tcW w:w="308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2"/>
              </w:rPr>
              <w:t>(I.R.S. Employer</w:t>
            </w:r>
          </w:p>
        </w:tc>
      </w:tr>
      <w:tr>
        <w:trPr>
          <w:trHeight w:val="230"/>
        </w:trPr>
        <w:tc>
          <w:tcPr>
            <w:tcW w:w="308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 or organization)</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2300" w:type="dxa"/>
        <w:tblCellMar>
          <w:top w:w="0" w:type="dxa"/>
          <w:left w:w="0" w:type="dxa"/>
          <w:bottom w:w="0" w:type="dxa"/>
          <w:right w:w="0" w:type="dxa"/>
        </w:tblCellMar>
      </w:tblPr>
      <w:tr>
        <w:trPr>
          <w:trHeight w:val="216"/>
        </w:trPr>
        <w:tc>
          <w:tcPr>
            <w:tcW w:w="3460" w:type="dxa"/>
            <w:vAlign w:val="bottom"/>
          </w:tcPr>
          <w:p>
            <w:pPr>
              <w:jc w:val="center"/>
              <w:spacing w:after="0"/>
              <w:rPr>
                <w:sz w:val="20"/>
                <w:szCs w:val="20"/>
                <w:color w:val="auto"/>
              </w:rPr>
            </w:pPr>
            <w:r>
              <w:rPr>
                <w:rFonts w:ascii="Arial" w:cs="Arial" w:eastAsia="Arial" w:hAnsi="Arial"/>
                <w:sz w:val="18"/>
                <w:szCs w:val="18"/>
                <w:color w:val="auto"/>
                <w:w w:val="90"/>
              </w:rPr>
              <w:t>Securities registered under Section 12(b) of the</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460" w:type="dxa"/>
            <w:vAlign w:val="bottom"/>
          </w:tcPr>
          <w:p>
            <w:pPr>
              <w:jc w:val="center"/>
              <w:spacing w:after="0"/>
              <w:rPr>
                <w:sz w:val="20"/>
                <w:szCs w:val="20"/>
                <w:color w:val="auto"/>
              </w:rPr>
            </w:pPr>
            <w:r>
              <w:rPr>
                <w:rFonts w:ascii="Arial" w:cs="Arial" w:eastAsia="Arial" w:hAnsi="Arial"/>
                <w:sz w:val="18"/>
                <w:szCs w:val="18"/>
                <w:color w:val="auto"/>
              </w:rPr>
              <w:t>Act:</w:t>
            </w:r>
          </w:p>
        </w:tc>
        <w:tc>
          <w:tcPr>
            <w:tcW w:w="3260" w:type="dxa"/>
            <w:vAlign w:val="bottom"/>
          </w:tcPr>
          <w:p>
            <w:pPr>
              <w:spacing w:after="0"/>
              <w:rPr>
                <w:sz w:val="18"/>
                <w:szCs w:val="18"/>
                <w:color w:val="auto"/>
              </w:rPr>
            </w:pPr>
          </w:p>
        </w:tc>
      </w:tr>
      <w:tr>
        <w:trPr>
          <w:trHeight w:val="212"/>
        </w:trPr>
        <w:tc>
          <w:tcPr>
            <w:tcW w:w="3460" w:type="dxa"/>
            <w:vAlign w:val="bottom"/>
          </w:tcPr>
          <w:p>
            <w:pPr>
              <w:jc w:val="center"/>
              <w:spacing w:after="0"/>
              <w:rPr>
                <w:sz w:val="20"/>
                <w:szCs w:val="20"/>
                <w:color w:val="auto"/>
              </w:rPr>
            </w:pPr>
            <w:r>
              <w:rPr>
                <w:rFonts w:ascii="Arial" w:cs="Arial" w:eastAsia="Arial" w:hAnsi="Arial"/>
                <w:sz w:val="18"/>
                <w:szCs w:val="18"/>
                <w:color w:val="auto"/>
                <w:w w:val="88"/>
              </w:rPr>
              <w:t>Title of each class</w:t>
            </w:r>
          </w:p>
        </w:tc>
        <w:tc>
          <w:tcPr>
            <w:tcW w:w="3260" w:type="dxa"/>
            <w:vAlign w:val="bottom"/>
          </w:tcPr>
          <w:p>
            <w:pPr>
              <w:spacing w:after="0"/>
              <w:rPr>
                <w:sz w:val="18"/>
                <w:szCs w:val="18"/>
                <w:color w:val="auto"/>
              </w:rPr>
            </w:pPr>
          </w:p>
        </w:tc>
      </w:tr>
      <w:tr>
        <w:trPr>
          <w:trHeight w:val="234"/>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$0.001 par value</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under Section 12(g) of the Act: </w:t>
      </w:r>
      <w:r>
        <w:rPr>
          <w:rFonts w:ascii="Arial" w:cs="Arial" w:eastAsia="Arial" w:hAnsi="Arial"/>
          <w:sz w:val="18"/>
          <w:szCs w:val="18"/>
          <w:b w:val="1"/>
          <w:bCs w:val="1"/>
          <w:color w:val="auto"/>
        </w:rPr>
        <w:t>None</w:t>
      </w:r>
    </w:p>
    <w:p>
      <w:pPr>
        <w:spacing w:after="0" w:line="2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Act.Yes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Act.Yes £No </w:t>
      </w:r>
      <w:r>
        <w:rPr>
          <w:rFonts w:ascii="MS PGothic" w:cs="MS PGothic" w:eastAsia="MS PGothic" w:hAnsi="MS PGothic"/>
          <w:sz w:val="18"/>
          <w:szCs w:val="18"/>
          <w:color w:val="auto"/>
        </w:rPr>
        <w:t>☑</w:t>
      </w:r>
    </w:p>
    <w:p>
      <w:pPr>
        <w:spacing w:after="0" w:line="28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ectPr>
          <w:pgSz w:w="11900" w:h="16838" w:orient="portrait"/>
          <w:cols w:equalWidth="0" w:num="1">
            <w:col w:w="11400"/>
          </w:cols>
          <w:pgMar w:left="240" w:top="517" w:right="259" w:bottom="1440" w:gutter="0" w:footer="0" w:header="0"/>
        </w:sectPr>
      </w:pPr>
    </w:p>
    <w:p>
      <w:pPr>
        <w:spacing w:after="0" w:line="165" w:lineRule="exact"/>
        <w:rPr>
          <w:sz w:val="20"/>
          <w:szCs w:val="20"/>
          <w:color w:val="auto"/>
        </w:rPr>
      </w:pPr>
    </w:p>
    <w:p>
      <w:pPr>
        <w:ind w:left="2300"/>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81" w:lineRule="exact"/>
        <w:rPr>
          <w:sz w:val="20"/>
          <w:szCs w:val="20"/>
          <w:color w:val="auto"/>
        </w:rPr>
      </w:pPr>
    </w:p>
    <w:p>
      <w:pPr>
        <w:ind w:left="230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02" w:lineRule="exact"/>
        <w:rPr>
          <w:sz w:val="20"/>
          <w:szCs w:val="20"/>
          <w:color w:val="auto"/>
        </w:rPr>
      </w:pPr>
    </w:p>
    <w:p>
      <w:pPr>
        <w:sectPr>
          <w:pgSz w:w="11900" w:h="16838" w:orient="portrait"/>
          <w:cols w:equalWidth="0" w:num="3">
            <w:col w:w="4740" w:space="720"/>
            <w:col w:w="2080" w:space="80"/>
            <w:col w:w="3780"/>
          </w:cols>
          <w:pgMar w:left="240" w:top="517" w:right="25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issuer is a shell company (as defined in Rule 12b-2 of the Securities Act).</w:t>
      </w:r>
    </w:p>
    <w:p>
      <w:pPr>
        <w:spacing w:after="0" w:line="18" w:lineRule="exact"/>
        <w:rPr>
          <w:sz w:val="20"/>
          <w:szCs w:val="20"/>
          <w:color w:val="auto"/>
        </w:rPr>
      </w:pPr>
    </w:p>
    <w:p>
      <w:pPr>
        <w:ind w:left="4800"/>
        <w:spacing w:after="0" w:line="207" w:lineRule="exact"/>
        <w:tabs>
          <w:tab w:leader="none" w:pos="618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of the shares of voting common stock held by non-affiliates was approximately $48,415,000 at December 31, 2007, based on the $5.42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shares of ClearOne common stock outstanding as of September 9, 2008 was 10,230,968.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definitive proxy statement for the Annual Meeting of Shareholders to be held November 14, 2008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878840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ClearOne Communications, Inc., a Utah corporation, is filing this Amendment No. 1 on Form 10-K/A to amend our Annual Report on Form 10-K for the fiscal year ended June 30, 2008, as filed with the Securities and Exchange Commission on September 10, 2008. The purpose of this Amendment No. 1 is to amend our disclosures contained in Item 9A(T).</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required by Rule 12b-15 of the Securities Exchange Act of 1934, as amended, the complete text of Part II, Item 9A(T) has been set forth in this Amendment No. 1, including those portions of Item 9A which have not been modified from the original Form 10-K. As a result of these modifications, the certifications pursuant to the Sarbanes-Oxley Act of 2002, filed as exhibits 31.1, 31.2, 32.1, and 32.2 to the original Form 10-K, have been re-executed and re-filed as of the date of this Amendment No. 1.</w:t>
      </w: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Except with respect to the foregoing, we have not modified or updated any of our prior disclosure from the original Form 10-K or exhibits thereto, and this Amendment No. 1 does not reflect the occurrence of any events following the date of the original Form 10-K. Accordingly, this Amendment No. 1 should be read in conjunction with our filings made with the Securities and Exchange Commission subsequent to the filing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June 30, 2008. Based upon this evaluation our Chief Executive Officer and Chief Financial Officer concluded that our disclosure controls and procedures were effective as of June 30, 2008.</w:t>
      </w:r>
    </w:p>
    <w:p>
      <w:pPr>
        <w:spacing w:after="0" w:line="21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has been no change in our internal controls and procedures over financial reporting (as defined in Rules 13a-15 and 15d-15 under the Exchange Act) that has materially affected, or is reasonably likely to materially affect, our internal controls and procedures over financial reporting during the fourth quarter ended June 30, 2008, and there were no significant deficiencies or material weaknesses.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are intended to:</w:t>
      </w:r>
    </w:p>
    <w:p>
      <w:pPr>
        <w:spacing w:after="0" w:line="214" w:lineRule="exact"/>
        <w:rPr>
          <w:sz w:val="20"/>
          <w:szCs w:val="20"/>
          <w:color w:val="auto"/>
        </w:rPr>
      </w:pPr>
    </w:p>
    <w:p>
      <w:pPr>
        <w:ind w:left="1960" w:right="60" w:hanging="655"/>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97" w:lineRule="exact"/>
        <w:rPr>
          <w:rFonts w:ascii="Arial" w:cs="Arial" w:eastAsia="Arial" w:hAnsi="Arial"/>
          <w:sz w:val="18"/>
          <w:szCs w:val="18"/>
          <w:color w:val="auto"/>
        </w:rPr>
      </w:pPr>
    </w:p>
    <w:p>
      <w:pPr>
        <w:jc w:val="both"/>
        <w:ind w:left="1960" w:right="800" w:hanging="655"/>
        <w:spacing w:after="0" w:line="264"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08" w:lineRule="exact"/>
        <w:rPr>
          <w:rFonts w:ascii="Arial" w:cs="Arial" w:eastAsia="Arial" w:hAnsi="Arial"/>
          <w:sz w:val="18"/>
          <w:szCs w:val="18"/>
          <w:color w:val="auto"/>
        </w:rPr>
      </w:pPr>
    </w:p>
    <w:p>
      <w:pPr>
        <w:ind w:left="1960" w:right="40" w:hanging="655"/>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t xml:space="preserve">In connection with the preparation of this Annual Report on Form 10-K for the fiscal year ended June 30, 2008, our management, with the participation of our Chief Executive Officer and Chief Financial Officer, has assessed the effectiveness of our internal control over financial reporting based on the framework in </w:t>
      </w:r>
      <w:r>
        <w:rPr>
          <w:rFonts w:ascii="Arial" w:cs="Arial" w:eastAsia="Arial" w:hAnsi="Arial"/>
          <w:sz w:val="18"/>
          <w:szCs w:val="18"/>
          <w:i w:val="1"/>
          <w:iCs w:val="1"/>
          <w:color w:val="auto"/>
        </w:rPr>
        <w:t xml:space="preserve">Internal Control - - Integrated Framework </w:t>
      </w:r>
      <w:r>
        <w:rPr>
          <w:rFonts w:ascii="Arial" w:cs="Arial" w:eastAsia="Arial" w:hAnsi="Arial"/>
          <w:sz w:val="18"/>
          <w:szCs w:val="18"/>
          <w:color w:val="auto"/>
        </w:rPr>
        <w:t>issued by the Committee of Sponsoring Organizations of the Treadway Commission. Our management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the design and operation of our internal control over financial reporting are effective as of June 30, 2008. There were no significant changes in our internal controls over financial reporting that occurred during the fourth fiscal quarter that have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reporting. Management's report was not subject to attestation by our registered public accounting firm pursuant to temporary rules of the Commission that permit us to provide only management's report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4"/>
          </w:tcPr>
          <w:p>
            <w:pPr>
              <w:spacing w:after="0"/>
              <w:rPr>
                <w:sz w:val="20"/>
                <w:szCs w:val="20"/>
                <w:color w:val="auto"/>
              </w:rPr>
            </w:pPr>
            <w:r>
              <w:rPr>
                <w:rFonts w:ascii="Arial" w:cs="Arial" w:eastAsia="Arial" w:hAnsi="Arial"/>
                <w:sz w:val="18"/>
                <w:szCs w:val="18"/>
                <w:color w:val="auto"/>
              </w:rPr>
              <w:t>The following documents are included as exhibits to this report.</w:t>
            </w:r>
          </w:p>
        </w:tc>
        <w:tc>
          <w:tcPr>
            <w:tcW w:w="390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1060" w:type="dxa"/>
            <w:vAlign w:val="bottom"/>
          </w:tcPr>
          <w:p>
            <w:pPr>
              <w:jc w:val="center"/>
              <w:ind w:left="90"/>
              <w:spacing w:after="0"/>
              <w:rPr>
                <w:sz w:val="20"/>
                <w:szCs w:val="20"/>
                <w:color w:val="auto"/>
              </w:rPr>
            </w:pPr>
            <w:r>
              <w:rPr>
                <w:rFonts w:ascii="Arial" w:cs="Arial" w:eastAsia="Arial" w:hAnsi="Arial"/>
                <w:sz w:val="18"/>
                <w:szCs w:val="18"/>
                <w:color w:val="auto"/>
                <w:w w:val="96"/>
              </w:rPr>
              <w:t>Exhibit</w:t>
            </w:r>
          </w:p>
        </w:tc>
        <w:tc>
          <w:tcPr>
            <w:tcW w:w="10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No.</w:t>
            </w:r>
          </w:p>
        </w:tc>
        <w:tc>
          <w:tcPr>
            <w:tcW w:w="106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Title of Document</w:t>
            </w:r>
          </w:p>
        </w:tc>
        <w:tc>
          <w:tcPr>
            <w:tcW w:w="390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93"/>
              </w:rPr>
              <w:t>Location</w:t>
            </w:r>
          </w:p>
        </w:tc>
      </w:tr>
      <w:tr>
        <w:trPr>
          <w:trHeight w:val="202"/>
        </w:trPr>
        <w:tc>
          <w:tcPr>
            <w:tcW w:w="20" w:type="dxa"/>
            <w:vAlign w:val="bottom"/>
          </w:tcPr>
          <w:p>
            <w:pPr>
              <w:spacing w:after="0"/>
              <w:rPr>
                <w:sz w:val="17"/>
                <w:szCs w:val="17"/>
                <w:color w:val="auto"/>
              </w:rPr>
            </w:pPr>
          </w:p>
        </w:tc>
        <w:tc>
          <w:tcPr>
            <w:tcW w:w="106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1"/>
              </w:rPr>
              <w:t>31.1</w:t>
            </w:r>
          </w:p>
        </w:tc>
        <w:tc>
          <w:tcPr>
            <w:tcW w:w="1060" w:type="dxa"/>
            <w:vAlign w:val="bottom"/>
          </w:tcPr>
          <w:p>
            <w:pPr>
              <w:ind w:left="180"/>
              <w:spacing w:after="0" w:line="201" w:lineRule="exact"/>
              <w:rPr>
                <w:sz w:val="20"/>
                <w:szCs w:val="20"/>
                <w:color w:val="auto"/>
              </w:rPr>
            </w:pPr>
            <w:r>
              <w:rPr>
                <w:rFonts w:ascii="Arial" w:cs="Arial" w:eastAsia="Arial" w:hAnsi="Arial"/>
                <w:sz w:val="18"/>
                <w:szCs w:val="18"/>
                <w:color w:val="auto"/>
                <w:w w:val="90"/>
              </w:rPr>
              <w:t>Section 302</w:t>
            </w:r>
          </w:p>
        </w:tc>
        <w:tc>
          <w:tcPr>
            <w:tcW w:w="5380" w:type="dxa"/>
            <w:vAlign w:val="bottom"/>
          </w:tcPr>
          <w:p>
            <w:pPr>
              <w:ind w:left="20"/>
              <w:spacing w:after="0" w:line="201" w:lineRule="exact"/>
              <w:rPr>
                <w:sz w:val="20"/>
                <w:szCs w:val="20"/>
                <w:color w:val="auto"/>
              </w:rPr>
            </w:pPr>
            <w:r>
              <w:rPr>
                <w:rFonts w:ascii="Arial" w:cs="Arial" w:eastAsia="Arial" w:hAnsi="Arial"/>
                <w:sz w:val="18"/>
                <w:szCs w:val="18"/>
                <w:color w:val="auto"/>
              </w:rPr>
              <w:t>Certification of Chief Executive Officer</w:t>
            </w:r>
          </w:p>
        </w:tc>
        <w:tc>
          <w:tcPr>
            <w:tcW w:w="3900" w:type="dxa"/>
            <w:vAlign w:val="bottom"/>
          </w:tcPr>
          <w:p>
            <w:pPr>
              <w:jc w:val="center"/>
              <w:ind w:left="810"/>
              <w:spacing w:after="0" w:line="201" w:lineRule="exact"/>
              <w:rPr>
                <w:sz w:val="20"/>
                <w:szCs w:val="20"/>
                <w:color w:val="auto"/>
              </w:rPr>
            </w:pPr>
            <w:r>
              <w:rPr>
                <w:rFonts w:ascii="Arial" w:cs="Arial" w:eastAsia="Arial" w:hAnsi="Arial"/>
                <w:sz w:val="18"/>
                <w:szCs w:val="18"/>
                <w:color w:val="auto"/>
                <w:w w:val="99"/>
              </w:rPr>
              <w:t>This filing</w:t>
            </w:r>
          </w:p>
        </w:tc>
      </w:tr>
      <w:tr>
        <w:trPr>
          <w:trHeight w:val="216"/>
        </w:trPr>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31.2</w:t>
            </w:r>
          </w:p>
        </w:tc>
        <w:tc>
          <w:tcPr>
            <w:tcW w:w="1060" w:type="dxa"/>
            <w:vAlign w:val="bottom"/>
          </w:tcPr>
          <w:p>
            <w:pPr>
              <w:ind w:left="180"/>
              <w:spacing w:after="0"/>
              <w:rPr>
                <w:sz w:val="20"/>
                <w:szCs w:val="20"/>
                <w:color w:val="auto"/>
              </w:rPr>
            </w:pPr>
            <w:r>
              <w:rPr>
                <w:rFonts w:ascii="Arial" w:cs="Arial" w:eastAsia="Arial" w:hAnsi="Arial"/>
                <w:sz w:val="18"/>
                <w:szCs w:val="18"/>
                <w:color w:val="auto"/>
                <w:w w:val="90"/>
              </w:rPr>
              <w:t>Section 302</w:t>
            </w:r>
          </w:p>
        </w:tc>
        <w:tc>
          <w:tcPr>
            <w:tcW w:w="53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c>
          <w:tcPr>
            <w:tcW w:w="3900" w:type="dxa"/>
            <w:vAlign w:val="bottom"/>
          </w:tcPr>
          <w:p>
            <w:pPr>
              <w:jc w:val="center"/>
              <w:ind w:left="810"/>
              <w:spacing w:after="0"/>
              <w:rPr>
                <w:sz w:val="20"/>
                <w:szCs w:val="20"/>
                <w:color w:val="auto"/>
              </w:rPr>
            </w:pPr>
            <w:r>
              <w:rPr>
                <w:rFonts w:ascii="Arial" w:cs="Arial" w:eastAsia="Arial" w:hAnsi="Arial"/>
                <w:sz w:val="18"/>
                <w:szCs w:val="18"/>
                <w:color w:val="auto"/>
                <w:w w:val="99"/>
              </w:rPr>
              <w:t>This filing</w:t>
            </w:r>
          </w:p>
        </w:tc>
      </w:tr>
      <w:tr>
        <w:trPr>
          <w:trHeight w:val="216"/>
        </w:trPr>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32.1</w:t>
            </w:r>
          </w:p>
        </w:tc>
        <w:tc>
          <w:tcPr>
            <w:tcW w:w="1060" w:type="dxa"/>
            <w:vAlign w:val="bottom"/>
          </w:tcPr>
          <w:p>
            <w:pPr>
              <w:ind w:left="180"/>
              <w:spacing w:after="0"/>
              <w:rPr>
                <w:sz w:val="20"/>
                <w:szCs w:val="20"/>
                <w:color w:val="auto"/>
              </w:rPr>
            </w:pPr>
            <w:r>
              <w:rPr>
                <w:rFonts w:ascii="Arial" w:cs="Arial" w:eastAsia="Arial" w:hAnsi="Arial"/>
                <w:sz w:val="18"/>
                <w:szCs w:val="18"/>
                <w:color w:val="auto"/>
                <w:w w:val="90"/>
              </w:rPr>
              <w:t>Section 906</w:t>
            </w:r>
          </w:p>
        </w:tc>
        <w:tc>
          <w:tcPr>
            <w:tcW w:w="53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c>
          <w:tcPr>
            <w:tcW w:w="3900" w:type="dxa"/>
            <w:vAlign w:val="bottom"/>
          </w:tcPr>
          <w:p>
            <w:pPr>
              <w:jc w:val="center"/>
              <w:ind w:left="810"/>
              <w:spacing w:after="0"/>
              <w:rPr>
                <w:sz w:val="20"/>
                <w:szCs w:val="20"/>
                <w:color w:val="auto"/>
              </w:rPr>
            </w:pPr>
            <w:r>
              <w:rPr>
                <w:rFonts w:ascii="Arial" w:cs="Arial" w:eastAsia="Arial" w:hAnsi="Arial"/>
                <w:sz w:val="18"/>
                <w:szCs w:val="18"/>
                <w:color w:val="auto"/>
                <w:w w:val="99"/>
              </w:rPr>
              <w:t>This filing</w:t>
            </w:r>
          </w:p>
        </w:tc>
      </w:tr>
      <w:tr>
        <w:trPr>
          <w:trHeight w:val="230"/>
        </w:trPr>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32.2</w:t>
            </w:r>
          </w:p>
        </w:tc>
        <w:tc>
          <w:tcPr>
            <w:tcW w:w="1060" w:type="dxa"/>
            <w:vAlign w:val="bottom"/>
          </w:tcPr>
          <w:p>
            <w:pPr>
              <w:ind w:left="180"/>
              <w:spacing w:after="0"/>
              <w:rPr>
                <w:sz w:val="20"/>
                <w:szCs w:val="20"/>
                <w:color w:val="auto"/>
              </w:rPr>
            </w:pPr>
            <w:r>
              <w:rPr>
                <w:rFonts w:ascii="Arial" w:cs="Arial" w:eastAsia="Arial" w:hAnsi="Arial"/>
                <w:sz w:val="18"/>
                <w:szCs w:val="18"/>
                <w:color w:val="auto"/>
                <w:w w:val="90"/>
              </w:rPr>
              <w:t>Section 906</w:t>
            </w:r>
          </w:p>
        </w:tc>
        <w:tc>
          <w:tcPr>
            <w:tcW w:w="53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c>
          <w:tcPr>
            <w:tcW w:w="3900" w:type="dxa"/>
            <w:vAlign w:val="bottom"/>
          </w:tcPr>
          <w:p>
            <w:pPr>
              <w:jc w:val="center"/>
              <w:ind w:left="810"/>
              <w:spacing w:after="0"/>
              <w:rPr>
                <w:sz w:val="20"/>
                <w:szCs w:val="20"/>
                <w:color w:val="auto"/>
              </w:rPr>
            </w:pPr>
            <w:r>
              <w:rPr>
                <w:rFonts w:ascii="Arial" w:cs="Arial" w:eastAsia="Arial" w:hAnsi="Arial"/>
                <w:sz w:val="18"/>
                <w:szCs w:val="18"/>
                <w:color w:val="auto"/>
                <w:w w:val="99"/>
              </w:rPr>
              <w:t>This filing</w:t>
            </w:r>
          </w:p>
        </w:tc>
      </w:tr>
      <w:tr>
        <w:trPr>
          <w:trHeight w:val="875"/>
        </w:trPr>
        <w:tc>
          <w:tcPr>
            <w:tcW w:w="20" w:type="dxa"/>
            <w:vAlign w:val="bottom"/>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6020" w:val="left"/>
          <w:tab w:leader="none" w:pos="6620" w:val="left"/>
        </w:tabs>
        <w:rPr>
          <w:sz w:val="20"/>
          <w:szCs w:val="20"/>
          <w:color w:val="auto"/>
        </w:rPr>
      </w:pPr>
      <w:r>
        <w:rPr>
          <w:rFonts w:ascii="Arial" w:cs="Arial" w:eastAsia="Arial" w:hAnsi="Arial"/>
          <w:sz w:val="18"/>
          <w:szCs w:val="18"/>
          <w:color w:val="auto"/>
        </w:rPr>
        <w:t>October 14,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Chief Executive Officer, and Chairman</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8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4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Zeynep Hakimoglu</w:t>
            </w: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Chairman</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October 14, 2008</w:t>
            </w: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3"/>
              </w:rPr>
              <w:t>Zeynep Hakimoglu</w:t>
            </w:r>
          </w:p>
        </w:tc>
        <w:tc>
          <w:tcPr>
            <w:tcW w:w="2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5"/>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A. LeClaire</w:t>
            </w: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October 14, 2008</w:t>
            </w: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3"/>
              </w:rPr>
              <w:t>Greg A. LeClaire</w:t>
            </w:r>
          </w:p>
        </w:tc>
        <w:tc>
          <w:tcPr>
            <w:tcW w:w="2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5"/>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Brad R. Baldwin</w:t>
            </w: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October 14, 2008</w:t>
            </w: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4"/>
              </w:rPr>
              <w:t>Brad R. Baldwin</w:t>
            </w:r>
          </w:p>
        </w:tc>
        <w:tc>
          <w:tcPr>
            <w:tcW w:w="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5"/>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R. Hendricks</w:t>
            </w: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October 14, 2008</w:t>
            </w: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3"/>
              </w:rPr>
              <w:t>Larry R. Hendricks</w:t>
            </w:r>
          </w:p>
        </w:tc>
        <w:tc>
          <w:tcPr>
            <w:tcW w:w="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5"/>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M. Huntsman</w:t>
            </w: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October 14, 2008</w:t>
            </w: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1"/>
              </w:rPr>
              <w:t>Scott M. Huntsman</w:t>
            </w:r>
          </w:p>
        </w:tc>
        <w:tc>
          <w:tcPr>
            <w:tcW w:w="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ectPr>
          <w:pgSz w:w="11900" w:h="16838" w:orient="portrait"/>
          <w:cols w:equalWidth="0" w:num="1">
            <w:col w:w="11420"/>
          </w:cols>
          <w:pgMar w:left="240" w:top="513"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10-K/A;</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14,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Chief Executive Officer and Chairman</w:t>
      </w:r>
    </w:p>
    <w:p>
      <w:pPr>
        <w:sectPr>
          <w:pgSz w:w="11900" w:h="16838" w:orient="portrait"/>
          <w:cols w:equalWidth="0" w:num="1">
            <w:col w:w="11420"/>
          </w:cols>
          <w:pgMar w:left="240" w:top="83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52"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10-K/A;</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14,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81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Annual Report of ClearOne Communications, Inc. on Form 10-K/A for the year ended June 30, 2008, fully complies with the requirements of Section 13(a) or 15(d) of the Securities Exchange Act of 1934 and that information contained in such Annual Report on Form 10-K/A fairly presents, in all material respects, the financial condition and results of operations of ClearOne Communications, Inc.</w:t>
      </w:r>
    </w:p>
    <w:p>
      <w:pPr>
        <w:spacing w:after="0" w:line="200" w:lineRule="exact"/>
        <w:rPr>
          <w:sz w:val="20"/>
          <w:szCs w:val="20"/>
          <w:color w:val="auto"/>
        </w:rPr>
      </w:pPr>
    </w:p>
    <w:p>
      <w:pPr>
        <w:spacing w:after="0" w:line="257"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14,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053"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Greg A. LeClaire, certify, pursuant to 18 U.S.C. Section 1350, as adopted pursuant to Section 906 of the Sarbanes-Oxley Act of 2002, that the Annual Report of ClearOne Communications, Inc. on Form 10-K/A for the year ended June 30, 2008, fully complies with the requirements of Section 13(a) or 15(d) of the Securities Exchange Act of 1934 and that information contained in such Annual Report on Form 10-K/A fairly presents, in all material respects, the financial condition and results of operations of ClearOne Communications, Inc.</w:t>
      </w:r>
    </w:p>
    <w:p>
      <w:pPr>
        <w:spacing w:after="0" w:line="200" w:lineRule="exact"/>
        <w:rPr>
          <w:sz w:val="20"/>
          <w:szCs w:val="20"/>
          <w:color w:val="auto"/>
        </w:rPr>
      </w:pPr>
    </w:p>
    <w:p>
      <w:pPr>
        <w:spacing w:after="0" w:line="257"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October 14,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8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2019-12-13T18:11:41Z</dcterms:created>
  <dcterms:modified xsi:type="dcterms:W3CDTF">2019-12-13T18:11:41Z</dcterms:modified>
</cp:coreProperties>
</file>