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November 19, 2012</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Utah</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(State or Other Jurisdiction of Incorporation)</w:t>
      </w:r>
    </w:p>
    <w:p>
      <w:pPr>
        <w:spacing w:after="0" w:line="227" w:lineRule="exact"/>
        <w:rPr>
          <w:sz w:val="24"/>
          <w:szCs w:val="24"/>
          <w:color w:val="auto"/>
        </w:rPr>
      </w:pPr>
    </w:p>
    <w:tbl>
      <w:tblPr>
        <w:tblLayout w:type="fixed"/>
        <w:tblInd w:w="30" w:type="dxa"/>
        <w:tblCellMar>
          <w:top w:w="0" w:type="dxa"/>
          <w:left w:w="0" w:type="dxa"/>
          <w:bottom w:w="0" w:type="dxa"/>
          <w:right w:w="0" w:type="dxa"/>
        </w:tblCellMar>
      </w:tblPr>
      <w:tr>
        <w:trPr>
          <w:trHeight w:val="253"/>
        </w:trPr>
        <w:tc>
          <w:tcPr>
            <w:tcW w:w="5160" w:type="dxa"/>
            <w:vAlign w:val="bottom"/>
            <w:tcBorders>
              <w:top w:val="single" w:sz="8" w:color="808080"/>
              <w:left w:val="single" w:sz="8" w:color="808080"/>
              <w:bottom w:val="single" w:sz="8" w:color="auto"/>
            </w:tcBorders>
          </w:tcPr>
          <w:p>
            <w:pPr>
              <w:jc w:val="right"/>
              <w:ind w:right="2090"/>
              <w:spacing w:after="0"/>
              <w:rPr>
                <w:sz w:val="20"/>
                <w:szCs w:val="20"/>
                <w:color w:val="auto"/>
              </w:rPr>
            </w:pPr>
            <w:r>
              <w:rPr>
                <w:rFonts w:ascii="Arial" w:cs="Arial" w:eastAsia="Arial" w:hAnsi="Arial"/>
                <w:sz w:val="18"/>
                <w:szCs w:val="18"/>
                <w:b w:val="1"/>
                <w:bCs w:val="1"/>
                <w:color w:val="auto"/>
              </w:rPr>
              <w:t>001-33660</w:t>
            </w:r>
          </w:p>
        </w:tc>
        <w:tc>
          <w:tcPr>
            <w:tcW w:w="520" w:type="dxa"/>
            <w:vAlign w:val="bottom"/>
            <w:tcBorders>
              <w:top w:val="single" w:sz="8" w:color="808080"/>
            </w:tcBorders>
          </w:tcPr>
          <w:p>
            <w:pPr>
              <w:spacing w:after="0"/>
              <w:rPr>
                <w:sz w:val="22"/>
                <w:szCs w:val="22"/>
                <w:color w:val="auto"/>
              </w:rPr>
            </w:pPr>
          </w:p>
        </w:tc>
        <w:tc>
          <w:tcPr>
            <w:tcW w:w="4640" w:type="dxa"/>
            <w:vAlign w:val="bottom"/>
            <w:tcBorders>
              <w:top w:val="single" w:sz="8" w:color="808080"/>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87-0398877</w:t>
            </w:r>
          </w:p>
        </w:tc>
        <w:tc>
          <w:tcPr>
            <w:tcW w:w="40" w:type="dxa"/>
            <w:vAlign w:val="bottom"/>
            <w:tcBorders>
              <w:top w:val="single" w:sz="8" w:color="808080"/>
              <w:right w:val="single" w:sz="8" w:color="808080"/>
            </w:tcBorders>
          </w:tcPr>
          <w:p>
            <w:pPr>
              <w:spacing w:after="0"/>
              <w:rPr>
                <w:sz w:val="22"/>
                <w:szCs w:val="22"/>
                <w:color w:val="auto"/>
              </w:rPr>
            </w:pPr>
          </w:p>
        </w:tc>
      </w:tr>
      <w:tr>
        <w:trPr>
          <w:trHeight w:val="202"/>
        </w:trPr>
        <w:tc>
          <w:tcPr>
            <w:tcW w:w="5160" w:type="dxa"/>
            <w:vAlign w:val="bottom"/>
            <w:tcBorders>
              <w:left w:val="single" w:sz="8" w:color="808080"/>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520" w:type="dxa"/>
            <w:vAlign w:val="bottom"/>
          </w:tcPr>
          <w:p>
            <w:pPr>
              <w:spacing w:after="0"/>
              <w:rPr>
                <w:sz w:val="17"/>
                <w:szCs w:val="17"/>
                <w:color w:val="auto"/>
              </w:rPr>
            </w:pPr>
          </w:p>
        </w:tc>
        <w:tc>
          <w:tcPr>
            <w:tcW w:w="464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c>
          <w:tcPr>
            <w:tcW w:w="40" w:type="dxa"/>
            <w:vAlign w:val="bottom"/>
            <w:tcBorders>
              <w:right w:val="single" w:sz="8" w:color="808080"/>
            </w:tcBorders>
          </w:tcPr>
          <w:p>
            <w:pPr>
              <w:spacing w:after="0"/>
              <w:rPr>
                <w:sz w:val="17"/>
                <w:szCs w:val="17"/>
                <w:color w:val="auto"/>
              </w:rPr>
            </w:pPr>
          </w:p>
        </w:tc>
      </w:tr>
      <w:tr>
        <w:trPr>
          <w:trHeight w:val="241"/>
        </w:trPr>
        <w:tc>
          <w:tcPr>
            <w:tcW w:w="5160" w:type="dxa"/>
            <w:vAlign w:val="bottom"/>
            <w:tcBorders>
              <w:left w:val="single" w:sz="8" w:color="808080"/>
              <w:bottom w:val="single" w:sz="8" w:color="808080"/>
            </w:tcBorders>
          </w:tcPr>
          <w:p>
            <w:pPr>
              <w:spacing w:after="0"/>
              <w:rPr>
                <w:sz w:val="20"/>
                <w:szCs w:val="20"/>
                <w:color w:val="auto"/>
              </w:rPr>
            </w:pPr>
          </w:p>
        </w:tc>
        <w:tc>
          <w:tcPr>
            <w:tcW w:w="520" w:type="dxa"/>
            <w:vAlign w:val="bottom"/>
            <w:tcBorders>
              <w:bottom w:val="single" w:sz="8" w:color="808080"/>
            </w:tcBorders>
          </w:tcPr>
          <w:p>
            <w:pPr>
              <w:spacing w:after="0"/>
              <w:rPr>
                <w:sz w:val="20"/>
                <w:szCs w:val="20"/>
                <w:color w:val="auto"/>
              </w:rPr>
            </w:pPr>
          </w:p>
        </w:tc>
        <w:tc>
          <w:tcPr>
            <w:tcW w:w="4680" w:type="dxa"/>
            <w:vAlign w:val="bottom"/>
            <w:tcBorders>
              <w:bottom w:val="single" w:sz="8" w:color="808080"/>
              <w:right w:val="single" w:sz="8" w:color="808080"/>
            </w:tcBorders>
            <w:gridSpan w:val="4"/>
          </w:tcPr>
          <w:p>
            <w:pPr>
              <w:jc w:val="center"/>
              <w:ind w:right="60"/>
              <w:spacing w:after="0"/>
              <w:rPr>
                <w:sz w:val="20"/>
                <w:szCs w:val="20"/>
                <w:color w:val="auto"/>
              </w:rPr>
            </w:pPr>
            <w:r>
              <w:rPr>
                <w:rFonts w:ascii="Arial" w:cs="Arial" w:eastAsia="Arial" w:hAnsi="Arial"/>
                <w:sz w:val="18"/>
                <w:szCs w:val="18"/>
                <w:color w:val="auto"/>
                <w:w w:val="94"/>
              </w:rPr>
              <w:t>identification number)</w:t>
            </w:r>
          </w:p>
        </w:tc>
      </w:tr>
      <w:tr>
        <w:trPr>
          <w:trHeight w:val="264"/>
        </w:trPr>
        <w:tc>
          <w:tcPr>
            <w:tcW w:w="5680" w:type="dxa"/>
            <w:vAlign w:val="bottom"/>
            <w:tcBorders>
              <w:bottom w:val="single" w:sz="8" w:color="808080"/>
            </w:tcBorders>
            <w:gridSpan w:val="2"/>
          </w:tcPr>
          <w:p>
            <w:pPr>
              <w:spacing w:after="0"/>
              <w:rPr>
                <w:sz w:val="22"/>
                <w:szCs w:val="22"/>
                <w:color w:val="auto"/>
              </w:rPr>
            </w:pPr>
          </w:p>
        </w:tc>
        <w:tc>
          <w:tcPr>
            <w:tcW w:w="178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24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r>
      <w:tr>
        <w:trPr>
          <w:trHeight w:val="208"/>
        </w:trPr>
        <w:tc>
          <w:tcPr>
            <w:tcW w:w="5680" w:type="dxa"/>
            <w:vAlign w:val="bottom"/>
            <w:tcBorders>
              <w:left w:val="single" w:sz="8" w:color="808080"/>
            </w:tcBorders>
            <w:gridSpan w:val="2"/>
          </w:tcPr>
          <w:p>
            <w:pPr>
              <w:jc w:val="center"/>
              <w:ind w:left="1710"/>
              <w:spacing w:after="0"/>
              <w:rPr>
                <w:sz w:val="20"/>
                <w:szCs w:val="20"/>
                <w:color w:val="auto"/>
              </w:rPr>
            </w:pPr>
            <w:r>
              <w:rPr>
                <w:rFonts w:ascii="Arial" w:cs="Arial" w:eastAsia="Arial" w:hAnsi="Arial"/>
                <w:sz w:val="18"/>
                <w:szCs w:val="18"/>
                <w:b w:val="1"/>
                <w:bCs w:val="1"/>
                <w:color w:val="auto"/>
                <w:w w:val="89"/>
              </w:rPr>
              <w:t>5225 Wiley Post Way, Suite 500</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41"/>
        </w:trPr>
        <w:tc>
          <w:tcPr>
            <w:tcW w:w="5680" w:type="dxa"/>
            <w:vAlign w:val="bottom"/>
            <w:tcBorders>
              <w:left w:val="single" w:sz="8" w:color="808080"/>
            </w:tcBorders>
            <w:gridSpan w:val="2"/>
          </w:tcPr>
          <w:p>
            <w:pPr>
              <w:jc w:val="center"/>
              <w:ind w:left="1710"/>
              <w:spacing w:after="0"/>
              <w:rPr>
                <w:sz w:val="20"/>
                <w:szCs w:val="20"/>
                <w:color w:val="auto"/>
              </w:rPr>
            </w:pPr>
            <w:r>
              <w:rPr>
                <w:rFonts w:ascii="Arial" w:cs="Arial" w:eastAsia="Arial" w:hAnsi="Arial"/>
                <w:sz w:val="18"/>
                <w:szCs w:val="18"/>
                <w:b w:val="1"/>
                <w:bCs w:val="1"/>
                <w:color w:val="auto"/>
                <w:w w:val="92"/>
              </w:rPr>
              <w:t>Salt Lake City, Utah</w:t>
            </w:r>
          </w:p>
        </w:tc>
        <w:tc>
          <w:tcPr>
            <w:tcW w:w="464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84116</w:t>
            </w:r>
          </w:p>
        </w:tc>
        <w:tc>
          <w:tcPr>
            <w:tcW w:w="40" w:type="dxa"/>
            <w:vAlign w:val="bottom"/>
            <w:tcBorders>
              <w:right w:val="single" w:sz="8" w:color="808080"/>
            </w:tcBorders>
          </w:tcPr>
          <w:p>
            <w:pPr>
              <w:spacing w:after="0"/>
              <w:rPr>
                <w:sz w:val="20"/>
                <w:szCs w:val="20"/>
                <w:color w:val="auto"/>
              </w:rPr>
            </w:pPr>
          </w:p>
        </w:tc>
      </w:tr>
      <w:tr>
        <w:trPr>
          <w:trHeight w:val="226"/>
        </w:trPr>
        <w:tc>
          <w:tcPr>
            <w:tcW w:w="5680" w:type="dxa"/>
            <w:vAlign w:val="bottom"/>
            <w:tcBorders>
              <w:top w:val="single" w:sz="8" w:color="auto"/>
              <w:left w:val="single" w:sz="8" w:color="808080"/>
              <w:bottom w:val="single" w:sz="8" w:color="808080"/>
            </w:tcBorders>
            <w:gridSpan w:val="2"/>
          </w:tcPr>
          <w:p>
            <w:pPr>
              <w:jc w:val="center"/>
              <w:ind w:left="1690"/>
              <w:spacing w:after="0"/>
              <w:rPr>
                <w:sz w:val="20"/>
                <w:szCs w:val="20"/>
                <w:color w:val="auto"/>
              </w:rPr>
            </w:pPr>
            <w:r>
              <w:rPr>
                <w:rFonts w:ascii="Arial" w:cs="Arial" w:eastAsia="Arial" w:hAnsi="Arial"/>
                <w:sz w:val="18"/>
                <w:szCs w:val="18"/>
                <w:color w:val="auto"/>
                <w:w w:val="92"/>
              </w:rPr>
              <w:t>(Address of principal executive offices)</w:t>
            </w:r>
          </w:p>
        </w:tc>
        <w:tc>
          <w:tcPr>
            <w:tcW w:w="1780" w:type="dxa"/>
            <w:vAlign w:val="bottom"/>
            <w:tcBorders>
              <w:top w:val="single" w:sz="8" w:color="auto"/>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20" w:type="dxa"/>
            <w:vAlign w:val="bottom"/>
            <w:tcBorders>
              <w:top w:val="single" w:sz="8" w:color="auto"/>
              <w:bottom w:val="single" w:sz="8" w:color="808080"/>
            </w:tcBorders>
          </w:tcPr>
          <w:p>
            <w:pPr>
              <w:jc w:val="center"/>
              <w:spacing w:after="0"/>
              <w:rPr>
                <w:sz w:val="20"/>
                <w:szCs w:val="20"/>
                <w:color w:val="auto"/>
              </w:rPr>
            </w:pPr>
            <w:r>
              <w:rPr>
                <w:rFonts w:ascii="Arial" w:cs="Arial" w:eastAsia="Arial" w:hAnsi="Arial"/>
                <w:sz w:val="18"/>
                <w:szCs w:val="18"/>
                <w:color w:val="auto"/>
                <w:w w:val="94"/>
              </w:rPr>
              <w:t>(Zip Code)</w:t>
            </w:r>
          </w:p>
        </w:tc>
        <w:tc>
          <w:tcPr>
            <w:tcW w:w="40" w:type="dxa"/>
            <w:vAlign w:val="bottom"/>
            <w:tcBorders>
              <w:bottom w:val="single" w:sz="8" w:color="808080"/>
              <w:right w:val="single" w:sz="8" w:color="808080"/>
            </w:tcBorders>
          </w:tcPr>
          <w:p>
            <w:pPr>
              <w:spacing w:after="0"/>
              <w:rPr>
                <w:sz w:val="19"/>
                <w:szCs w:val="19"/>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(801) 975-7200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960" w:type="dxa"/>
            <w:vAlign w:val="bottom"/>
            <w:gridSpan w:val="2"/>
          </w:tcPr>
          <w:p>
            <w:pPr>
              <w:ind w:left="8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9760" w:type="dxa"/>
            <w:vAlign w:val="bottom"/>
          </w:tcPr>
          <w:p>
            <w:pPr>
              <w:ind w:left="6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996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89"/>
              </w:rPr>
              <w:t>] Pre-commencement communications pursuant to Rule 14d-2(b) under the Exchange Act (17 CFR 240.14d-2(b))</w:t>
            </w:r>
          </w:p>
        </w:tc>
      </w:tr>
      <w:tr>
        <w:trPr>
          <w:trHeight w:val="275"/>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rPr>
                <w:sz w:val="20"/>
                <w:szCs w:val="20"/>
                <w:color w:val="auto"/>
              </w:rPr>
            </w:pPr>
            <w:r>
              <w:rPr>
                <w:rFonts w:ascii="Arial" w:cs="Arial" w:eastAsia="Arial" w:hAnsi="Arial"/>
                <w:sz w:val="22"/>
                <w:szCs w:val="22"/>
                <w:color w:val="auto"/>
              </w:rPr>
              <w:t>]</w:t>
            </w:r>
          </w:p>
        </w:tc>
        <w:tc>
          <w:tcPr>
            <w:tcW w:w="9760" w:type="dxa"/>
            <w:vAlign w:val="bottom"/>
          </w:tcPr>
          <w:p>
            <w:pPr>
              <w:ind w:left="60"/>
              <w:spacing w:after="0"/>
              <w:rPr>
                <w:sz w:val="20"/>
                <w:szCs w:val="20"/>
                <w:color w:val="auto"/>
              </w:rPr>
            </w:pPr>
            <w:r>
              <w:rPr>
                <w:rFonts w:ascii="Arial" w:cs="Arial" w:eastAsia="Arial" w:hAnsi="Arial"/>
                <w:sz w:val="22"/>
                <w:szCs w:val="22"/>
                <w:color w:val="auto"/>
                <w:w w:val="89"/>
              </w:rPr>
              <w:t>Pre-commencement communication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6586220"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6220" cy="857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1003300</wp:posOffset>
            </wp:positionV>
            <wp:extent cx="6572885" cy="175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2885" cy="175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90"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9"/>
          <w:szCs w:val="19"/>
          <w:color w:val="auto"/>
        </w:rPr>
        <w:t>ClearOne Communications, Inc. (the “Company”) previously reported in its periodic filings that the Company had filed arbitration proceedings against Morgan Stanley &amp; Co., Inc. (“Morgan Stanley”) and UBS Financial Services, Inc. (“UBS”) with the Financial Industry Regulatory Authority seeking consequential damages with respect to auction rate securities (“ARS”) that Morgan Stanley and UBS sold to the Company and turned out to be illiquid. The arbitration sessions against Morgan Stanley were completed on October 8, 2012, and the arbitration sessions against UBS were completed on November 2, 2012. The Company expects to resolve and announce the outcome of both arbitration proceedings regarding its ARS before the end of this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66116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1620" cy="42545"/>
                    </a:xfrm>
                    <a:prstGeom prst="rect">
                      <a:avLst/>
                    </a:prstGeom>
                    <a:noFill/>
                  </pic:spPr>
                </pic:pic>
              </a:graphicData>
            </a:graphic>
          </wp:anchor>
        </w:drawing>
      </w:r>
    </w:p>
    <w:p>
      <w:pPr>
        <w:sectPr>
          <w:pgSz w:w="11900" w:h="16838" w:orient="portrait"/>
          <w:cols w:equalWidth="0" w:num="1">
            <w:col w:w="10380"/>
          </w:cols>
          <w:pgMar w:left="240" w:top="828" w:right="1279" w:bottom="1440" w:gutter="0" w:footer="0" w:header="0"/>
        </w:sectPr>
      </w:pPr>
    </w:p>
    <w:bookmarkStart w:id="1" w:name="page2"/>
    <w:bookmarkEnd w:id="1"/>
    <w:p>
      <w:pPr>
        <w:jc w:val="center"/>
        <w:ind w:right="-160"/>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99"/>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147320</wp:posOffset>
            </wp:positionV>
            <wp:extent cx="6572885" cy="1153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72885" cy="1153160"/>
                    </a:xfrm>
                    <a:prstGeom prst="rect">
                      <a:avLst/>
                    </a:prstGeom>
                    <a:noFill/>
                  </pic:spPr>
                </pic:pic>
              </a:graphicData>
            </a:graphic>
          </wp:anchor>
        </w:drawing>
      </w:r>
    </w:p>
    <w:p>
      <w:pPr>
        <w:spacing w:after="0" w:line="22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3920" w:val="left"/>
          <w:tab w:leader="none" w:pos="4620" w:val="left"/>
        </w:tabs>
        <w:rPr>
          <w:sz w:val="20"/>
          <w:szCs w:val="20"/>
          <w:color w:val="auto"/>
        </w:rPr>
      </w:pPr>
      <w:r>
        <w:rPr>
          <w:rFonts w:ascii="Arial" w:cs="Arial" w:eastAsia="Arial" w:hAnsi="Arial"/>
          <w:sz w:val="18"/>
          <w:szCs w:val="18"/>
          <w:color w:val="auto"/>
        </w:rPr>
        <w:t>Date: November 19,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219"/>
      </w:cols>
      <w:pgMar w:left="24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2019-12-09T09:01:53Z</dcterms:created>
  <dcterms:modified xsi:type="dcterms:W3CDTF">2019-12-09T09:01:53Z</dcterms:modified>
</cp:coreProperties>
</file>