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27, 2025 (February 26, 2025)</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19"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42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416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601"/>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On February 26, 2025, ClearOne, Inc., a Delaware corporation (the “Company”), entered into a Securities Purchase Agreement (the “Purchase Agreement”) with Edward D. Bagley, pursuant to which the Company agreed to issue and sell, in a private placement at-the-market offering of 2,000,000 shares (the “Shares”) of the Company’s common stock, par value $0.001 per share (the “Common Stock”), at a purchase price of $0.50 per share of Common Stock (the “Offering”). Mr. Bagley is an affiliate of the Company and the Company’s single largest stockholder.</w:t>
      </w:r>
    </w:p>
    <w:p>
      <w:pPr>
        <w:spacing w:after="0" w:line="180"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The Shares are not being registered under the Securities Act of 1933, as amended (the “Securities Act”), and were offered pursuant to the exemption provided in Section 4(a)(2) under the Securities Act, and Rule 506(b) promulgated thereunder.</w:t>
      </w:r>
    </w:p>
    <w:p>
      <w:pPr>
        <w:spacing w:after="0" w:line="16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Purchase Agreement contains customary representations and warranties and agreements of the Company and the Purchasers and customary indemnification rights and obligations of the parties.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Offering closed simultaneously with the execution of the Purchase Agreement by the Company and Mr. Bagley.</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summaries of the Purchase Agreement and does not purport to be complete and is subject to, and qualified in their entirety by, such document attached as Exhibit 10.1 to this Current Report on Form 8-K, which is incorporated herein by reference.</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of the Offering under Item 1.01 above is incorporate herein by reference.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46"/>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60" w:type="dxa"/>
            <w:vAlign w:val="bottom"/>
            <w:tcBorders>
              <w:bottom w:val="single" w:sz="8" w:color="auto"/>
            </w:tcBorders>
            <w:gridSpan w:val="2"/>
          </w:tcPr>
          <w:p>
            <w:pPr>
              <w:ind w:left="404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69"/>
        </w:trPr>
        <w:tc>
          <w:tcPr>
            <w:tcW w:w="20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020" w:type="dxa"/>
            <w:vAlign w:val="bottom"/>
            <w:tcBorders>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Securities Purchase Agreement dated February 26, 2025 by and between ClearOne, Inc. and Edward D. Bagley.</w:t>
            </w:r>
          </w:p>
        </w:tc>
        <w:tc>
          <w:tcPr>
            <w:tcW w:w="1040" w:type="dxa"/>
            <w:vAlign w:val="bottom"/>
          </w:tcPr>
          <w:p>
            <w:pPr>
              <w:spacing w:after="0"/>
              <w:rPr>
                <w:sz w:val="14"/>
                <w:szCs w:val="14"/>
                <w:color w:val="auto"/>
              </w:rPr>
            </w:pPr>
          </w:p>
        </w:tc>
      </w:tr>
      <w:tr>
        <w:trPr>
          <w:trHeight w:val="237"/>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Pr>
          <w:p>
            <w:pPr>
              <w:spacing w:after="0"/>
              <w:rPr>
                <w:sz w:val="20"/>
                <w:szCs w:val="20"/>
                <w:color w:val="auto"/>
              </w:rPr>
            </w:pPr>
          </w:p>
        </w:tc>
        <w:tc>
          <w:tcPr>
            <w:tcW w:w="9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425"/>
        </w:trPr>
        <w:tc>
          <w:tcPr>
            <w:tcW w:w="2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81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2025</w:t>
            </w:r>
          </w:p>
        </w:tc>
        <w:tc>
          <w:tcPr>
            <w:tcW w:w="81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Derek Graham</w:t>
            </w:r>
          </w:p>
        </w:tc>
      </w:tr>
      <w:tr>
        <w:trPr>
          <w:trHeight w:val="191"/>
        </w:trPr>
        <w:tc>
          <w:tcPr>
            <w:tcW w:w="30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Derek Graham</w:t>
            </w:r>
          </w:p>
        </w:tc>
      </w:tr>
      <w:tr>
        <w:trPr>
          <w:trHeight w:val="234"/>
        </w:trPr>
        <w:tc>
          <w:tcPr>
            <w:tcW w:w="30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54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February 26, 2025, between ClearOne,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Edward D. Bagley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Section 4(a)(2) of the Securities Act (as defined below), and Rule 506 promulgated thereunder, the Company desires to issue and sell to the Purchaser, and the Purchaser desires to purchase from the Company, securities of the Company as more fully described in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the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4.4.</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Shares pursuant to Section 2.1.</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aggregate purchase price for the Shares; and (ii) the Company’s obligations to deliver the Shares, in each case, have been satisfied or waived.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Seyfarth Shaw LLP, with offices located at 700 Milam Street, Suite 1400, Houston, Texas 77002.</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means the Disclosure Schedules of the Company delivered concurrently herewith.</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Company Counsel, and (ii) if this Agreement is signed between midnight (New York City time) and 9:00 a.m. (New York City time) on any Trading Day, no later than 9:01 a.m. (New York City time) on the date hereof, unless otherwise instructed as to an earlier time by Company Counsel.</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5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81915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53" w:right="339" w:bottom="1440" w:gutter="0" w:footer="0" w:header="0"/>
        </w:sectPr>
      </w:pPr>
    </w:p>
    <w:bookmarkStart w:id="5" w:name="page6"/>
    <w:bookmarkEnd w:id="5"/>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the Purchaser pursuant to this Agreement.</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means any subsidiary of the Company as set forth on </w:t>
      </w:r>
      <w:r>
        <w:rPr>
          <w:rFonts w:ascii="Times New Roman" w:cs="Times New Roman" w:eastAsia="Times New Roman" w:hAnsi="Times New Roman"/>
          <w:sz w:val="18"/>
          <w:szCs w:val="18"/>
          <w:u w:val="single" w:color="auto"/>
          <w:color w:val="auto"/>
        </w:rPr>
        <w:t>Schedule 3.1(a)</w:t>
      </w:r>
      <w:r>
        <w:rPr>
          <w:rFonts w:ascii="Times New Roman" w:cs="Times New Roman" w:eastAsia="Times New Roman" w:hAnsi="Times New Roman"/>
          <w:sz w:val="18"/>
          <w:szCs w:val="18"/>
          <w:color w:val="auto"/>
        </w:rPr>
        <w:t>, and shall, where applicable, also include any direct or indirect subsidiary of the Company formed or acquired after the date hereof.</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all exhibits and schedules hereto and any other documents or agreements executed in connection with the transactions contemplated hereunder.</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Colonial Stock Transfer, the current transfer agent of the Company, with offices located at 66 Exchange Place, Ste 100, Salt Lake City, UT 84111, and any successor transfer agent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substantially concurrent with the execution and delivery of this Agreement by the parties hereto, the Company agrees to sell, and the Purchaser agrees to purchase, 2,000,000 Shares for $0.50 per Share and an aggregate of $1,000,000.00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Purchase Price shall be paid in full on the Closing Date. The Company and the Purchaser shall deliver the other items set forth in Section 2.2 deliverable at the Closing. Upon satisfaction of the covenants and conditions set forth in Sections 2.2 and 2.3, the Closing shall occur at the offices of Company Counsel or such other location (including remotely by facsimile or other electronic transmission) as the parties shall mutually agree.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Deliveries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40" w:hanging="696"/>
        <w:spacing w:after="0"/>
        <w:tabs>
          <w:tab w:leader="none" w:pos="1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the Purchaser the following:</w:t>
      </w:r>
    </w:p>
    <w:p>
      <w:pPr>
        <w:spacing w:after="0" w:line="225" w:lineRule="exact"/>
        <w:rPr>
          <w:rFonts w:ascii="Times New Roman" w:cs="Times New Roman" w:eastAsia="Times New Roman" w:hAnsi="Times New Roman"/>
          <w:sz w:val="18"/>
          <w:szCs w:val="18"/>
          <w:color w:val="auto"/>
        </w:rPr>
      </w:pPr>
    </w:p>
    <w:p>
      <w:pPr>
        <w:ind w:left="2000" w:hanging="708"/>
        <w:spacing w:after="0"/>
        <w:tabs>
          <w:tab w:leader="none" w:pos="20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 and</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2061"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irrevocable instructions to the Transfer Agent instructing the Transfer Agent to deliver on an expedited basis a certificate evidencing ownership of 2,000,000 Shares registered in the name of the Purchaser, or, at the election of the Purchaser, evidence of the issuance of the Purchaser’s Shares hereunder as held in DRS book-entry form by the Transfer Agent and registered in the name of the Purchaser, which evidence shall be reasonably satisfactory to the Purchaser.</w:t>
      </w:r>
    </w:p>
    <w:p>
      <w:pPr>
        <w:spacing w:after="0" w:line="179" w:lineRule="exact"/>
        <w:rPr>
          <w:rFonts w:ascii="Times New Roman" w:cs="Times New Roman" w:eastAsia="Times New Roman" w:hAnsi="Times New Roman"/>
          <w:sz w:val="18"/>
          <w:szCs w:val="18"/>
          <w:color w:val="auto"/>
        </w:rPr>
      </w:pPr>
    </w:p>
    <w:p>
      <w:pPr>
        <w:ind w:left="1320" w:hanging="67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2000" w:hanging="708"/>
        <w:spacing w:after="0"/>
        <w:tabs>
          <w:tab w:leader="none" w:pos="20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Purchaser.</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Closing Conditions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480" w:hanging="836"/>
        <w:spacing w:after="0"/>
        <w:tabs>
          <w:tab w:leader="none" w:pos="1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75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on the Closing Date of the representations and warranties of the Purchaser contained herein (unless as of a specific date therein in which case they shall be accurate as of such date);</w:t>
      </w:r>
    </w:p>
    <w:p>
      <w:pPr>
        <w:spacing w:after="0" w:line="175" w:lineRule="exact"/>
        <w:rPr>
          <w:rFonts w:ascii="Times New Roman" w:cs="Times New Roman" w:eastAsia="Times New Roman" w:hAnsi="Times New Roman"/>
          <w:sz w:val="18"/>
          <w:szCs w:val="18"/>
          <w:color w:val="auto"/>
        </w:rPr>
      </w:pPr>
    </w:p>
    <w:p>
      <w:pPr>
        <w:ind w:left="640" w:firstLine="652"/>
        <w:spacing w:after="0" w:line="282" w:lineRule="auto"/>
        <w:tabs>
          <w:tab w:leader="none" w:pos="209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1980" w:hanging="688"/>
        <w:spacing w:after="0"/>
        <w:tabs>
          <w:tab w:leader="none" w:pos="1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Purchaser of the item set forth in Section 2.2(b) of this Agreement.</w:t>
      </w:r>
    </w:p>
    <w:p>
      <w:pPr>
        <w:spacing w:after="0" w:line="225" w:lineRule="exact"/>
        <w:rPr>
          <w:rFonts w:ascii="Times New Roman" w:cs="Times New Roman" w:eastAsia="Times New Roman" w:hAnsi="Times New Roman"/>
          <w:sz w:val="18"/>
          <w:szCs w:val="18"/>
          <w:color w:val="auto"/>
        </w:rPr>
      </w:pPr>
    </w:p>
    <w:p>
      <w:pPr>
        <w:ind w:left="1460" w:hanging="816"/>
        <w:spacing w:after="0"/>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 hereunder in connection with the Closing are subject to the following conditions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met:</w:t>
      </w:r>
    </w:p>
    <w:p>
      <w:pPr>
        <w:spacing w:after="0" w:line="206"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217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75" w:lineRule="exact"/>
        <w:rPr>
          <w:rFonts w:ascii="Times New Roman" w:cs="Times New Roman" w:eastAsia="Times New Roman" w:hAnsi="Times New Roman"/>
          <w:sz w:val="18"/>
          <w:szCs w:val="18"/>
          <w:color w:val="auto"/>
        </w:rPr>
      </w:pPr>
    </w:p>
    <w:p>
      <w:pPr>
        <w:ind w:left="640" w:firstLine="652"/>
        <w:spacing w:after="0" w:line="282" w:lineRule="auto"/>
        <w:tabs>
          <w:tab w:leader="none" w:pos="211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1940" w:hanging="648"/>
        <w:spacing w:after="0"/>
        <w:tabs>
          <w:tab w:leader="none" w:pos="19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1920" w:hanging="628"/>
        <w:spacing w:after="0"/>
        <w:tabs>
          <w:tab w:leader="none" w:pos="1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55" w:lineRule="auto"/>
        <w:tabs>
          <w:tab w:leader="none" w:pos="219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the Purchaser, makes it impracticable or inadvisable to purchase the Shares at the Closing.</w:t>
      </w:r>
    </w:p>
    <w:p>
      <w:pPr>
        <w:spacing w:after="0" w:line="21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81915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5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the Purchaser:</w:t>
      </w:r>
    </w:p>
    <w:p>
      <w:pPr>
        <w:spacing w:after="0" w:line="176" w:lineRule="exact"/>
        <w:rPr>
          <w:sz w:val="20"/>
          <w:szCs w:val="20"/>
          <w:color w:val="auto"/>
        </w:rPr>
      </w:pPr>
    </w:p>
    <w:p>
      <w:pPr>
        <w:jc w:val="both"/>
        <w:ind w:left="660" w:firstLine="644"/>
        <w:spacing w:after="0" w:line="261" w:lineRule="auto"/>
        <w:tabs>
          <w:tab w:leader="none" w:pos="232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All of the material direct and indirect subsidiaries of the Company are set forth on </w:t>
      </w:r>
      <w:r>
        <w:rPr>
          <w:rFonts w:ascii="Times New Roman" w:cs="Times New Roman" w:eastAsia="Times New Roman" w:hAnsi="Times New Roman"/>
          <w:sz w:val="18"/>
          <w:szCs w:val="18"/>
          <w:u w:val="single" w:color="auto"/>
          <w:color w:val="auto"/>
        </w:rPr>
        <w:t>Schedule 3.1(a)</w:t>
      </w:r>
      <w:r>
        <w:rPr>
          <w:rFonts w:ascii="Times New Roman" w:cs="Times New Roman" w:eastAsia="Times New Roman" w:hAnsi="Times New Roman"/>
          <w:sz w:val="18"/>
          <w:szCs w:val="18"/>
          <w:color w:val="auto"/>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231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except where the failure to be so qualified or in good standing, as the case may be, could not have or reasonably be expected to result in a Material Adverse Effect and no Proceeding has been instituted in any such jurisdiction revoking, limiting or curtailing or seeking to revoke, limit or curtail such power and authority or qualification.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197"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213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23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Shares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individually or in the aggregate, have or reasonably be expected to result in a Material Adverse Effect.</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jc w:val="both"/>
        <w:ind w:left="-460" w:firstLine="644"/>
        <w:spacing w:after="0" w:line="256" w:lineRule="auto"/>
        <w:tabs>
          <w:tab w:leader="none" w:pos="98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4.3 of this Agreement, (ii) application(s) to each applicable Trading Market for the listing of the Shares for trading thereon in the time and manner required thereby, and (iii) the filing of Form D with the Commission and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114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Shares</w:t>
      </w:r>
      <w:r>
        <w:rPr>
          <w:rFonts w:ascii="Times New Roman" w:cs="Times New Roman" w:eastAsia="Times New Roman" w:hAnsi="Times New Roman"/>
          <w:sz w:val="18"/>
          <w:szCs w:val="18"/>
          <w:color w:val="auto"/>
        </w:rPr>
        <w:t>. The Shares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Company has reserved from its duly authorized capital stock the maximum number of shares of Common Stock issuable pursuant to this Agreement.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93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capitalization of the Company as of September 30, 2021 is as set forth in the SEC Reports.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Shares and as disclosed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Shares will not obligate the Company or any Subsidiary to issue shares of Common Stock or other securities to any Person (other than the Purchaser).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Shares.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5"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10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2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81915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53" w:right="339" w:bottom="1440" w:gutter="0" w:footer="0" w:header="0"/>
        </w:sectPr>
      </w:pPr>
    </w:p>
    <w:bookmarkStart w:id="9" w:name="page10"/>
    <w:bookmarkEnd w:id="9"/>
    <w:p>
      <w:pPr>
        <w:jc w:val="both"/>
        <w:ind w:left="-460" w:firstLine="644"/>
        <w:spacing w:after="0" w:line="252" w:lineRule="auto"/>
        <w:tabs>
          <w:tab w:leader="none" w:pos="101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 within the SEC Reports and after giving effect to the issuance and sale of the Shares pursuant to this Agreement,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Shares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97"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that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since January 1, 2018.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11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93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individually or in the aggregate, to result in a Material Adverse Effect.</w:t>
      </w:r>
    </w:p>
    <w:p>
      <w:pPr>
        <w:spacing w:after="0" w:line="21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81915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53" w:right="339" w:bottom="1440" w:gutter="0" w:footer="0" w:header="0"/>
        </w:sectPr>
      </w:pPr>
    </w:p>
    <w:bookmarkStart w:id="10" w:name="page11"/>
    <w:bookmarkEnd w:id="10"/>
    <w:p>
      <w:pPr>
        <w:jc w:val="both"/>
        <w:ind w:left="-460" w:firstLine="644"/>
        <w:spacing w:after="0" w:line="253" w:lineRule="auto"/>
        <w:tabs>
          <w:tab w:leader="none" w:pos="10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to the best of the Company’s knowledge, neither the Company nor any Subsidiary has received any notice of proceedings relating to the revocation or modification of any Material Permit.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95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10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or can acquire on reasonable terms,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Except as disclosed in the SEC Reports,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where such expiration, termination or abandonment could not, individually or in the aggregate, reasonably be expected to have a Material Adverse Effect. To the best of the Company’s knowledge,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Except as disclosed in the SEC Reports, to the knowledge of the Company, all such Intellectual Property Rights are enforceable and the Company has not asserted any infringement by another Person of any of the Intellectual Property Rights. The Company and its Subsidiaries have taken reasonable security measures to protect the secrecy, confidentiality and value of all of their Intellectual Property Rights, except where failure to do so could not, individually or in the aggregate, reasonably be expected to have a Material Adverse Effect.</w:t>
      </w:r>
    </w:p>
    <w:p>
      <w:pPr>
        <w:spacing w:after="0" w:line="19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9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21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81915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53" w:right="339" w:bottom="1440" w:gutter="0" w:footer="0" w:header="0"/>
        </w:sectPr>
      </w:pPr>
    </w:p>
    <w:bookmarkStart w:id="11" w:name="page12"/>
    <w:bookmarkEnd w:id="11"/>
    <w:p>
      <w:pPr>
        <w:jc w:val="both"/>
        <w:ind w:left="-460" w:firstLine="644"/>
        <w:spacing w:after="0" w:line="254" w:lineRule="auto"/>
        <w:tabs>
          <w:tab w:leader="none" w:pos="100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123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3"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100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1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Purchaser’s representations and warranties set forth in Section 3.2, no registration under the Securities Act is required for the offer and sale of the Shares by the Company to the Purchaser as contemplated hereby. The issuance and sale of the Shares hereunder does not contravene the rules and regulations of the Trading Market.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9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Shares,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9"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11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xml:space="preserve">. Other than as set forth on </w:t>
      </w:r>
      <w:r>
        <w:rPr>
          <w:rFonts w:ascii="Times New Roman" w:cs="Times New Roman" w:eastAsia="Times New Roman" w:hAnsi="Times New Roman"/>
          <w:sz w:val="18"/>
          <w:szCs w:val="18"/>
          <w:u w:val="single" w:color="auto"/>
          <w:color w:val="auto"/>
        </w:rPr>
        <w:t>Schedule 3.1(w)</w:t>
      </w:r>
      <w:r>
        <w:rPr>
          <w:rFonts w:ascii="Times New Roman" w:cs="Times New Roman" w:eastAsia="Times New Roman" w:hAnsi="Times New Roman"/>
          <w:sz w:val="18"/>
          <w:szCs w:val="18"/>
          <w:color w:val="auto"/>
        </w:rPr>
        <w:t>, no Person has any right to cause the Company or any Subsidiary to effect the registration under the Securities Act of any securities of the Company or any Subsidiary.</w:t>
      </w:r>
    </w:p>
    <w:p>
      <w:pPr>
        <w:spacing w:after="0" w:line="18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81915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53" w:right="339" w:bottom="1440" w:gutter="0" w:footer="0" w:header="0"/>
        </w:sectPr>
      </w:pPr>
    </w:p>
    <w:bookmarkStart w:id="12" w:name="page13"/>
    <w:bookmarkEnd w:id="12"/>
    <w:p>
      <w:pPr>
        <w:jc w:val="both"/>
        <w:ind w:left="-460" w:firstLine="644"/>
        <w:spacing w:after="0" w:line="219" w:lineRule="exact"/>
        <w:tabs>
          <w:tab w:leader="none" w:pos="86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 under the Company’s certificate of incorporation (or similar charter documents) or the laws of its state of incorporation that is or could become applicable to the Purchaser as a result of the Purchaser and the Company fulfilling their obligations or exercising their rights under the Transaction Documents, including without limitation as a result of the Company’s issuance of the Shares and the Purchaser’s ownership of the Shares.</w:t>
      </w:r>
    </w:p>
    <w:p>
      <w:pPr>
        <w:spacing w:after="0" w:line="202"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111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109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Based on the consolidated financial condition of the Company as of the Closing Date, after giving effect to the receipt by the Company of the proceeds from the sale of the Shares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w:t>
      </w:r>
    </w:p>
    <w:p>
      <w:pPr>
        <w:spacing w:after="0" w:line="192" w:lineRule="exact"/>
        <w:rPr>
          <w:sz w:val="20"/>
          <w:szCs w:val="20"/>
          <w:color w:val="auto"/>
        </w:rPr>
      </w:pPr>
    </w:p>
    <w:p>
      <w:pPr>
        <w:jc w:val="both"/>
        <w:ind w:left="-460" w:firstLine="644"/>
        <w:spacing w:after="0" w:line="255" w:lineRule="auto"/>
        <w:tabs>
          <w:tab w:leader="none" w:pos="95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8"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90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Person acting on behalf of the Company has offered or sold any of the Shares by any form of general solicitation or general advertising. The Company has offered the Shares for sale only to the Purchaser.</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89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21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81915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53" w:right="339" w:bottom="1440" w:gutter="0" w:footer="0" w:header="0"/>
        </w:sectPr>
      </w:pPr>
    </w:p>
    <w:bookmarkStart w:id="13" w:name="page14"/>
    <w:bookmarkEnd w:id="13"/>
    <w:p>
      <w:pPr>
        <w:jc w:val="both"/>
        <w:ind w:left="-460" w:firstLine="644"/>
        <w:spacing w:after="0" w:line="261"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Disagreements with Accountants and Lawyers.</w:t>
      </w:r>
      <w:r>
        <w:rPr>
          <w:rFonts w:ascii="Times New Roman" w:cs="Times New Roman" w:eastAsia="Times New Roman" w:hAnsi="Times New Roman"/>
          <w:sz w:val="18"/>
          <w:szCs w:val="18"/>
          <w:color w:val="auto"/>
        </w:rPr>
        <w:t xml:space="preserve"> 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100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Shares</w:t>
      </w:r>
      <w:r>
        <w:rPr>
          <w:rFonts w:ascii="Times New Roman" w:cs="Times New Roman" w:eastAsia="Times New Roman" w:hAnsi="Times New Roman"/>
          <w:sz w:val="18"/>
          <w:szCs w:val="18"/>
          <w:color w:val="auto"/>
        </w:rPr>
        <w:t>. The Company acknowledges and agrees that the Purchaser is acting solely in the capacity of an arm’s length purchaser with respect to the Transaction Documents and the transactions contemplated thereby. The Company further acknowledges that Purchaser is not acting as a financial advisor or fiduciary of the Company (or in any similar capacity) with respect to the Transaction Documents and the transactions contemplated thereby and any advice given by the Purchaser or any of his representatives or agents in connection with the Transaction Documents and the transactions contemplated thereby is merely incidental to the Purchaser’s purchase of the Shares. The Company further represents to the Purchaser that the Company’s decision to enter into this Agreement and the other Transaction Documents has been based solely on the independent evaluation of the transactions contemplated hereby by the Company and its representatives.</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97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10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9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in a manner which would reasonably be expected to have, individually or in the aggregate, a Material Adverse Effect,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consistent in all material respects with applicable regulatory standards, customary industry practices, internal policies and contractual obligations; and (iv) the Company and the Subsidiaries have implemented backup and disaster recovery technology consistent with industry standards and practices. For purposes of clarity, the Company makes no representation in this Section 3.1(hh) regarding the IT Systems and Data used by the Company’s third-party vendors, suppliers, or other service providers.</w:t>
      </w:r>
    </w:p>
    <w:p>
      <w:pPr>
        <w:spacing w:after="0" w:line="196"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9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60" w:firstLine="644"/>
        <w:spacing w:after="0" w:line="282" w:lineRule="auto"/>
        <w:tabs>
          <w:tab w:leader="none" w:pos="97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81915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53" w:right="339" w:bottom="1440" w:gutter="0" w:footer="0" w:header="0"/>
        </w:sectPr>
      </w:pPr>
    </w:p>
    <w:bookmarkStart w:id="14" w:name="page15"/>
    <w:bookmarkEnd w:id="14"/>
    <w:p>
      <w:pPr>
        <w:jc w:val="both"/>
        <w:ind w:left="660" w:firstLine="644"/>
        <w:spacing w:after="0" w:line="256" w:lineRule="auto"/>
        <w:tabs>
          <w:tab w:leader="none" w:pos="19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72" w:lineRule="auto"/>
        <w:tabs>
          <w:tab w:leader="none" w:pos="192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Disqualification Events</w:t>
      </w:r>
      <w:r>
        <w:rPr>
          <w:rFonts w:ascii="Times New Roman" w:cs="Times New Roman" w:eastAsia="Times New Roman" w:hAnsi="Times New Roman"/>
          <w:sz w:val="17"/>
          <w:szCs w:val="17"/>
          <w:color w:val="auto"/>
        </w:rPr>
        <w:t>. With respect to the Shares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7"/>
          <w:szCs w:val="17"/>
          <w:u w:val="single" w:color="auto"/>
          <w:color w:val="auto"/>
        </w:rPr>
        <w:t>Issuer Covered Person</w:t>
      </w:r>
      <w:r>
        <w:rPr>
          <w:rFonts w:ascii="Times New Roman" w:cs="Times New Roman" w:eastAsia="Times New Roman" w:hAnsi="Times New Roman"/>
          <w:sz w:val="17"/>
          <w:szCs w:val="17"/>
          <w:color w:val="auto"/>
        </w:rPr>
        <w:t>” and, together, “</w:t>
      </w:r>
      <w:r>
        <w:rPr>
          <w:rFonts w:ascii="Times New Roman" w:cs="Times New Roman" w:eastAsia="Times New Roman" w:hAnsi="Times New Roman"/>
          <w:sz w:val="17"/>
          <w:szCs w:val="17"/>
          <w:u w:val="single" w:color="auto"/>
          <w:color w:val="auto"/>
        </w:rPr>
        <w:t>Issuer Covered Persons</w:t>
      </w:r>
      <w:r>
        <w:rPr>
          <w:rFonts w:ascii="Times New Roman" w:cs="Times New Roman" w:eastAsia="Times New Roman" w:hAnsi="Times New Roman"/>
          <w:sz w:val="17"/>
          <w:szCs w:val="17"/>
          <w:color w:val="auto"/>
        </w:rPr>
        <w:t>”) is subject to any of the “Bad Actor” disqualifications described in Rule 506(d)(1)(i) to (viii) under the Securities Act (a “</w:t>
      </w:r>
      <w:r>
        <w:rPr>
          <w:rFonts w:ascii="Times New Roman" w:cs="Times New Roman" w:eastAsia="Times New Roman" w:hAnsi="Times New Roman"/>
          <w:sz w:val="17"/>
          <w:szCs w:val="17"/>
          <w:u w:val="single" w:color="auto"/>
          <w:color w:val="auto"/>
        </w:rPr>
        <w:t>Disqualification Event</w:t>
      </w:r>
      <w:r>
        <w:rPr>
          <w:rFonts w:ascii="Times New Roman" w:cs="Times New Roman" w:eastAsia="Times New Roman" w:hAnsi="Times New Roman"/>
          <w:sz w:val="17"/>
          <w:szCs w:val="17"/>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 a copy of any disclosures provided thereunder.</w:t>
      </w:r>
    </w:p>
    <w:p>
      <w:pPr>
        <w:spacing w:after="0" w:line="171" w:lineRule="exact"/>
        <w:rPr>
          <w:rFonts w:ascii="Times New Roman" w:cs="Times New Roman" w:eastAsia="Times New Roman" w:hAnsi="Times New Roman"/>
          <w:sz w:val="17"/>
          <w:szCs w:val="17"/>
          <w:color w:val="auto"/>
        </w:rPr>
      </w:pPr>
    </w:p>
    <w:p>
      <w:pPr>
        <w:ind w:left="660" w:firstLine="644"/>
        <w:spacing w:after="0" w:line="282" w:lineRule="auto"/>
        <w:tabs>
          <w:tab w:leader="none" w:pos="20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The Company is not aware of any person (other than any Issuer Covered Person) that has been or will be paid (directly or indirectly) remuneration for solicitation of purchasers in connection with the sale of any Shares.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2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Purchaser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spacing w:after="0" w:line="176"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Representations and Warranties of the Purchaser</w:t>
      </w:r>
      <w:r>
        <w:rPr>
          <w:rFonts w:ascii="Times New Roman" w:cs="Times New Roman" w:eastAsia="Times New Roman" w:hAnsi="Times New Roman"/>
          <w:sz w:val="18"/>
          <w:szCs w:val="18"/>
          <w:color w:val="auto"/>
        </w:rPr>
        <w:t>. The Purchaser hereby represents and warrants as of the date hereof and as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to the Company as follows (unless as of a specific date therein, in which case they shall be accurate as of such date):</w:t>
      </w:r>
    </w:p>
    <w:p>
      <w:pPr>
        <w:spacing w:after="0" w:line="207" w:lineRule="exact"/>
        <w:rPr>
          <w:sz w:val="20"/>
          <w:szCs w:val="20"/>
          <w:color w:val="auto"/>
        </w:rPr>
      </w:pPr>
    </w:p>
    <w:p>
      <w:pPr>
        <w:jc w:val="both"/>
        <w:ind w:left="380" w:firstLine="924"/>
        <w:spacing w:after="0" w:line="253" w:lineRule="auto"/>
        <w:tabs>
          <w:tab w:leader="none" w:pos="20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The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the Purchaser of the transactions contemplated by the Transaction Documents have been duly authorized by all necessary corporate, partnership, limited liability company or similar action, as applicable, on the part of the Purchaser. Each Transaction Document to which it is a party has been duly executed by the Purchaser, and when delivered by the Purchaser in accordance with the terms hereof, will constitute the valid and legally binding obligation of the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 w:name="page16"/>
    <w:bookmarkEnd w:id="15"/>
    <w:p>
      <w:pPr>
        <w:jc w:val="both"/>
        <w:ind w:left="380" w:firstLine="924"/>
        <w:spacing w:after="0" w:line="256" w:lineRule="auto"/>
        <w:tabs>
          <w:tab w:leader="none" w:pos="21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 Account</w:t>
      </w:r>
      <w:r>
        <w:rPr>
          <w:rFonts w:ascii="Times New Roman" w:cs="Times New Roman" w:eastAsia="Times New Roman" w:hAnsi="Times New Roman"/>
          <w:sz w:val="18"/>
          <w:szCs w:val="18"/>
          <w:color w:val="auto"/>
        </w:rPr>
        <w:t>. The Purchaser understands that the Shares are “restricted securities” and have not been registered under the Securities Act or any applicable state securities law and is acquiring such Shares as principal for its own account and not with a view to or for distributing or reselling such Shares or any part thereof in violation of the Securities Act or any applicable state securities law, has no present intention of distributing any of such Shares in violation of the Securities Act or any applicable state securities law and has no direct or indirect arrangement or understandings with any other persons to distribute or regarding the distribution of such Shares in violation of the Securities Act or any applicable state securities law. The Purchaser is acquiring the Shares hereunder in the ordinary course of its business.</w:t>
      </w:r>
    </w:p>
    <w:p>
      <w:pPr>
        <w:spacing w:after="0" w:line="187" w:lineRule="exact"/>
        <w:rPr>
          <w:rFonts w:ascii="Times New Roman" w:cs="Times New Roman" w:eastAsia="Times New Roman" w:hAnsi="Times New Roman"/>
          <w:sz w:val="18"/>
          <w:szCs w:val="18"/>
          <w:color w:val="auto"/>
        </w:rPr>
      </w:pPr>
    </w:p>
    <w:p>
      <w:pPr>
        <w:ind w:left="380" w:right="20" w:firstLine="924"/>
        <w:spacing w:after="0" w:line="282" w:lineRule="auto"/>
        <w:tabs>
          <w:tab w:leader="none" w:pos="21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the Purchaser was offered the Shares, it was, and as of the date hereof it is (i) an “accredited investor” as defined in Rule 501(a) under the Securities Act.</w:t>
      </w:r>
    </w:p>
    <w:p>
      <w:pPr>
        <w:spacing w:after="0" w:line="161" w:lineRule="exact"/>
        <w:rPr>
          <w:rFonts w:ascii="Times New Roman" w:cs="Times New Roman" w:eastAsia="Times New Roman" w:hAnsi="Times New Roman"/>
          <w:sz w:val="18"/>
          <w:szCs w:val="18"/>
          <w:color w:val="auto"/>
        </w:rPr>
      </w:pPr>
    </w:p>
    <w:p>
      <w:pPr>
        <w:jc w:val="both"/>
        <w:ind w:left="380" w:firstLine="924"/>
        <w:spacing w:after="0" w:line="261" w:lineRule="auto"/>
        <w:tabs>
          <w:tab w:leader="none" w:pos="243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The Purchaser</w:t>
      </w:r>
      <w:r>
        <w:rPr>
          <w:rFonts w:ascii="Times New Roman" w:cs="Times New Roman" w:eastAsia="Times New Roman" w:hAnsi="Times New Roman"/>
          <w:sz w:val="18"/>
          <w:szCs w:val="18"/>
          <w:color w:val="auto"/>
        </w:rPr>
        <w:t>. The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The Purchaser is able to bear the economic risk of an investment in the Shares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jc w:val="both"/>
        <w:ind w:left="380" w:firstLine="924"/>
        <w:spacing w:after="0" w:line="255" w:lineRule="auto"/>
        <w:tabs>
          <w:tab w:leader="none" w:pos="22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The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spacing w:after="0" w:line="188" w:lineRule="exact"/>
        <w:rPr>
          <w:rFonts w:ascii="Times New Roman" w:cs="Times New Roman" w:eastAsia="Times New Roman" w:hAnsi="Times New Roman"/>
          <w:sz w:val="18"/>
          <w:szCs w:val="18"/>
          <w:color w:val="auto"/>
        </w:rPr>
      </w:pPr>
    </w:p>
    <w:p>
      <w:pPr>
        <w:jc w:val="both"/>
        <w:ind w:left="380" w:firstLine="924"/>
        <w:spacing w:after="0" w:line="258" w:lineRule="auto"/>
        <w:tabs>
          <w:tab w:leader="none" w:pos="19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the Purchaser has not, nor has any Person acting on behalf of or pursuant to any understanding with the Purchaser, directly or indirectly executed any purchases or sales, including Short Sales, of the securities of the Company during the period commencing as of the time that the Purchaser first received a term sheet (written or oral) from the Company or any other Person representing the Company setting forth the material terms of the transactions contemplated hereunder and ending immediately prior to the execution hereof.</w:t>
      </w:r>
    </w:p>
    <w:p>
      <w:pPr>
        <w:spacing w:after="0" w:line="183" w:lineRule="exact"/>
        <w:rPr>
          <w:rFonts w:ascii="Times New Roman" w:cs="Times New Roman" w:eastAsia="Times New Roman" w:hAnsi="Times New Roman"/>
          <w:sz w:val="18"/>
          <w:szCs w:val="18"/>
          <w:color w:val="auto"/>
        </w:rPr>
      </w:pPr>
    </w:p>
    <w:p>
      <w:pPr>
        <w:jc w:val="both"/>
        <w:ind w:left="380" w:firstLine="924"/>
        <w:spacing w:after="0" w:line="266" w:lineRule="auto"/>
        <w:tabs>
          <w:tab w:leader="none" w:pos="22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The Purchaser is not purchasing the Shares as a result of any advertisement, article, notice or other communication regarding the Shares published in any newspaper, magazine or similar media or broadcast over television or radio or presented at any seminar or, to the knowledge of the Purchaser, any other general solicitation or general advertisement.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the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auto"/>
        </w:rPr>
        <w:t>Transfer Restrictions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820" w:firstLine="646"/>
        <w:spacing w:after="0" w:line="256" w:lineRule="auto"/>
        <w:tabs>
          <w:tab w:leader="none" w:pos="19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may only be disposed of in compliance with state and federal securities laws. In connection with any transfer of the Shares other than pursuant to an effective registration statement or Rule 144, to the Company or to an Affiliate of the Purchaser,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Shares under the Securities Act. As a condition of transfer, any such transferee shall agree in writing to be bound by the terms of this Agreement and shall have the rights and obligations of the Purchaser under this Agreement.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 w:name="page17"/>
    <w:bookmarkEnd w:id="16"/>
    <w:p>
      <w:pPr>
        <w:ind w:left="2120" w:hanging="654"/>
        <w:spacing w:after="0"/>
        <w:tabs>
          <w:tab w:leader="none" w:pos="2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agrees to the imprinting, so long as is required by this Section 4.1, of a legend on any of the Shares in the</w:t>
      </w:r>
    </w:p>
    <w:p>
      <w:pPr>
        <w:spacing w:after="0" w:line="27"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form:</w:t>
      </w:r>
    </w:p>
    <w:p>
      <w:pPr>
        <w:spacing w:after="0" w:line="20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2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Shares in a manner that would require the registration under the Securities Act of the sale of the Shares or that would be integrated with the offer or sale of the Shares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Securities Laws Disclosure</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the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the Purchaser could be deemed to trigger the provisions of any such plan or arrangement, by virtue of receiving Shares under the Transaction Documents or under any other agreement between the Company and the Purchaser.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4.5</w:t>
            </w:r>
          </w:p>
        </w:tc>
        <w:tc>
          <w:tcPr>
            <w:tcW w:w="98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Use of Proceeds. The Company shall use the net proceeds from the sale of the Shares hereunder for general corporate purposes and</w:t>
            </w:r>
          </w:p>
        </w:tc>
      </w:tr>
      <w:tr>
        <w:trPr>
          <w:trHeight w:val="237"/>
        </w:trPr>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working capital.</w:t>
            </w:r>
          </w:p>
        </w:tc>
        <w:tc>
          <w:tcPr>
            <w:tcW w:w="20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8480" w:type="dxa"/>
            <w:vAlign w:val="bottom"/>
          </w:tcPr>
          <w:p>
            <w:pPr>
              <w:spacing w:after="0"/>
              <w:rPr>
                <w:sz w:val="20"/>
                <w:szCs w:val="20"/>
                <w:color w:val="auto"/>
              </w:rPr>
            </w:pPr>
          </w:p>
        </w:tc>
      </w:tr>
    </w:tbl>
    <w:p>
      <w:pPr>
        <w:spacing w:after="0" w:line="19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Indemnification of Purchaser</w:t>
      </w:r>
      <w:r>
        <w:rPr>
          <w:rFonts w:ascii="Times New Roman" w:cs="Times New Roman" w:eastAsia="Times New Roman" w:hAnsi="Times New Roman"/>
          <w:sz w:val="18"/>
          <w:szCs w:val="18"/>
          <w:color w:val="auto"/>
        </w:rPr>
        <w:t>. Subject to the provisions of this Section 4.6, the Company will indemnify and hold the Purchaser harmless from any and all losses, liabilities, obligations, claims, contingencies, damages, costs and expenses, including all judgments, amounts paid in settlements, court costs and reasonable attorneys’ fees and costs of investigation that the Purchaser may suffer or incur as a result of or relating to (a) any breach of any of the representations, warranties, covenants or agreements made by the Company in this Agreement or in the other Transaction Documents or (b) any action instituted against the Purchaser in any capacity, or any of them or their respective Affiliates, by any stockholder of the Company who is not an Affiliate of the Purchaser, with respect to any of the transactions contemplated by the Transaction Documents (unless such action is solely based upon a material breach of the Purchaser’s representations, warranties or covenants under the Transaction Documents or any agreements or understandings the Purchaser may have with any such stockholder or any violations by the Purchaser of state or federal securities laws or any conduct by the Purchaser which is finally judicially determined to constitute fraud, gross negligence or willful misconduct). If any action shall be brought against the Purchaser in respect of which indemnity may be sought pursuant to this Agreement, the Purchaser shall promptly notify the Company in writing, and the Company shall have the right to assume the defense thereof with counsel of its own choosing reasonably acceptable to the Purchaser. The Purchaser shall have the right to employ separate counsel in any such action and participate in the defense thereof, but the fees and expenses of such counsel shall be at the expense of the Purchaser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the Purchaser, in which case the Company shall be responsible for the reasonable fees and expenses of no more than one such separate counsel. The Company will not be liable to the Purchaser under this Agreement (1) for any settlement by the Purchaser effected without the Company’s prior written consent, which shall not be unreasonably conditioned, withheld or delayed; or (2) to the extent, but only to the extent that a loss, claim, damage or liability is attributable to the Purchaser’s breach of any of the representations, warranties, covenants or agreements made by the Purchaser in this Agreement or in the other Transaction Documents. The indemnification required by this Section 4.6 shall be made by periodic payments of the amount thereof during the course of the investigation or defense, as and when bills are received or are incurred. The indemnity agreements contained herein shall be in addition to any cause of action or similar right of the Purchaser against the Company or others and any liabilities the Company may be subject to pursuant to law.</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 w:name="page18"/>
    <w:bookmarkEnd w:id="1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The Purchaser covenants that neither he nor any Affiliate acting on his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4.3. The Purchaser covenants that until such time as the transactions contemplated by this Agreement are publicly disclosed by the Company pursuant to the initial press release as described in Section 4.3, the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the Purchaser makes no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4.3.</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The Company agrees to timely file a Form D with respect to the Shares as required under Regulation D and to provide a copy thereof, promptly upon request of the Purchaser. The Company shall take such action as the Company shall reasonably determine is necessary in order to obtain an exemption for, or to qualify the Shares for, sale to the Purchaser at the Closing under applicable securities or “Blue Sky” laws of the states of the United States, and shall provide evidence of such actions promptly upon request of the Purchaser.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the Purchase by written notice to the Company if the Closing has not been consummated on or before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w:t>
      </w:r>
    </w:p>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the Purchaser), stamp taxes and other taxes and duties levied in connection with the delivery of any Shares to the Purchaser.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 p.m. (New York City time) on any Trading Day, (c)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the Purchaser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the Purchaser (other than by merger). The Purchaser may assign any or all of its rights under this Agreement to any Person to whom the Purchaser assigns or transfers any Shares, provided that such transferee agrees in writing to be bound, with respect to the transferred Shares, by the provisions of the Transaction Documents that apply to the “Purchaser.”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is intended for the benefit of the parties hereto and their respective successors and permitted assigns and is not for the benefit of, nor may any provision hereof be enforced by, any other Person, except as otherwise set forth in Section 4.6 and this Section 5.8.</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 Jurisdiction and Venue</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Delaware,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State of Delaware. Each party hereby irrevocably submits to the exclusive jurisdiction of the state and federal courts sitting in the State of Delaware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4.6,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Shares.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the Purchaser exercises a right, election, demand or option under a Transaction Document and the Company does not timely perform its related obligations within the periods therein provided, then the Purchaser may rescind or withdraw, in its sole discretion from time to time upon written notice to the Company, any relevant notice, demand or election in whole or in part without prejudice to its future actions and rights.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Shares</w:t>
      </w:r>
      <w:r>
        <w:rPr>
          <w:rFonts w:ascii="Times New Roman" w:cs="Times New Roman" w:eastAsia="Times New Roman" w:hAnsi="Times New Roman"/>
          <w:sz w:val="18"/>
          <w:szCs w:val="18"/>
          <w:color w:val="auto"/>
        </w:rPr>
        <w:t>. If any certificate or instrument evidencing any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Shares.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the Purchaser pursuant to any Transaction Document or the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18"/>
          <w:szCs w:val="18"/>
          <w:color w:val="auto"/>
        </w:rPr>
        <w:t>5.19</w:t>
      </w:r>
      <w:r>
        <w:rPr>
          <w:sz w:val="20"/>
          <w:szCs w:val="20"/>
          <w:color w:val="auto"/>
        </w:rPr>
        <w:tab/>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IN ANY ACTION, SUIT, OR PROCEEDING IN ANY JURISDICTION BROUGHT BY ANY</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PARTY AGAINST ANY OTHER PARTY, THE PARTIES EACH KNOWINGLY AND INTENTIONALLY, TO THE GREATEST EXTENT PERMITTED BY APPLICABLE LAW, HEREBY ABSOLUTELY, UNCONDITIONALLY, IRREVOCABLY AND EXPRESSLY WAIVES FOREVER TRIAL BY JURY.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364"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CLEARONE, INC.</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 for Notice:</w:t>
            </w:r>
          </w:p>
        </w:tc>
      </w:tr>
      <w:tr>
        <w:trPr>
          <w:trHeight w:val="412"/>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/s/Derek L. Graham</w:t>
            </w:r>
          </w:p>
        </w:tc>
        <w:tc>
          <w:tcPr>
            <w:tcW w:w="14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r>
      <w:tr>
        <w:trPr>
          <w:trHeight w:val="218"/>
        </w:trPr>
        <w:tc>
          <w:tcPr>
            <w:tcW w:w="6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Name: Derek L. Graham</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E-Mail: legal@clearone.com</w:t>
            </w:r>
          </w:p>
        </w:tc>
      </w:tr>
      <w:tr>
        <w:trPr>
          <w:trHeight w:val="216"/>
        </w:trPr>
        <w:tc>
          <w:tcPr>
            <w:tcW w:w="6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Title: CEO</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Fax: 801-977-0087</w:t>
            </w:r>
          </w:p>
        </w:tc>
      </w:tr>
      <w:tr>
        <w:trPr>
          <w:trHeight w:val="234"/>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14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81"/>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Seyfarth Shaw LLP</w:t>
            </w: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700 Milam Street, Suite 1400</w:t>
            </w:r>
          </w:p>
        </w:tc>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Houston, Texas 77002</w:t>
            </w:r>
          </w:p>
        </w:tc>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Email: mdunn@seyfarth.com</w:t>
            </w:r>
          </w:p>
        </w:tc>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4"/>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Attention: Michael T. Dunn</w:t>
            </w:r>
          </w:p>
        </w:tc>
        <w:tc>
          <w:tcPr>
            <w:tcW w:w="1420" w:type="dxa"/>
            <w:vAlign w:val="bottom"/>
          </w:tcPr>
          <w:p>
            <w:pPr>
              <w:spacing w:after="0"/>
              <w:rPr>
                <w:sz w:val="20"/>
                <w:szCs w:val="20"/>
                <w:color w:val="auto"/>
              </w:rPr>
            </w:pPr>
          </w:p>
        </w:tc>
        <w:tc>
          <w:tcPr>
            <w:tcW w:w="6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1" w:name="page22"/>
    <w:bookmarkEnd w:id="21"/>
    <w:p>
      <w:pPr>
        <w:ind w:left="2200"/>
        <w:spacing w:after="0"/>
        <w:rPr>
          <w:sz w:val="20"/>
          <w:szCs w:val="20"/>
          <w:color w:val="auto"/>
        </w:rPr>
      </w:pPr>
      <w:r>
        <w:rPr>
          <w:rFonts w:ascii="Times New Roman" w:cs="Times New Roman" w:eastAsia="Times New Roman" w:hAnsi="Times New Roman"/>
          <w:sz w:val="18"/>
          <w:szCs w:val="18"/>
          <w:color w:val="auto"/>
        </w:rPr>
        <w:t>[PURCHASER SIGNATURE PAGES TO CLRO SECURITIES PURCHASE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WITNESS WHEREOF, the undersigned has executed this Securities Purchase Agreement as of the date first indicated above.</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Edward D. Bagley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Purchaser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/s/Edward D. Bagley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-6350</wp:posOffset>
            </wp:positionV>
            <wp:extent cx="11791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79195" cy="8890"/>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Purchaser: Dal.Bagley@comcast.net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2350 Oak Hill Lane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 84121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Shares to Purchaser (if not same as address for notice):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139"/>
      </w:cols>
      <w:pgMar w:left="320" w:top="5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Letter"/>
      <w:start w:val="1"/>
    </w:lvl>
    <w:lvl w:ilvl="1">
      <w:lvlJc w:val="left"/>
      <w:lvlText w:val="(%2)"/>
      <w:numFmt w:val="lowerRoman"/>
      <w:start w:val="1"/>
    </w:lvl>
  </w:abstractNum>
  <w:abstractNum w:abstractNumId="2">
    <w:nsid w:val="12200854"/>
    <w:multiLevelType w:val="hybridMultilevel"/>
    <w:lvl w:ilvl="0">
      <w:lvlJc w:val="left"/>
      <w:lvlText w:val="(%1)"/>
      <w:numFmt w:val="lowerLetter"/>
      <w:start w:val="1"/>
    </w:lvl>
    <w:lvl w:ilvl="1">
      <w:lvlJc w:val="left"/>
      <w:lvlText w:val="(%2)"/>
      <w:numFmt w:val="lowerRoman"/>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lowerLetter"/>
      <w:start w:val="5"/>
    </w:lvl>
  </w:abstractNum>
  <w:abstractNum w:abstractNumId="5">
    <w:nsid w:val="1F16E9E8"/>
    <w:multiLevelType w:val="hybridMultilevel"/>
    <w:lvl w:ilvl="0">
      <w:lvlJc w:val="left"/>
      <w:lvlText w:val="(%1)"/>
      <w:numFmt w:val="lowerLetter"/>
      <w:start w:val="9"/>
    </w:lvl>
  </w:abstractNum>
  <w:abstractNum w:abstractNumId="6">
    <w:nsid w:val="1190CDE7"/>
    <w:multiLevelType w:val="hybridMultilevel"/>
    <w:lvl w:ilvl="0">
      <w:lvlJc w:val="left"/>
      <w:lvlText w:val="(%1)"/>
      <w:numFmt w:val="lowerLetter"/>
      <w:start w:val="13"/>
    </w:lvl>
  </w:abstractNum>
  <w:abstractNum w:abstractNumId="7">
    <w:nsid w:val="66EF438D"/>
    <w:multiLevelType w:val="hybridMultilevel"/>
    <w:lvl w:ilvl="0">
      <w:lvlJc w:val="left"/>
      <w:lvlText w:val="(%1)"/>
      <w:numFmt w:val="lowerLetter"/>
      <w:start w:val="18"/>
    </w:lvl>
  </w:abstractNum>
  <w:abstractNum w:abstractNumId="8">
    <w:nsid w:val="140E0F76"/>
    <w:multiLevelType w:val="hybridMultilevel"/>
    <w:lvl w:ilvl="0">
      <w:lvlJc w:val="left"/>
      <w:lvlText w:val="(%1)"/>
      <w:numFmt w:val="lowerLetter"/>
      <w:start w:val="24"/>
    </w:lvl>
  </w:abstractNum>
  <w:abstractNum w:abstractNumId="9">
    <w:nsid w:val="3352255A"/>
    <w:multiLevelType w:val="hybridMultilevel"/>
    <w:lvl w:ilvl="0">
      <w:lvlJc w:val="left"/>
      <w:lvlText w:val="(%1)"/>
      <w:numFmt w:val="lowerLetter"/>
      <w:start w:val="27"/>
    </w:lvl>
  </w:abstractNum>
  <w:abstractNum w:abstractNumId="10">
    <w:nsid w:val="109CF92E"/>
    <w:multiLevelType w:val="hybridMultilevel"/>
    <w:lvl w:ilvl="0">
      <w:lvlJc w:val="left"/>
      <w:lvlText w:val="(%1)"/>
      <w:numFmt w:val="lowerLetter"/>
      <w:start w:val="30"/>
    </w:lvl>
  </w:abstractNum>
  <w:abstractNum w:abstractNumId="11">
    <w:nsid w:val="DED7263"/>
    <w:multiLevelType w:val="hybridMultilevel"/>
    <w:lvl w:ilvl="0">
      <w:lvlJc w:val="left"/>
      <w:lvlText w:val="(%1)"/>
      <w:numFmt w:val="lowerLetter"/>
      <w:start w:val="37"/>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2"/>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2025-02-27T08:35:19Z</dcterms:created>
  <dcterms:modified xsi:type="dcterms:W3CDTF">2025-02-27T08:35:19Z</dcterms:modified>
</cp:coreProperties>
</file>