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jc w:val="right"/>
        <w:ind w:left="4020" w:right="3940" w:hanging="4012"/>
        <w:spacing w:after="0" w:line="598" w:lineRule="auto"/>
        <w:tabs>
          <w:tab w:leader="none" w:pos="58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2008</w:t>
      </w:r>
    </w:p>
    <w:p>
      <w:pPr>
        <w:spacing w:after="0" w:line="1"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3440" w:type="dxa"/>
        <w:tblCellMar>
          <w:top w:w="0" w:type="dxa"/>
          <w:left w:w="0" w:type="dxa"/>
          <w:bottom w:w="0" w:type="dxa"/>
          <w:right w:w="0" w:type="dxa"/>
        </w:tblCellMar>
      </w:tblPr>
      <w:tr>
        <w:trPr>
          <w:trHeight w:val="241"/>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Utah</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2480" w:type="dxa"/>
            <w:vAlign w:val="bottom"/>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180" w:type="dxa"/>
            <w:vAlign w:val="bottom"/>
          </w:tcPr>
          <w:p>
            <w:pPr>
              <w:spacing w:after="0"/>
              <w:rPr>
                <w:sz w:val="17"/>
                <w:szCs w:val="17"/>
                <w:color w:val="auto"/>
              </w:rPr>
            </w:pPr>
          </w:p>
        </w:tc>
        <w:tc>
          <w:tcPr>
            <w:tcW w:w="190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8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1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5225 Wiley Post Way, Suite 500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8"/>
        </w:trPr>
        <w:tc>
          <w:tcPr>
            <w:tcW w:w="248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Salt Lake City, Utah</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84116</w:t>
            </w:r>
          </w:p>
        </w:tc>
      </w:tr>
      <w:tr>
        <w:trPr>
          <w:trHeight w:val="230"/>
        </w:trPr>
        <w:tc>
          <w:tcPr>
            <w:tcW w:w="3120" w:type="dxa"/>
            <w:vAlign w:val="bottom"/>
            <w:tcBorders>
              <w:top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4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13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553" w:right="319" w:bottom="1440" w:gutter="0" w:footer="0" w:header="0"/>
        </w:sectPr>
      </w:pP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40" w:space="720"/>
            <w:col w:w="3480"/>
          </w:cols>
          <w:pgMar w:left="240" w:top="553" w:right="319" w:bottom="1440" w:gutter="0" w:footer="0" w:header="0"/>
          <w:type w:val="continuous"/>
        </w:sectPr>
      </w:pP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10,288,780 shares of the Company’s Common Stock, par value $0.001, outstanding on May 13,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020" w:type="dxa"/>
            <w:vAlign w:val="bottom"/>
          </w:tcPr>
          <w:p>
            <w:pPr>
              <w:jc w:val="center"/>
              <w:ind w:left="330"/>
              <w:spacing w:after="0"/>
              <w:rPr>
                <w:sz w:val="20"/>
                <w:szCs w:val="20"/>
                <w:color w:val="auto"/>
              </w:rPr>
            </w:pPr>
            <w:r>
              <w:rPr>
                <w:rFonts w:ascii="Arial" w:cs="Arial" w:eastAsia="Arial" w:hAnsi="Arial"/>
                <w:sz w:val="18"/>
                <w:szCs w:val="18"/>
                <w:b w:val="1"/>
                <w:bCs w:val="1"/>
                <w:color w:val="auto"/>
              </w:rPr>
              <w:t>CLEARONE COMMUNICATIONS, INC.</w:t>
            </w:r>
          </w:p>
        </w:tc>
        <w:tc>
          <w:tcPr>
            <w:tcW w:w="1400" w:type="dxa"/>
            <w:vAlign w:val="bottom"/>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b w:val="1"/>
                <w:bCs w:val="1"/>
                <w:color w:val="auto"/>
              </w:rPr>
              <w:t>INDEX TO FORM 10-Q</w:t>
            </w:r>
          </w:p>
        </w:tc>
        <w:tc>
          <w:tcPr>
            <w:tcW w:w="140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902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FOR THE QUARTER ENDED MARCH 31, 2008</w:t>
            </w:r>
          </w:p>
        </w:tc>
        <w:tc>
          <w:tcPr>
            <w:tcW w:w="1400" w:type="dxa"/>
            <w:vAlign w:val="bottom"/>
          </w:tcPr>
          <w:p>
            <w:pPr>
              <w:spacing w:after="0"/>
              <w:rPr>
                <w:sz w:val="24"/>
                <w:szCs w:val="24"/>
                <w:color w:val="auto"/>
              </w:rPr>
            </w:pPr>
          </w:p>
        </w:tc>
      </w:tr>
      <w:tr>
        <w:trPr>
          <w:trHeight w:val="466"/>
        </w:trPr>
        <w:tc>
          <w:tcPr>
            <w:tcW w:w="100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Page Number</w:t>
            </w:r>
          </w:p>
        </w:tc>
      </w:tr>
      <w:tr>
        <w:trPr>
          <w:trHeight w:val="45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Disclosure Regarding Forward-Looking Statements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459"/>
        </w:trPr>
        <w:tc>
          <w:tcPr>
            <w:tcW w:w="1000" w:type="dxa"/>
            <w:vAlign w:val="bottom"/>
          </w:tcPr>
          <w:p>
            <w:pPr>
              <w:spacing w:after="0"/>
              <w:rPr>
                <w:sz w:val="24"/>
                <w:szCs w:val="24"/>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color w:val="auto"/>
                <w:w w:val="98"/>
              </w:rPr>
              <w:t>PART I – FINANCIAL INFORMATION</w:t>
            </w:r>
          </w:p>
        </w:tc>
        <w:tc>
          <w:tcPr>
            <w:tcW w:w="1400" w:type="dxa"/>
            <w:vAlign w:val="bottom"/>
          </w:tcPr>
          <w:p>
            <w:pPr>
              <w:spacing w:after="0"/>
              <w:rPr>
                <w:sz w:val="24"/>
                <w:szCs w:val="24"/>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c>
          <w:tcPr>
            <w:tcW w:w="14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Condensed Consolidated Financial Statements</w:t>
            </w:r>
          </w:p>
        </w:tc>
        <w:tc>
          <w:tcPr>
            <w:tcW w:w="1400" w:type="dxa"/>
            <w:vAlign w:val="bottom"/>
          </w:tcPr>
          <w:p>
            <w:pPr>
              <w:spacing w:after="0"/>
              <w:rPr>
                <w:sz w:val="18"/>
                <w:szCs w:val="18"/>
                <w:color w:val="auto"/>
              </w:rPr>
            </w:pPr>
          </w:p>
        </w:tc>
      </w:tr>
      <w:tr>
        <w:trPr>
          <w:trHeight w:val="459"/>
        </w:trPr>
        <w:tc>
          <w:tcPr>
            <w:tcW w:w="1000" w:type="dxa"/>
            <w:vAlign w:val="bottom"/>
            <w:shd w:val="clear" w:color="auto" w:fill="CCEEFF"/>
          </w:tcPr>
          <w:p>
            <w:pPr>
              <w:spacing w:after="0"/>
              <w:rPr>
                <w:sz w:val="24"/>
                <w:szCs w:val="24"/>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Condensed Consolidated Balance Sheets as of March 31, 2008 and June 30, 2007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445"/>
        </w:trPr>
        <w:tc>
          <w:tcPr>
            <w:tcW w:w="1000" w:type="dxa"/>
            <w:vAlign w:val="bottom"/>
          </w:tcPr>
          <w:p>
            <w:pPr>
              <w:spacing w:after="0"/>
              <w:rPr>
                <w:sz w:val="24"/>
                <w:szCs w:val="24"/>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w w:val="95"/>
              </w:rPr>
              <w:t>Condensed Consolidated Statements of Income for the three months ended March 31, 2008 and 2007 and the nine</w:t>
            </w:r>
          </w:p>
        </w:tc>
        <w:tc>
          <w:tcPr>
            <w:tcW w:w="14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months ended March 31, 2008 and 2007</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59"/>
        </w:trPr>
        <w:tc>
          <w:tcPr>
            <w:tcW w:w="1000" w:type="dxa"/>
            <w:vAlign w:val="bottom"/>
            <w:shd w:val="clear" w:color="auto" w:fill="CCEEFF"/>
          </w:tcPr>
          <w:p>
            <w:pPr>
              <w:spacing w:after="0"/>
              <w:rPr>
                <w:sz w:val="24"/>
                <w:szCs w:val="24"/>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Condensed Consolidated Statements of Cash Flows for the nine months ended March 31, 2008 and 2007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459"/>
        </w:trPr>
        <w:tc>
          <w:tcPr>
            <w:tcW w:w="1000" w:type="dxa"/>
            <w:vAlign w:val="bottom"/>
          </w:tcPr>
          <w:p>
            <w:pPr>
              <w:spacing w:after="0"/>
              <w:rPr>
                <w:sz w:val="24"/>
                <w:szCs w:val="24"/>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02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459"/>
        </w:trPr>
        <w:tc>
          <w:tcPr>
            <w:tcW w:w="1000" w:type="dxa"/>
            <w:vAlign w:val="bottom"/>
          </w:tcPr>
          <w:p>
            <w:pPr>
              <w:spacing w:after="0"/>
              <w:rPr>
                <w:sz w:val="24"/>
                <w:szCs w:val="24"/>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color w:val="auto"/>
                <w:w w:val="95"/>
              </w:rPr>
              <w:t>PART II – OTHER INFORMATION</w:t>
            </w:r>
          </w:p>
        </w:tc>
        <w:tc>
          <w:tcPr>
            <w:tcW w:w="1400" w:type="dxa"/>
            <w:vAlign w:val="bottom"/>
          </w:tcPr>
          <w:p>
            <w:pPr>
              <w:spacing w:after="0"/>
              <w:rPr>
                <w:sz w:val="24"/>
                <w:szCs w:val="24"/>
                <w:color w:val="auto"/>
              </w:rPr>
            </w:pP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2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020" w:type="dxa"/>
            <w:vAlign w:val="bottom"/>
          </w:tcPr>
          <w:p>
            <w:pPr>
              <w:ind w:left="260"/>
              <w:spacing w:after="0"/>
              <w:rPr>
                <w:sz w:val="20"/>
                <w:szCs w:val="20"/>
                <w:color w:val="auto"/>
              </w:rPr>
            </w:pPr>
            <w:r>
              <w:rPr>
                <w:rFonts w:ascii="Arial" w:cs="Arial" w:eastAsia="Arial" w:hAnsi="Arial"/>
                <w:sz w:val="18"/>
                <w:szCs w:val="18"/>
                <w:color w:val="auto"/>
              </w:rPr>
              <w:t>Defaults Upon Senior Securities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02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Signatures</w:t>
            </w:r>
          </w:p>
        </w:tc>
        <w:tc>
          <w:tcPr>
            <w:tcW w:w="90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851"/>
        </w:trPr>
        <w:tc>
          <w:tcPr>
            <w:tcW w:w="1000" w:type="dxa"/>
            <w:vAlign w:val="bottom"/>
          </w:tcPr>
          <w:p>
            <w:pPr>
              <w:spacing w:after="0"/>
              <w:rPr>
                <w:sz w:val="24"/>
                <w:szCs w:val="24"/>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color w:val="auto"/>
                <w:w w:val="99"/>
              </w:rPr>
              <w:t>2</w:t>
            </w:r>
          </w:p>
        </w:tc>
        <w:tc>
          <w:tcPr>
            <w:tcW w:w="1400" w:type="dxa"/>
            <w:vAlign w:val="bottom"/>
          </w:tcPr>
          <w:p>
            <w:pPr>
              <w:spacing w:after="0"/>
              <w:rPr>
                <w:sz w:val="24"/>
                <w:szCs w:val="24"/>
                <w:color w:val="auto"/>
              </w:rPr>
            </w:pPr>
          </w:p>
        </w:tc>
      </w:tr>
      <w:tr>
        <w:trPr>
          <w:trHeight w:val="118"/>
        </w:trPr>
        <w:tc>
          <w:tcPr>
            <w:tcW w:w="1000" w:type="dxa"/>
            <w:vAlign w:val="bottom"/>
            <w:tcBorders>
              <w:bottom w:val="single" w:sz="8" w:color="808080"/>
            </w:tcBorders>
          </w:tcPr>
          <w:p>
            <w:pPr>
              <w:spacing w:after="0"/>
              <w:rPr>
                <w:sz w:val="10"/>
                <w:szCs w:val="10"/>
                <w:color w:val="auto"/>
              </w:rPr>
            </w:pPr>
          </w:p>
        </w:tc>
        <w:tc>
          <w:tcPr>
            <w:tcW w:w="90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expansion, potential acquisitions, goals, and objectives. Forward-looking statements are contained in this report in certain estimates and assumptions used in the preparation of our financial statements and in Item 2, “Management’s Discussion and Analysis of Financial Condition and Results of Operations,” Item 3, “Quantitative and Qualitative Disclosures About Market Risk,” and Item 4, “Controls and Procedures” included in this Quarterly Report on Form 10-</w:t>
      </w:r>
    </w:p>
    <w:p>
      <w:pPr>
        <w:spacing w:after="0" w:line="5" w:lineRule="exact"/>
        <w:rPr>
          <w:sz w:val="20"/>
          <w:szCs w:val="20"/>
          <w:color w:val="auto"/>
        </w:rPr>
      </w:pPr>
    </w:p>
    <w:p>
      <w:pPr>
        <w:ind w:firstLine="8"/>
        <w:spacing w:after="0" w:line="287" w:lineRule="auto"/>
        <w:tabs>
          <w:tab w:leader="none" w:pos="26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changes in circumstances, or changes in estimates.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PART I – FINANCIAL INFORMATION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6940" w:type="dxa"/>
            <w:vAlign w:val="bottom"/>
          </w:tcPr>
          <w:p>
            <w:pPr>
              <w:jc w:val="center"/>
              <w:ind w:left="2010"/>
              <w:spacing w:after="0"/>
              <w:rPr>
                <w:sz w:val="20"/>
                <w:szCs w:val="20"/>
                <w:color w:val="auto"/>
              </w:rPr>
            </w:pPr>
            <w:r>
              <w:rPr>
                <w:rFonts w:ascii="Arial" w:cs="Arial" w:eastAsia="Arial" w:hAnsi="Arial"/>
                <w:sz w:val="18"/>
                <w:szCs w:val="18"/>
                <w:b w:val="1"/>
                <w:bCs w:val="1"/>
                <w:color w:val="auto"/>
              </w:rPr>
              <w:t>CLEARONE COMMUNICATIONS, INC.</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940" w:type="dxa"/>
            <w:vAlign w:val="bottom"/>
          </w:tcPr>
          <w:p>
            <w:pPr>
              <w:jc w:val="center"/>
              <w:ind w:left="201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380"/>
              <w:spacing w:after="0"/>
              <w:rPr>
                <w:sz w:val="20"/>
                <w:szCs w:val="20"/>
                <w:color w:val="auto"/>
              </w:rPr>
            </w:pPr>
            <w:r>
              <w:rPr>
                <w:rFonts w:ascii="Arial" w:cs="Arial" w:eastAsia="Arial" w:hAnsi="Arial"/>
                <w:sz w:val="18"/>
                <w:szCs w:val="18"/>
                <w:color w:val="auto"/>
              </w:rPr>
              <w:t>of $69 and $54, respectively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Securities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Note Receiveable - long-term</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39,621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10,444,810 and 10,861,920 shares issued and outstanding, respectively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39,621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7"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Nine Months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Borders>
              <w:top w:val="single" w:sz="8" w:color="auto"/>
            </w:tcBorders>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rPr>
              <w:t>March 31,</w:t>
            </w:r>
          </w:p>
        </w:tc>
        <w:tc>
          <w:tcPr>
            <w:tcW w:w="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98"/>
              </w:rPr>
              <w:t>March 31,</w:t>
            </w: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&amp; Marketing</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General &amp; administrative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from continuing operations before income taxes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disposal of discontinued operations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4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gridSpan w:val="11"/>
            <w:shd w:val="clear" w:color="auto" w:fill="CCEEFF"/>
          </w:tcPr>
          <w:p>
            <w:pPr>
              <w:ind w:left="192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6"/>
              </w:rPr>
              <w:t>Three Months Ended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March 31,</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earnings per common share from continuing operations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Diluted earnings per common share from continuing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Basic earnings per common share from discontinued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1"/>
              </w:rPr>
              <w:t>Diluted earnings per common share from discontinued operations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10,651,352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10,994,607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10,818,205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11,705,853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10,747,317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11,101,791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10,921,932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11,770,145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8"/>
              </w:rPr>
              <w:t>March 31,</w:t>
            </w: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Adjustments to reconcile net income from continuing operations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 net cash provided by (used in) operations: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(Recovery) Write-off of inventory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assets and fixed assets write-offs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Deposit - Bond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receivable - Ken-A-Vision</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continuing operating activities</w:t>
            </w:r>
          </w:p>
        </w:tc>
        <w:tc>
          <w:tcPr>
            <w:tcW w:w="1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Net cash provided by discontinued operating activities</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intellectual property</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continuing investing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Proceeds from common stock</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and retirement of stock</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Tax Benefit attributable to exercise of stock options</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(2,712)</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Exchanged accounts receivable from a vendor with accounts payable to same vendor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160"/>
              <w:spacing w:after="0" w:line="201" w:lineRule="exact"/>
              <w:rPr>
                <w:sz w:val="20"/>
                <w:szCs w:val="20"/>
                <w:color w:val="auto"/>
              </w:rPr>
            </w:pPr>
            <w:r>
              <w:rPr>
                <w:rFonts w:ascii="Arial" w:cs="Arial" w:eastAsia="Arial" w:hAnsi="Arial"/>
                <w:sz w:val="18"/>
                <w:szCs w:val="18"/>
                <w:color w:val="auto"/>
                <w:w w:val="93"/>
              </w:rPr>
              <w:t>Increase in accumulated deficit and income tax liability as a result of the adoption of FIN48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(see Note 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incentive for Edgewater leasehold improvements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accompanying condensed consolidated financial statements, consisting of the condensed consolidated balance sheets as of March 31, 2008 and June 30, 2007, the condensed consolidated statements of income for the three and nine months ended March 31, 2008 and 2007, and the condensed consolidated statements of cash flows for the nine months ended March 31, 2008 and 2007, have been prepared in accordance with accounting principles generally accepted in the United States for interim financial information and with the instructions to Form 10-Q.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2007.</w:t>
      </w:r>
    </w:p>
    <w:p>
      <w:pPr>
        <w:spacing w:after="0" w:line="2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March 31, 2008 and June 30, 2007 (in thousands):</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Payment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March 31, 2008 the Company had two share-based compensation plans, one that was replaced on November 20, 2007, and one that became active on the same date. The plans are described below.</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1998 Incentive Plan (the “1998 Plan”) had shares of common stock available for issuance to employees and directors. Provisions of the 1998 Plan include the granting of incentive and non-qualified stock options. Through December 1999, 1,066,000 options were granted that would cliff, or fully,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March 31, 2008, 20,000 and 125,250 of these options that cliff vest after 9.8 and 6.0 years, respectively, remain outstanding.</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9" w:name="page10"/>
    <w:bookmarkEnd w:id="9"/>
    <w:p>
      <w:pPr>
        <w:ind w:right="320"/>
        <w:spacing w:after="0" w:line="302" w:lineRule="auto"/>
        <w:rPr>
          <w:sz w:val="20"/>
          <w:szCs w:val="20"/>
          <w:color w:val="auto"/>
        </w:rPr>
      </w:pPr>
      <w:r>
        <w:rPr>
          <w:rFonts w:ascii="Arial" w:cs="Arial" w:eastAsia="Arial" w:hAnsi="Arial"/>
          <w:sz w:val="16"/>
          <w:szCs w:val="16"/>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its sole discretion, determine, or in the absence of a Compensation Committee, a properly constituted Compensation Committee or the Board itself.</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 the options granted subsequent to June 2002, all vesting schedules are based on three- or four-year vesting schedules, with either one-third or one-fourth vesting on the first anniversary and the remaining options vesting ratably over the remainder of the vesting term. Generally, directors and officers have three-year vesting schedules and all other employees have four-year vesting schedules. Additionally, in the event of a change in control or the occurrence of an extraordinary corporate transaction, the Company’s Board of Directors has the authority to elect that all unvested options shall vest and become exercisable immediately prior to the event or closing of the transaction. All options outstanding as of March 31, 2008 had contractual lives of ten years. Under the 1998 Plan, 2,500,000 shares were authorized for grant. As of March 31, 2008, there were 1,230,158 options outstanding under the 1998 Plan, which includes the cliff vesting and three or four-year vesting options discussed above. As of March 31, 2008, 1,500 options had been granted under the 2007 Plan leaving 998,500 options available for granting.</w:t>
      </w:r>
    </w:p>
    <w:p>
      <w:pPr>
        <w:spacing w:after="0" w:line="21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Effective July 1, 2005, the Company adopted Statement of Financial Accounting Standards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 forma disclosures under the original SFAS No. 123 and (b) all share-based payments granted on or after July 1, 2005, in accordance with the provisions of SFAS No. 123R.</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July 2006, the Financial Accounting Standards Board (FASB) issued Interpretation No. 48 (“FIN 48”), “Accounting for Uncertainty in Income Taxes,” which clarifies the accounting for uncertainty in income taxes recognized in the financial statements in accordance with FASB Statement No. 109, Accounting for Income Taxes. Under FIN 48, tax positions shall initially be recognized in the financial statements when it is more likely than not the position will be sustained upon examination by the tax authorities. Such tax positions shall initially and subsequently be measured as the largest amount of tax benefit that is greater than 50% likely of being realized upon ultimate settlement with the tax authority assuming full knowledge of the position and all relevant facts.</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adopted the provisions of FIN 48 on July 1, 2007. Upon adoption, the Company recognized a FIN 48 liability of $755 for permanent tax items. Included in the $755 liability was approximately $78 in interest and penalties related to unrecognized tax benefits. the Company also recognized $159 of temporary FIN 48 liability. After taking its SFAS No. 5 “Accounting for Contingencies” contingent liability balance of $618 from June 30, 2007 the Company posted a cumulative-effect adjustment of approximately $295, increasing our liability for unrecognized tax benefits and reducing the July 1, 2007 balance of retained earnings. The total liability for unrecognized tax benefits at July 1, 2007, including temporary tax differences, was approximately $914.</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During the first nine months of its fiscal 2008, the Company recorded approximately $130 related to unrecognized tax benefits that would favorably impact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effective tax rate if recognized. The total outstanding balance for liabilities related to unrecognized tax benefits at March 31, 2008 was $1,039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 was associated with interest and penalties. The Company account for interest expense and penalties for unrecognized tax benefits as part of its income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w:t>
      </w:r>
    </w:p>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is subject to income taxes in both the United States and in certain non-U.S. jurisdictions. The Company estimates its current tax position together with its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its deferred tax assets will be recovered from future taxable income, prior year carryback, or future reversals of existing taxable temporary differences. To the extent the Company believes that recovery is not more likely than not, it establishes a valuation allowance against these deferred tax assets. Significant management judgment is required in determining the Company’s provision for income taxes, its deferred tax assets and liabilities, and any valuation allowance recorded against its deferred tax assets. To the extent the Company establishes a valuation allowance in a period, it must include and expense the allowance within the tax provision in the consolidated statement of operations. The reversal of a previously established valuation allowance results in a benefit for income taxes. As of March 31, 2008, the Company continued to be fully reserved against its net deferred tax assets which total to approximately $4.5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Contingent Liability</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accordance with SFAS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the Company accrued $1.8 million in its fiscal 2008 first quarter and an additional $400 in the following two quarters, representing the probable amount that as of the date of the financial statements could be reasonably estimated of its liability, through trial, associated with the advancement of funds related to indemnification agreements with two former officers. As disclosed in July 2007, the Company was informed that two of its former officers have been indicted by the United States Attorney's Office for the District of Utah. The Company has been advised that a new trial date of October 20, 2008 has been set. The Company is cooperating fully with the U.S. Attorney's office in this matter and has been advised that it is neither a target nor a subject of the investigation or indictment.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following table displays the gross unrealized loses and fair value of the Company’s investments with unrealized losses that are not deemed to be other-than-temporarily impaired (in thousands) inclusive of the length of time the securities have been in a continuous unrealized loss position at March 31, 2008:</w:t>
      </w:r>
    </w:p>
    <w:p>
      <w:pPr>
        <w:spacing w:after="0" w:line="14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Total - All Less than 12</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Description of Securities</w:t>
            </w:r>
          </w:p>
        </w:tc>
        <w:tc>
          <w:tcPr>
            <w:tcW w:w="24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3"/>
              </w:rPr>
              <w:t>Months</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0"/>
              </w:rPr>
              <w:t>Losses</w:t>
            </w:r>
          </w:p>
        </w:tc>
      </w:tr>
      <w:tr>
        <w:trPr>
          <w:trHeight w:val="257"/>
        </w:trPr>
        <w:tc>
          <w:tcPr>
            <w:tcW w:w="2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March 31, 2008, $12.25 million of the Company’s investments were invested in auction rate securities ("ARSs") which were in accordance with the Company’s investment policy. Recently, auctions for these securities were not successful, resulting in the Company continuing to hold these securities and the issuers paying interest at the maximum contractual rate. Based on current credit market conditions, it is likely that future auctions related to these securities will be unsuccessful in the near term. Unsuccessful auctions will result in the Company holding securities beyond their next scheduled auction reset dates and limiting the short-term liquidity of these investments.</w:t>
      </w:r>
    </w:p>
    <w:p>
      <w:pPr>
        <w:spacing w:after="0" w:line="2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these failures in the auction process have affected the Company’s ability to access these funds in the near term, the Company does not believe that the value of the underlying securities or collateral have been affected. The Company’s ARSs are held at two different investment banks: UBS and Morgan Stanley. All but one of the ARS investments are AAA and/or Aaa rated. The other ARS is A2/A rated. UBS has reduced the value of the Company’s ARSs on its March 31, 2008 statement by approximately $764,000 from the par value citing the result of unsuccessful auctions and resulting illiquidity. Morgan Stanley has not reduced the par value of Company’s ARSs on the Company’s March 31, 2008 statement. Due to the current market conditions including UBS’s decision to mark-down the current value of the Company’s ARSs, the Company has evaluated the accounting treatment of its ARS investments. In its evaluation, the Company has reviewed SFAS No. 115, Accounting for Certain Investments in Debt and Equity Securities in addition to SFAS No. 157, Fair Value Measurements, and related guidance issued by the FASB and the Securities and Exchange Commission (SEC).</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7"/>
          <w:szCs w:val="17"/>
          <w:color w:val="auto"/>
        </w:rPr>
        <w:t xml:space="preserve">At March 31, 2008, the Company reclassified its entire ARS investment balance from short-term/current investments to long-term/non-current auction rate securities on its balance sheet due to the Company’s inability to determine when its ARS investments will become liquid. Based on UBS’s and Morgan Stanley’s assessment of fair value, as of March 31, 2008 the Company determined there was a decline in the fair value of its ARS investments of $764 which was deemed temporary. The Company deemed this decline temporary in accordance with SFAS No. 115, </w:t>
      </w:r>
      <w:r>
        <w:rPr>
          <w:rFonts w:ascii="Arial" w:cs="Arial" w:eastAsia="Arial" w:hAnsi="Arial"/>
          <w:sz w:val="17"/>
          <w:szCs w:val="17"/>
          <w:i w:val="1"/>
          <w:iCs w:val="1"/>
          <w:color w:val="auto"/>
        </w:rPr>
        <w:t>Accounting for Certain Investments in Debt and</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w:t>
      </w:r>
      <w:r>
        <w:rPr>
          <w:rFonts w:ascii="Arial" w:cs="Arial" w:eastAsia="Arial" w:hAnsi="Arial"/>
          <w:sz w:val="17"/>
          <w:szCs w:val="17"/>
          <w:color w:val="auto"/>
        </w:rPr>
        <w:t>, and related guidance issued by FASB and the SEC which calls for the classification of impairments as “temporary” 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Since the Company, with its current knowledge, has the ability to hold the ARSs as long as required to realize the full par value which could be until final maturity of the underlying notes (between 2027 and 2039) believes it is probable that it will be able to collect all amounts due according to the contractual terms of the investment, the impairment has been deemed to be not other-than-temporary.</w:t>
      </w:r>
    </w:p>
    <w:p>
      <w:pPr>
        <w:spacing w:after="0" w:line="212"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Changes in the unrealized holding losses on the Company’s ARS investments and reported as a separate component of accumulated other comprehensive income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3Q 2008</w:t>
            </w:r>
          </w:p>
        </w:tc>
        <w:tc>
          <w:tcPr>
            <w:tcW w:w="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3Q 2007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62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740" w:type="dxa"/>
            <w:vAlign w:val="bottom"/>
            <w:gridSpan w:val="3"/>
          </w:tcPr>
          <w:p>
            <w:pPr>
              <w:ind w:left="140"/>
              <w:spacing w:after="0"/>
              <w:rPr>
                <w:sz w:val="20"/>
                <w:szCs w:val="20"/>
                <w:color w:val="auto"/>
              </w:rPr>
            </w:pPr>
            <w:r>
              <w:rPr>
                <w:rFonts w:ascii="Arial" w:cs="Arial" w:eastAsia="Arial" w:hAnsi="Arial"/>
                <w:sz w:val="18"/>
                <w:szCs w:val="18"/>
                <w:color w:val="auto"/>
                <w:w w:val="95"/>
              </w:rPr>
              <w:t>Unrealized holding (losses), in equity securities</w:t>
            </w:r>
          </w:p>
        </w:tc>
        <w:tc>
          <w:tcPr>
            <w:tcW w:w="500" w:type="dxa"/>
            <w:vAlign w:val="bottom"/>
            <w:gridSpan w:val="2"/>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7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(764)</w:t>
            </w:r>
          </w:p>
        </w:tc>
        <w:tc>
          <w:tcPr>
            <w:tcW w:w="4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620" w:type="dxa"/>
            <w:vAlign w:val="bottom"/>
            <w:tcBorders>
              <w:left w:val="single" w:sz="8" w:color="CCEEFF"/>
            </w:tcBorders>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7. Comprehensive Income</w:t>
            </w:r>
          </w:p>
        </w:tc>
        <w:tc>
          <w:tcPr>
            <w:tcW w:w="3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0" w:type="dxa"/>
            <w:vAlign w:val="bottom"/>
            <w:gridSpan w:val="3"/>
          </w:tcPr>
          <w:p>
            <w:pPr>
              <w:spacing w:after="0"/>
              <w:rPr>
                <w:sz w:val="20"/>
                <w:szCs w:val="20"/>
                <w:color w:val="auto"/>
              </w:rPr>
            </w:pPr>
            <w:r>
              <w:rPr>
                <w:rFonts w:ascii="Arial" w:cs="Arial" w:eastAsia="Arial" w:hAnsi="Arial"/>
                <w:sz w:val="18"/>
                <w:szCs w:val="18"/>
                <w:color w:val="auto"/>
              </w:rPr>
              <w:t>The components of comprehensive income (loss) are (in thousands):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7"/>
          </w:tcPr>
          <w:p>
            <w:pPr>
              <w:jc w:val="right"/>
              <w:ind w:right="130"/>
              <w:spacing w:after="0"/>
              <w:rPr>
                <w:sz w:val="20"/>
                <w:szCs w:val="20"/>
                <w:color w:val="auto"/>
              </w:rPr>
            </w:pPr>
            <w:r>
              <w:rPr>
                <w:rFonts w:ascii="Arial" w:cs="Arial" w:eastAsia="Arial" w:hAnsi="Arial"/>
                <w:sz w:val="18"/>
                <w:szCs w:val="18"/>
                <w:b w:val="1"/>
                <w:bCs w:val="1"/>
                <w:color w:val="auto"/>
                <w:w w:val="94"/>
              </w:rPr>
              <w:t>Three Months Ended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20" w:type="dxa"/>
            <w:vAlign w:val="bottom"/>
            <w:tcBorders>
              <w:top w:val="single" w:sz="8" w:color="auto"/>
            </w:tcBorders>
            <w:gridSpan w:val="4"/>
          </w:tcPr>
          <w:p>
            <w:pPr>
              <w:jc w:val="center"/>
              <w:ind w:right="180"/>
              <w:spacing w:after="0" w:line="198" w:lineRule="exact"/>
              <w:rPr>
                <w:sz w:val="20"/>
                <w:szCs w:val="20"/>
                <w:color w:val="auto"/>
              </w:rPr>
            </w:pPr>
            <w:r>
              <w:rPr>
                <w:rFonts w:ascii="Arial" w:cs="Arial" w:eastAsia="Arial" w:hAnsi="Arial"/>
                <w:sz w:val="18"/>
                <w:szCs w:val="18"/>
                <w:b w:val="1"/>
                <w:bCs w:val="1"/>
                <w:color w:val="auto"/>
                <w:w w:val="93"/>
              </w:rPr>
              <w:t>March 31,</w:t>
            </w:r>
          </w:p>
        </w:tc>
        <w:tc>
          <w:tcPr>
            <w:tcW w:w="940" w:type="dxa"/>
            <w:vAlign w:val="bottom"/>
            <w:tcBorders>
              <w:top w:val="single" w:sz="8" w:color="auto"/>
            </w:tcBorders>
            <w:gridSpan w:val="4"/>
          </w:tcPr>
          <w:p>
            <w:pPr>
              <w:jc w:val="right"/>
              <w:spacing w:after="0" w:line="198"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060" w:type="dxa"/>
            <w:vAlign w:val="bottom"/>
            <w:tcBorders>
              <w:top w:val="single" w:sz="8" w:color="auto"/>
            </w:tcBorders>
            <w:gridSpan w:val="4"/>
          </w:tcPr>
          <w:p>
            <w:pPr>
              <w:jc w:val="center"/>
              <w:ind w:right="180"/>
              <w:spacing w:after="0" w:line="198" w:lineRule="exact"/>
              <w:rPr>
                <w:sz w:val="20"/>
                <w:szCs w:val="20"/>
                <w:color w:val="auto"/>
              </w:rPr>
            </w:pPr>
            <w:r>
              <w:rPr>
                <w:rFonts w:ascii="Arial" w:cs="Arial" w:eastAsia="Arial" w:hAnsi="Arial"/>
                <w:sz w:val="18"/>
                <w:szCs w:val="18"/>
                <w:b w:val="1"/>
                <w:bCs w:val="1"/>
                <w:color w:val="auto"/>
                <w:w w:val="96"/>
              </w:rPr>
              <w:t>March 31,</w:t>
            </w: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9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Unrealized gain (loss) on available-for-sale investment, net of</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(764)</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380" w:type="dxa"/>
            <w:vAlign w:val="bottom"/>
          </w:tcPr>
          <w:p>
            <w:pPr>
              <w:jc w:val="right"/>
              <w:ind w:right="21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Purchase</w:t>
      </w:r>
    </w:p>
    <w:p>
      <w:pPr>
        <w:spacing w:after="0" w:line="25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On March 12, 2008, the Company entered into an asset purchase agreement with Ascalade Communications, Inc., a Canadian corporation, to acquire the intellectual property and production equipment related to and required for the production of the Company’s MAX™ Wireless and the Ascalade design of conferencing phones.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Bond for Preliminary Injunction</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As explained in Part II. Legal Proceedings, and in reference to the case of </w:t>
      </w:r>
      <w:r>
        <w:rPr>
          <w:rFonts w:ascii="Arial" w:cs="Arial" w:eastAsia="Arial" w:hAnsi="Arial"/>
          <w:sz w:val="16"/>
          <w:szCs w:val="16"/>
          <w:i w:val="1"/>
          <w:iCs w:val="1"/>
          <w:color w:val="auto"/>
        </w:rPr>
        <w:t>ClearOne Communications, Inc. v. Andrew Chiang, et al</w:t>
      </w:r>
      <w:r>
        <w:rPr>
          <w:rFonts w:ascii="Arial" w:cs="Arial" w:eastAsia="Arial" w:hAnsi="Arial"/>
          <w:sz w:val="16"/>
          <w:szCs w:val="16"/>
          <w:color w:val="auto"/>
        </w:rPr>
        <w:t>, a preliminary injunction order was granted to ClearOne on October 30, 2007. In conjunction with the United States District Court’s grant of ClearOne’s motion for a preliminary injunction, the Court issued an order establishing the amount for the bond to be posted by ClearOne. The bond was set in the amount of $907,909, placed with the clerk of the Court on November 6, 2007 and recorded as a deposit in the current assets section of the Company’s balance sheet.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10. 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2006, FASB issued SFAS No. 157 “Fair Value Measurements.” This statement defines fair value, establishes a framework for measuring fair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value in generally accepted accounting principles and expands disclosures about fair value. SFAS No.157 expands the disclosures about the use of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measure assets and liabilities in interim and annual periods subsequent to initial recognition. The disclosures focus on the inputs used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recurring fair value measurements using significant unobservable inputs and the effect of the measurement on earnings (or changes in net assets)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The guidance in SFAS No.157 also applies for derivatives and other financial instruments measured at fair value under Statement 133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Derivative Instruments and Hedging Activities” at initial recognition and in all subsequent periods. SFAS No.157 is effective for fiscal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beginning after November 15, 2007, and interim periods within those fiscal years. We are currently reviewing the requirements of SFAS No 157, and at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point in time, have not determined what impact, if any, SFAS No.157 will have on our results of operations and financial position.</w:t>
      </w:r>
    </w:p>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2007, the FASB issued SFAS No.159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No.159 is effective for fiscal years beginning after November 15, 2007. The Company is currently reviewing the requirements of this statement and, at this point in time, have not determined the impact, if any, that this statement may have on its results of operations and financial position.</w:t>
      </w:r>
    </w:p>
    <w:p>
      <w:pPr>
        <w:spacing w:after="0" w:line="2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SFAS No. 141(R) also provides guidance for recognizing and measuring the goodwill acquired in the business combination and determines what information to disclose to enable users of the financial statements to evaluate the nature and financial effects of the business combination. SFAS No. 141(R) is effective for fiscal years, beginning on or after December 15, 2008. Earlier adoption is prohibited. The Company is currently reviewing the requirements of this statement and, at this point in time, have not determined the impact, if any, that this statement may have on its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2007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high-quality audio conferencing products, which range from personal conferencing products to tabletop conferencing phones to premium and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which in turn sell our products to dealers, systems integrators, and value-added resellers. We also sell products on a limited basis directly to dealers, systems integrators, value-added resellers, and end-users.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t>We provide a right of return on product sales to distributors. Revenue from product sales to distributors is not recognized until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distributorship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estimates and judgments regarding total channel inventory revenue and cost of goods sold could differ from actual amounts, we believe that our calculations are indicative of actual levels of inventory in the distribution channel. As of March 31, 2008, we deferred $4.2 million in revenue and $1.8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21-month period ended March 31, 2008 (in thousands).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Deferred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Cost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Deferred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of Goods Sold</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Gross 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December 31, 2007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4,980</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June 30, 2007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4,872</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December 31, 2006</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4,711</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June 30, 2006</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5,871</w:t>
            </w: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offer rebates and market development funds to certain of our distributors and dealers, systems integrators, value-added resellers, and end-users and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Intangibles</w:t>
      </w:r>
    </w:p>
    <w:p>
      <w:pPr>
        <w:spacing w:after="0" w:line="256" w:lineRule="exact"/>
        <w:rPr>
          <w:sz w:val="20"/>
          <w:szCs w:val="20"/>
          <w:color w:val="auto"/>
        </w:rPr>
      </w:pPr>
    </w:p>
    <w:p>
      <w:pPr>
        <w:ind w:right="1180"/>
        <w:spacing w:after="0" w:line="308" w:lineRule="auto"/>
        <w:rPr>
          <w:sz w:val="20"/>
          <w:szCs w:val="20"/>
          <w:color w:val="auto"/>
        </w:rPr>
      </w:pPr>
      <w:r>
        <w:rPr>
          <w:rFonts w:ascii="Arial" w:cs="Arial" w:eastAsia="Arial" w:hAnsi="Arial"/>
          <w:sz w:val="17"/>
          <w:szCs w:val="17"/>
          <w:color w:val="auto"/>
        </w:rPr>
        <w:t>We assess the impairment of intangibles annually or whenever events or changes in circumstances indicate that the carrying value may not be recoverable. Some factors we consider important that could trigger an impairment review include the following:</w:t>
      </w:r>
    </w:p>
    <w:p>
      <w:pPr>
        <w:spacing w:after="0" w:line="174"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5" w:name="page16"/>
    <w:bookmarkEnd w:id="15"/>
    <w:p>
      <w:pPr>
        <w:ind w:right="100"/>
        <w:spacing w:after="0" w:line="286" w:lineRule="auto"/>
        <w:rPr>
          <w:sz w:val="20"/>
          <w:szCs w:val="20"/>
          <w:color w:val="auto"/>
        </w:rPr>
      </w:pPr>
      <w:r>
        <w:rPr>
          <w:rFonts w:ascii="Arial" w:cs="Arial" w:eastAsia="Arial" w:hAnsi="Arial"/>
          <w:sz w:val="17"/>
          <w:szCs w:val="17"/>
          <w:color w:val="auto"/>
        </w:rPr>
        <w:t>If we determine that the carrying value of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intangibles for impairment at least annually.</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 The reversal of a previously established valuation allowance results in a benefit for income taxes. As of March 31, 2008, we continued to be fully reserved against our net deferred tax assets which total approximately $4.5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1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 forma disclosures under the original SFAS No. 123 and (b) all share-based payments granted or modified on or after July 1, 2005, in accordance with the provisions of SFAS No. 123R.</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fiscal quarters. There can be no assurance that any historical sales patterns will continue and, as a result, sales for any prior quarter are not necessarily indicative of the sales to be expected in any future quarter.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Results of Operations for the three months or the third fiscal quarter (“3Q”) and nine months of the fiscal year (“9M”) ended March 31, 2008 and 2007</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nine months ended March 31, 2008 and 2007, together with the percentage of total revenue that each such item represents:</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March 31,</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280"/>
              <w:spacing w:after="0" w:line="198" w:lineRule="exact"/>
              <w:rPr>
                <w:sz w:val="20"/>
                <w:szCs w:val="20"/>
                <w:color w:val="auto"/>
              </w:rPr>
            </w:pPr>
            <w:r>
              <w:rPr>
                <w:rFonts w:ascii="Arial" w:cs="Arial" w:eastAsia="Arial" w:hAnsi="Arial"/>
                <w:sz w:val="18"/>
                <w:szCs w:val="18"/>
                <w:b w:val="1"/>
                <w:bCs w:val="1"/>
                <w:color w:val="auto"/>
              </w:rPr>
              <w:t>% of</w:t>
            </w: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29,393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28,873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12,153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5,724</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5,165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17,240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15,507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&amp; Marketing</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4,820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General &amp; administrative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5,276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2,260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5,134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w w:val="94"/>
              </w:rPr>
              <w:t>Total operating expenses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4,524</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4,615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15,230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13,753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Revenue for 3Q 2008 decreased by 2%, or approximately $190,000, compared to 3Q 2007. The 3Q 2008 decrease was due mainly to lower sales of the Company’s professional audio and premium conferencing products in addition to lower accessories revenue which collectively decreased approximately $500,000 from 3Q 2007. The 3Q 2008 decreases were offset by an approximate $300,000 collective increase in the Company’s tabletop and personal conferencing products over the same period of 2007. Revenues generated within the United States decreased from 70% in 3Q 2007 to 63% in 3Q 2008.</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9M 2008 revenue increased by 2%, or approximately $520,000 compared to 9M 2007. The 9M 2008 revenue increase was led by growth in professional audio, tabletop, personal and OEM conferencing product sales which collectively increased approximately $1 million over 9M 2007. The Company also expended about $250,000 less in marketing programs (e.g. marketing development funds, rebates, etc.) in 9M 2008 than in 9M 2007. These revenue increases were offset by reduced premium conferencing, conferencing furniture and other product sales which together declined about $725,000 in 9M 2008. Revenues generated within the United States increased from 70% in 9M 2007 to 72% in 3Q 2008.</w:t>
      </w:r>
    </w:p>
    <w:p>
      <w:pPr>
        <w:spacing w:after="0" w:line="2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estimated channel inventory at quarter-end. During 3Q 2008 and 2007, the net change in deferred revenue based on the net movement of inventory in the channel was a net recognition (deferral) of $774,000 and ($400,000) in revenue, respectively. For 9M 2008 and 2007, the net change in deferred revenue based on the net movement of inventory in the channel was a net recognition of $666,000 and $760,000 in revenue,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5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gross profit margin (GPM), gross profit as a percentage of sales, was 62% and 59% in 3Q and 9M 2008, respectively, compared to 55% and 54% in 3Q and 9M 2007, respectively. GPM for 3Q 2008 was significantly higher than the same period of 2007 primarily as a result of the Company reducing its reserve for inventory obsolescence by approximately $400,000; largely the result of the increased sales velocity of several lines of its tabletop conferencing products. The increase in GPM for 9M 2008 over the same period of 2007 was due primarily to a favorable mix of higher margin product revenue in 9M 2008, led by the Company’s professional audio conferencing products, in addition to the reduction in the Company’s inventory obsolescence reserve discussed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3Q 2008 operating expenses were $4.5 million, a decrease of $90,000, or 2%, from $4.6 million for 3Q 2007. 9M 2008 operating expenses of $15.2 million were $1.5 million or 11% higher than the 9M 2007 total of $13.8 million. The following is a more detailed discussion of expenses related to sales and marketing, general and administrative, and research and product development.</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u w:val="single" w:color="auto"/>
          <w:color w:val="auto"/>
        </w:rPr>
        <w:t>Sales and marketing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(S&amp;M) expenses include selling, customer service, and marketing expenses such as employee-related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allocations of overhead expenses, trade shows, and other advertising and selling expenses. 3Q 2008 S&amp;M expenses decreased $364,000, or 18%, to $1.6 million compared to 3Q 2007 expenses of $2.0 million. As a percentage of revenues, 3Q 2008 and 2007 S&amp;M expenses were 18% and 21%, respectively. The lower 3Q 2008 percentage can be attributed to lower S&amp;M expenses primarily related to significantly lower payroll and related expenses of $335,000 associated with lower S&amp;M headcount. 9M 2008 S&amp;M expenses decreased about $900,000, or 16%, to $4.8 million compared to 9M 2007 expenses of $5.7 million due to $1 million lower payroll and related expenses of $1 million partially offset by an increase in advertising and related expenses to promote the Company’s differentiated value in targeted publications and trade shows. As a percentage of revenues, 9M 2008 and 2007 S&amp;M expenses were 16% and 20%, respectively.</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administrative (G&amp;A) expenses include employee-related costs, professional service fees, allocations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overhead expenses, litigation costs and corporate administrative costs, including finance and human resources. 3Q 2008 G&amp;A expenses increased $420,000, or 55%, to $1.2 million compared to 3Q 2007 expenses of $763,000. 3Q 2008 and 2007 G&amp;A expenses were 13% and 8% of revenue, respectively. The 3Q 2008 increase was due primarily to accruing an additional $300,000 for the Company’s contingent liability reserve associated with the advancement of funds related to indemnification agreements with two former officers. 9M 2008 G&amp;A expenses increased $3.0 million, or 133%, to $5.3 million compared to 9M 2007 expenses of $2.3 million. 9M 2008 and 2007 G&amp;A expenses were 18% and 8% of revenue, respectively. The $3.0 million increase in 9M 2008 was primarily due to estimating and establishing a $1.8 million accrual for a contingent liability in 1Q 2008, which was subsequently increased by $400,000 in the subsequent two quarters.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the Company has accrued a total of $2.2 million in 9M 2008, the balance of which was $670,000 at March 31, 2008, representing the probable amount that as of the date of the financial statements could be reasonably estimated of its liability, through trial, associated with the advancement of funds related to indemnification agreements with two former officers (please refer to “Legal Proceedings” in Part II of this Form 10-Q for additional information). Also, during 9M 2008 the Company incurred an additional $840,000 in legal fees over 9M 2007, primarily related to its lawsuit against WideBand, Biamp et al. The Company also paid Edward D. Bagley, the Company’s former director and Chairman the sum of $200,000 in 1Q 2008 upon his resignation and in consideration for his service as a director of the Company since 1994.</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7"/>
          <w:szCs w:val="17"/>
          <w:b w:val="1"/>
          <w:bCs w:val="1"/>
          <w:u w:val="single" w:color="auto"/>
          <w:color w:val="auto"/>
        </w:rPr>
        <w:t>Research and product development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product development (R&amp;D) expenses include research and development, product line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engineering services, and test and application expenses, including employee-related costs, outside services, expensed materials, depreciation, and an allocation of overhead expenses. 3Q 2008 R&amp;D expenses decreased to $1.7 million from $1.9 million in 3Q 2007. As a percentage of revenues, 3Q 2008 and 2007 R&amp;D expenses were 19% and 20%, respectively. As a percentage of revenues, 9M 2008 R&amp;D expenses decreased to $5.1 million from $5.8 million in 9M 2007. 9M 2008 and 2007 R&amp;D expenses were 17% and 20% of revenue, respectively. The $648,000 decrease in 9M 2008 was due primarily to lower payroll and related expenses in addition to lower R&amp;D project expenses.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3Q 2008 operating income increased 118% to $1.2 million compared to 3Q 2007 operating income of $550,000. The 3Q 2008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income increase of $650,000 was due mainly to the $560,000 gross profit increase. 9M 2008 operating income was $2.0 million compared to $1.8 million in 9M 2007. The approximate $200,000 operating income increase in 9M 2008 was due to the $1.7 million gross profit increase partially offset by the $1.5 million increase in operating expenses.</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Other income, net. </w:t>
      </w:r>
      <w:r>
        <w:rPr>
          <w:rFonts w:ascii="Arial" w:cs="Arial" w:eastAsia="Arial" w:hAnsi="Arial"/>
          <w:sz w:val="18"/>
          <w:szCs w:val="18"/>
          <w:color w:val="auto"/>
        </w:rPr>
        <w:t>Other income, net, includes interest income, interest expense, capital gains, gain (loss) on the disposal of assets, and currency gain</w:t>
      </w:r>
      <w:r>
        <w:rPr>
          <w:rFonts w:ascii="Arial" w:cs="Arial" w:eastAsia="Arial" w:hAnsi="Arial"/>
          <w:sz w:val="18"/>
          <w:szCs w:val="18"/>
          <w:b w:val="1"/>
          <w:bCs w:val="1"/>
          <w:color w:val="auto"/>
        </w:rPr>
        <w:t xml:space="preserve"> </w:t>
      </w:r>
      <w:r>
        <w:rPr>
          <w:rFonts w:ascii="Arial" w:cs="Arial" w:eastAsia="Arial" w:hAnsi="Arial"/>
          <w:sz w:val="18"/>
          <w:szCs w:val="18"/>
          <w:color w:val="auto"/>
        </w:rPr>
        <w:t>(loss). 3Q 2008 other income was $196,000, a decrease of $380,000 from other income of $577,000 in 3Q 2007. 9M 2008 other income was $850,000, a decrease of $380,000 from other income of $1.2 million in 9M 2007. The decreases in both 3Q and 9M 2008 were primarily due to the Company’s 9M 2007 receipt of $326,000 in interest income related to an income tax refund.</w:t>
      </w:r>
    </w:p>
    <w:p>
      <w:pPr>
        <w:spacing w:after="0" w:line="20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Income from continuing operations before income taxes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3Q 2008 and 3Q 2007 income from continuing operations was $1.1 million and $960,000,</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As a percentage of revenues, 3Q 2008 and 2007 income from continuing operations was 12% and 10%, respectively. 9M 2008 income from continuing operations was $1.9 million compared to $2.7 million in 9M 2007. As a percentage of revenues, 9M 2008 and 2007 income from continuing operations was 6% and 9%, respectively. The lower income from continuing operations in 9M 2008 was due to primarily to the $2.2 million contingent liability charged to G&amp;A expenses associated with the advancement of funds under indemnification agreements with two former officers, partially offset by the 9M 2008 higher gross profit of $1.7 million and $250,000 increased operating income.</w:t>
      </w:r>
    </w:p>
    <w:p>
      <w:pPr>
        <w:spacing w:after="0" w:line="20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Income (loss) from discontinued operations, net of tax. </w:t>
      </w:r>
      <w:r>
        <w:rPr>
          <w:rFonts w:ascii="Arial" w:cs="Arial" w:eastAsia="Arial" w:hAnsi="Arial"/>
          <w:sz w:val="16"/>
          <w:szCs w:val="16"/>
          <w:color w:val="auto"/>
        </w:rPr>
        <w:t>During 3Q 2008 and 2007 we recorded income from discontinued operations, net of tax of $0 and</w:t>
      </w:r>
      <w:r>
        <w:rPr>
          <w:rFonts w:ascii="Arial" w:cs="Arial" w:eastAsia="Arial" w:hAnsi="Arial"/>
          <w:sz w:val="16"/>
          <w:szCs w:val="16"/>
          <w:b w:val="1"/>
          <w:bCs w:val="1"/>
          <w:color w:val="auto"/>
        </w:rPr>
        <w:t xml:space="preserve"> </w:t>
      </w:r>
      <w:r>
        <w:rPr>
          <w:rFonts w:ascii="Arial" w:cs="Arial" w:eastAsia="Arial" w:hAnsi="Arial"/>
          <w:sz w:val="16"/>
          <w:szCs w:val="16"/>
          <w:color w:val="auto"/>
        </w:rPr>
        <w:t>$263,000, respectively. The 3Q 2007 income was exclusively related to funds received through the receivership of OM Video. For 9M 2008 and 2007 income from discontinued operations, net of tax was $16,000 and $304,000, respectively. During 9M 2007, we recognized $41,000 in income from discontinued operations from the document and educational camera product line and $263,000 related to funds received through the OM Video receivership.</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u w:val="single" w:color="auto"/>
          <w:color w:val="auto"/>
        </w:rPr>
        <w:t>Net income and earnings per share</w:t>
      </w:r>
      <w:r>
        <w:rPr>
          <w:rFonts w:ascii="Arial" w:cs="Arial" w:eastAsia="Arial" w:hAnsi="Arial"/>
          <w:sz w:val="17"/>
          <w:szCs w:val="17"/>
          <w:b w:val="1"/>
          <w:bCs w:val="1"/>
          <w:color w:val="auto"/>
        </w:rPr>
        <w:t xml:space="preserve">. </w:t>
      </w:r>
      <w:r>
        <w:rPr>
          <w:rFonts w:ascii="Arial" w:cs="Arial" w:eastAsia="Arial" w:hAnsi="Arial"/>
          <w:sz w:val="17"/>
          <w:szCs w:val="17"/>
          <w:color w:val="auto"/>
        </w:rPr>
        <w:t>3Q 2008 net income was $1.1 million, a decrease of $160,000 from $1.2 million in 3Q 2007. As a percentage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revenues, 3Q 2008 and 2007 net income was 12% and 13%, respectively. The 3Q 2008 decrease was due primarily to the $263,000 income from discontinued operations realized in 3Q 2007. As a percentage of revenues, 9M 2008 and 2007 net income was 7% and 10%, respectively. The $1.1 million 9M 2008 decrease was due largely to the establishment of the $2.2 million accrual for the contingent liability previously discussed in addition to an increased tax provision of $652 partially offset by the $1.7 million 9M 2008 increase in gross profit. The income tax provision rates in 3Q and 9M 2008 were 24% and 33%, respectively, compared to 15% and 10% in 3Q and 9M 2007, respectively. The increase in the 2008 tax rates were due largely to the Company’s adoption of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in addition to recognition of tax on the undistributed earnings of the Company’s foreign subsidiaries and deferring $400,000 of the legal contingent liability into the next fiscal year.</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Diluted 3Q 2008 earnings per share (EPS) were 10% lower than in 3Q 2007. Diluted 9M 2008 EPS from continuing operations were 31% lower than in 9M 2007. The 3Q 2008 EPS from continuing operations decrease was due primarily to the $263,000 income from discontinued operations recognized in 3Q 2007 partially offset by approximately 343,000 fewer diluted shares outstanding due to the Company’s open market share repurchases. The 9M 2008 31% decrease in EPS over the same period of the prior year was due to the lower net income previously discussed partially offset by 848,000 fewer diluted shares outstanding.</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3Q and 9M 2008 diluted weighted shares outstanding were 10,747,317 and 10,921,932, respectively. 3Q and 9M 2007 diluted weighted shares outstanding were 11,101,791 and 11,770,145, respectively.</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provided by operating activities was $2.4 million in 9M 2008, a decrease of $3.5 million from the net cash provided by operating activities of $5.9 million in 9M 2007. The year-over-year decrease can be attributed primarily to receipt of a $3.5 million federal income tax refund received in 9M 2007. The Company also recognized approximately $800,000 lower net income in 9M 2008 which was offset by changes in working capital, exclusive of the $3.5 million income tax refund, of about $1.0 million in addition to lower depreciation and stock-based compensation which collectively decreased approximately $170,000 from 9M 2007.</w:t>
      </w:r>
    </w:p>
    <w:p>
      <w:pPr>
        <w:spacing w:after="0" w:line="21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cash flows provided by investing activities were $6.1 million in 9M 2008, an increase of about $6.0 million from 9M 2007. During 9M 2008 the Company converted about $6.8 million of marketable securities to cash and cash equivalents.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financing activities in 9M 2008 totaled ($2.7 million) which was approximately $3.1 million less than the ($5.8 million) (used in) financing activities during 9M 2007. In 9M 2007 the Company repurchased about 1.3 million of its shares for about $5.8 million compared to 9M 2008 repurchases of 600,000 shares for $3.4 million. In 9M 2008 the Company also received about $600,000 upon the exercise of stock options compared to $40,000 in the prior year period.</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Additionally in 9M 2008, we paid approximately $1.4 million in income taxes and reduced our July 1, 2007 balance of retained earnings by $295 upon our adoption of FASB issued Interpretation No. 48 (“FIN 48”), Accounting for Uncertainty in Income Taxes as discussed in note 5. During 9M 2007 we recorded $1.1 million in non-cash financing activities related to leasehold improvements to our new headquarters, the majority of which was paid as an incentive by the lessor as part of the lease agreement. These improvements are being accounted for in accordance with FASB Technical Bulletin No. 88-1, </w:t>
      </w:r>
      <w:r>
        <w:rPr>
          <w:rFonts w:ascii="Arial" w:cs="Arial" w:eastAsia="Arial" w:hAnsi="Arial"/>
          <w:sz w:val="18"/>
          <w:szCs w:val="18"/>
          <w:i w:val="1"/>
          <w:iCs w:val="1"/>
          <w:color w:val="auto"/>
        </w:rPr>
        <w:t>Issues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Leases</w:t>
      </w:r>
      <w:r>
        <w:rPr>
          <w:rFonts w:ascii="Arial" w:cs="Arial" w:eastAsia="Arial" w:hAnsi="Arial"/>
          <w:sz w:val="18"/>
          <w:szCs w:val="18"/>
          <w:color w:val="auto"/>
        </w:rPr>
        <w:t>, which states among other things that landlord incentives which fund leasehold improvements should be recorded as deferred 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as reductions to lease expense over the term of the lease.</w:t>
      </w:r>
    </w:p>
    <w:p>
      <w:pPr>
        <w:spacing w:after="0" w:line="22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Management believes that future income from operations and effective management of working capital will provide the liquidity needed to finance growth plans. In addition to capital expenditures, the Company plans to use cash during the remainder of fiscal 2008 for selective infusions of technological, marketing or product manufacturing rights to broaden the Company's product offerings; for continued share repurchases; and if available for a reasonable price, acquisitions that may strategically fit the Company’s business and are accretive to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line="256"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March 31, 2008.</w:t>
      </w:r>
    </w:p>
    <w:p>
      <w:pPr>
        <w:ind w:right="480"/>
        <w:spacing w:after="0" w:line="261" w:lineRule="auto"/>
        <w:rPr>
          <w:sz w:val="20"/>
          <w:szCs w:val="20"/>
          <w:color w:val="auto"/>
        </w:rPr>
      </w:pPr>
      <w:r>
        <w:rPr>
          <w:rFonts w:ascii="Arial" w:cs="Arial" w:eastAsia="Arial" w:hAnsi="Arial"/>
          <w:sz w:val="18"/>
          <w:szCs w:val="18"/>
          <w:color w:val="auto"/>
        </w:rPr>
        <w:t>Based upon this evaluation, our management, including the Chief Executive Officer and the Chief Financial Officer, has concluded that our disclosure controls and procedures were effective as of March 31, 2008.</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There were no changes in the Company’s internal controls over financial reporting that occurred during the quarter ended March 31, 2008,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addition to the legal proceedings described below, we are also involved from time to time in various claims and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which arise in the normal course of business. Such matters are subject to many uncertainties and outcomes that are not predictable. The following is an update to the proceedings described more fully in the Company’s Annual Report on SEC Form 10-K ITEM 3 - LEGAL PROCEEDINGS, for the year-ended 2007 and subsequent interim Form 10-Q updates.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Former Officer Indemnification. </w:t>
      </w:r>
      <w:r>
        <w:rPr>
          <w:rFonts w:ascii="Arial" w:cs="Arial" w:eastAsia="Arial" w:hAnsi="Arial"/>
          <w:sz w:val="17"/>
          <w:szCs w:val="17"/>
          <w:color w:val="auto"/>
        </w:rPr>
        <w:t>The Company has been informed that a trial date has been set for October 20, 2008. In accordance with SFAS No. 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Accounting for Contingencies, ClearOne has accrued a total of $2.2 million in the first nine months of its fiscal 2008, the balance of which was about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$670,000 at March 31, 2008 representing the probable amount that as of the date of the financial statements could be reasonably estimated of its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trial, associated with the advancement of funds related to the indemnification agreements. The accrual is management’s best estimate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liability as of the date of the issuance of its financial statements. In accordance with SFAS No. 5, the Company will adjust its contingent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necessary, to reflect the probable amount of its liability that can be reasonably estimated. The Company’s actual liability may be higher or lower than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management’s estimate upon final resolution of the matter.</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Ernst &amp; Young LLP (“E&amp;Y”). </w:t>
      </w:r>
      <w:r>
        <w:rPr>
          <w:rFonts w:ascii="Arial" w:cs="Arial" w:eastAsia="Arial" w:hAnsi="Arial"/>
          <w:sz w:val="18"/>
          <w:szCs w:val="18"/>
          <w:color w:val="auto"/>
        </w:rPr>
        <w:t>In the Company’s claims against E&amp;Y for breach of contract and professional negligence, the parties reached an agreement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a number of arbitration scheduling and procedural matters including discovery and commencing the hearing on April 20,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risks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March 31, 2008 unaudited condensed consolidated financial statements and related notes.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2007, the markets for our products and services are characterized by intense competition,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profits, and market share, each of which could have a materially adverse effect on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dealers, systems integrators and value-added resellers. Our expectations for both short- and long-term future net revenues are based on our own estimates of future demand.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3" w:name="page24"/>
    <w:bookmarkEnd w:id="23"/>
    <w:p>
      <w:pPr>
        <w:ind w:right="18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52"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We have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w:t>
      </w:r>
    </w:p>
    <w:p>
      <w:pPr>
        <w:spacing w:after="0" w:line="193"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market our products primarily through a network of distributors which in turn sell our products to systems integrators, dealers, and value-added resellers. The majority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we rely on our distribution channels to sell our products, our distributors and other reseller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resller participants may depend on the competitive strength of our products and the price incentives we offer for their support. If our distributors and other reseller participants are not committed to our products, our revenues and profit margins may be adversely affected.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We cannot guarantee that our assumptions and judgments respecting recognition of revenue will be accurate.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manufacturer substantially all the products that were previously manufactured at our Salt Lake City, Utah manufacturing facility. Subsequently, we entered into agreements with offshore manufacturers who also manufacture several of our product lines. If these manufacturers that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do not have a second source of manufacturing for some of our products.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outsourced manufacturers is a direct function of their ability to buy materials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rely on our suppliers to provide us with materials that are compliant with environmental laws and regulations such as Restrictions on Hazardous Substances (RoHS) rules in Europe, and Waste Electrical and Electronic (WEEE) directives, among others. We also rely on our contract manufacturer’s whose processes must be maintained in accordance with such regulations. We work with our suppliers and contract manufacturers for ongoing compliance with regulations and attempt to identify possible discrepancies as quickly as possible; however, one or more of our products could be in violation of a regulation due to a supplier and/or contract manufacturer making a non-compliant material or process change which could result in a material adverse effect on our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fulfillment strategy.</w:t>
      </w:r>
    </w:p>
    <w:p>
      <w:pPr>
        <w:spacing w:after="0" w:line="25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In January 2008, we commenced the use of a third party supply chain management (“SCM”) firm who manages the receiving, storing, picking, packing, shipping and inventory management of the majority of the Company’s products. If the SCM firm experiences difficulties and/or interruptions in their operations preventing them from adequately fulfilling the Company’s products, we would experience a delay in shipping product to our customers which would negatively impact on our revenues. Should there be any disruption in the SCM’s services due to natural disaster, economic or political difficulties, quarantines, labor disputes, transportation restrictions, acts of terror or other similar events, such disruption would have a material adverse effect on our business. Currently, we do not have a second source for fulfillment of the majority of our products.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materials obsolete, we will be required to write down the value of this inventory, which could adversely affect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confidentiality and nondisclosure agreements to establish and protect our proprietary/intellectual property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hold a number of patents. To the extent that we have patentable technology for which we have not filed patent applications, others may be able to use such technology or even gain priority over us by patenting such technology themselves.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revenue and risks inherent in international sales could harm our business.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w:t>
      </w:r>
    </w:p>
    <w:p>
      <w:pPr>
        <w:spacing w:after="0" w:line="198"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and/or license agreements.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Future losses could be significant and, if incurred, could harm our business and have a material adverse effect on our operating results and financial position.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52"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The market price of our common stock may be significantly affected by a variety of factors, including:</w:t>
      </w:r>
    </w:p>
    <w:p>
      <w:pPr>
        <w:spacing w:after="0" w:line="197" w:lineRule="exact"/>
        <w:rPr>
          <w:sz w:val="20"/>
          <w:szCs w:val="20"/>
          <w:color w:val="auto"/>
        </w:rPr>
      </w:pPr>
    </w:p>
    <w:p>
      <w:pPr>
        <w:ind w:left="660" w:hanging="139"/>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purchases by ClearOne of its own securities during 3Q 2008.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 Value) of</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 May be Purchased</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 Plans or Programs</w:t>
            </w:r>
          </w:p>
        </w:tc>
      </w:tr>
      <w:tr>
        <w:trPr>
          <w:trHeight w:val="241"/>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Period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2008 – January 31, 2008</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61,454</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$4.94</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61,454</w:t>
            </w:r>
          </w:p>
        </w:tc>
        <w:tc>
          <w:tcPr>
            <w:tcW w:w="2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$1,658,000</w:t>
            </w: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 2008 – February 28, 2008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121,677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$5.16</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121,677</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$1,030,000</w:t>
            </w: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2008 – March 31, 2008</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160,427</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$4.83</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160,427</w:t>
            </w:r>
          </w:p>
        </w:tc>
        <w:tc>
          <w:tcPr>
            <w:tcW w:w="2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$255,000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343,558</w:t>
            </w:r>
          </w:p>
        </w:tc>
        <w:tc>
          <w:tcPr>
            <w:tcW w:w="12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343,558</w:t>
            </w:r>
          </w:p>
        </w:tc>
        <w:tc>
          <w:tcPr>
            <w:tcW w:w="24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04"/>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30, 2007, the Company announced that its Board of Directors had approved a stock buy-back program to purchase up $3,625,000 of the Company’s common stock over the next 12 months in open market and private block transactions. All repurchased shares will be immediately retired. The stock buy-back program will expire on August 30,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59"/>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940" w:type="dxa"/>
            <w:vAlign w:val="bottom"/>
          </w:tcPr>
          <w:p>
            <w:pPr>
              <w:ind w:left="180"/>
              <w:spacing w:after="0"/>
              <w:rPr>
                <w:sz w:val="20"/>
                <w:szCs w:val="20"/>
                <w:color w:val="auto"/>
              </w:rPr>
            </w:pPr>
            <w:r>
              <w:rPr>
                <w:rFonts w:ascii="Arial" w:cs="Arial" w:eastAsia="Arial" w:hAnsi="Arial"/>
                <w:sz w:val="18"/>
                <w:szCs w:val="18"/>
                <w:color w:val="auto"/>
                <w:w w:val="98"/>
              </w:rPr>
              <w:t>SEC Ref.</w:t>
            </w:r>
          </w:p>
        </w:tc>
        <w:tc>
          <w:tcPr>
            <w:tcW w:w="9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No.</w:t>
            </w:r>
          </w:p>
        </w:tc>
        <w:tc>
          <w:tcPr>
            <w:tcW w:w="9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Title of Document</w:t>
            </w:r>
          </w:p>
        </w:tc>
        <w:tc>
          <w:tcPr>
            <w:tcW w:w="24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Location</w:t>
            </w:r>
          </w:p>
        </w:tc>
      </w:tr>
      <w:tr>
        <w:trPr>
          <w:trHeight w:val="216"/>
        </w:trPr>
        <w:tc>
          <w:tcPr>
            <w:tcW w:w="1160" w:type="dxa"/>
            <w:vAlign w:val="bottom"/>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31</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Section 302</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24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This filing</w:t>
            </w:r>
          </w:p>
        </w:tc>
      </w:tr>
      <w:tr>
        <w:trPr>
          <w:trHeight w:val="216"/>
        </w:trPr>
        <w:tc>
          <w:tcPr>
            <w:tcW w:w="1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40" w:type="dxa"/>
            <w:vAlign w:val="bottom"/>
          </w:tcPr>
          <w:p>
            <w:pPr>
              <w:ind w:left="440"/>
              <w:spacing w:after="0"/>
              <w:rPr>
                <w:sz w:val="20"/>
                <w:szCs w:val="20"/>
                <w:color w:val="auto"/>
              </w:rPr>
            </w:pPr>
            <w:r>
              <w:rPr>
                <w:rFonts w:ascii="Arial" w:cs="Arial" w:eastAsia="Arial" w:hAnsi="Arial"/>
                <w:sz w:val="18"/>
                <w:szCs w:val="18"/>
                <w:color w:val="auto"/>
              </w:rPr>
              <w:t>31</w:t>
            </w:r>
          </w:p>
        </w:tc>
        <w:tc>
          <w:tcPr>
            <w:tcW w:w="980" w:type="dxa"/>
            <w:vAlign w:val="bottom"/>
          </w:tcPr>
          <w:p>
            <w:pPr>
              <w:ind w:left="100"/>
              <w:spacing w:after="0"/>
              <w:rPr>
                <w:sz w:val="20"/>
                <w:szCs w:val="20"/>
                <w:color w:val="auto"/>
              </w:rPr>
            </w:pPr>
            <w:r>
              <w:rPr>
                <w:rFonts w:ascii="Arial" w:cs="Arial" w:eastAsia="Arial" w:hAnsi="Arial"/>
                <w:sz w:val="18"/>
                <w:szCs w:val="18"/>
                <w:color w:val="auto"/>
                <w:w w:val="90"/>
              </w:rPr>
              <w:t>Section 302</w:t>
            </w:r>
          </w:p>
        </w:tc>
        <w:tc>
          <w:tcPr>
            <w:tcW w:w="38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c>
          <w:tcPr>
            <w:tcW w:w="2440" w:type="dxa"/>
            <w:vAlign w:val="bottom"/>
          </w:tcPr>
          <w:p>
            <w:pPr>
              <w:jc w:val="center"/>
              <w:ind w:left="150"/>
              <w:spacing w:after="0"/>
              <w:rPr>
                <w:sz w:val="20"/>
                <w:szCs w:val="20"/>
                <w:color w:val="auto"/>
              </w:rPr>
            </w:pPr>
            <w:r>
              <w:rPr>
                <w:rFonts w:ascii="Arial" w:cs="Arial" w:eastAsia="Arial" w:hAnsi="Arial"/>
                <w:sz w:val="18"/>
                <w:szCs w:val="18"/>
                <w:color w:val="auto"/>
                <w:w w:val="99"/>
              </w:rPr>
              <w:t>This filing</w:t>
            </w:r>
          </w:p>
        </w:tc>
      </w:tr>
      <w:tr>
        <w:trPr>
          <w:trHeight w:val="216"/>
        </w:trPr>
        <w:tc>
          <w:tcPr>
            <w:tcW w:w="1160" w:type="dxa"/>
            <w:vAlign w:val="bottom"/>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32.1</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Section 906</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24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This filing</w:t>
            </w:r>
          </w:p>
        </w:tc>
      </w:tr>
      <w:tr>
        <w:trPr>
          <w:trHeight w:val="230"/>
        </w:trPr>
        <w:tc>
          <w:tcPr>
            <w:tcW w:w="1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940" w:type="dxa"/>
            <w:vAlign w:val="bottom"/>
          </w:tcPr>
          <w:p>
            <w:pPr>
              <w:ind w:left="440"/>
              <w:spacing w:after="0"/>
              <w:rPr>
                <w:sz w:val="20"/>
                <w:szCs w:val="20"/>
                <w:color w:val="auto"/>
              </w:rPr>
            </w:pPr>
            <w:r>
              <w:rPr>
                <w:rFonts w:ascii="Arial" w:cs="Arial" w:eastAsia="Arial" w:hAnsi="Arial"/>
                <w:sz w:val="18"/>
                <w:szCs w:val="18"/>
                <w:color w:val="auto"/>
              </w:rPr>
              <w:t>32</w:t>
            </w:r>
          </w:p>
        </w:tc>
        <w:tc>
          <w:tcPr>
            <w:tcW w:w="980" w:type="dxa"/>
            <w:vAlign w:val="bottom"/>
          </w:tcPr>
          <w:p>
            <w:pPr>
              <w:ind w:left="100"/>
              <w:spacing w:after="0"/>
              <w:rPr>
                <w:sz w:val="20"/>
                <w:szCs w:val="20"/>
                <w:color w:val="auto"/>
              </w:rPr>
            </w:pPr>
            <w:r>
              <w:rPr>
                <w:rFonts w:ascii="Arial" w:cs="Arial" w:eastAsia="Arial" w:hAnsi="Arial"/>
                <w:sz w:val="18"/>
                <w:szCs w:val="18"/>
                <w:color w:val="auto"/>
                <w:w w:val="90"/>
              </w:rPr>
              <w:t>Section 906</w:t>
            </w:r>
          </w:p>
        </w:tc>
        <w:tc>
          <w:tcPr>
            <w:tcW w:w="38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c>
          <w:tcPr>
            <w:tcW w:w="2440" w:type="dxa"/>
            <w:vAlign w:val="bottom"/>
          </w:tcPr>
          <w:p>
            <w:pPr>
              <w:jc w:val="center"/>
              <w:ind w:left="150"/>
              <w:spacing w:after="0"/>
              <w:rPr>
                <w:sz w:val="20"/>
                <w:szCs w:val="20"/>
                <w:color w:val="auto"/>
              </w:rPr>
            </w:pPr>
            <w:r>
              <w:rPr>
                <w:rFonts w:ascii="Arial" w:cs="Arial" w:eastAsia="Arial" w:hAnsi="Arial"/>
                <w:sz w:val="18"/>
                <w:szCs w:val="18"/>
                <w:color w:val="auto"/>
                <w:w w:val="99"/>
              </w:rPr>
              <w:t>This filing</w:t>
            </w:r>
          </w:p>
        </w:tc>
      </w:tr>
    </w:tbl>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May 13,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May 13,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240" w:top="513" w:right="419" w:bottom="1440" w:gutter="0" w:footer="0" w:header="0"/>
        </w:sectPr>
      </w:pPr>
    </w:p>
    <w:bookmarkStart w:id="29" w:name="page30"/>
    <w:bookmarkEnd w:id="29"/>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ClearOne Communications, Inc.;</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44"/>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10" w:right="239" w:bottom="1440" w:gutter="0" w:footer="0" w:header="0"/>
        </w:sectPr>
      </w:pPr>
    </w:p>
    <w:bookmarkStart w:id="30" w:name="page31"/>
    <w:bookmarkEnd w:id="30"/>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500" w:hanging="231"/>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ClearOne Communications, Inc.;</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44"/>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Quarterly Report of ClearOne Communications, Inc. on Form 10-Q for the three months ended March 31, 2008,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w:t>
      </w:r>
    </w:p>
    <w:p>
      <w:pPr>
        <w:sectPr>
          <w:pgSz w:w="11900" w:h="16838" w:orient="portrait"/>
          <w:cols w:equalWidth="0" w:num="1">
            <w:col w:w="11420"/>
          </w:cols>
          <w:pgMar w:left="240" w:top="105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Quarterly Report of ClearOne Communications, Inc. on Form 10-Q for the three months ended March 31, 2008,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7"/>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2019-12-13T18:12:37Z</dcterms:created>
  <dcterms:modified xsi:type="dcterms:W3CDTF">2019-12-13T18:12:37Z</dcterms:modified>
</cp:coreProperties>
</file>