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ind w:left="1060" w:right="2420" w:hanging="1025"/>
        <w:spacing w:after="0" w:line="298"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2015</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40"/>
              <w:spacing w:after="0"/>
              <w:rPr>
                <w:sz w:val="20"/>
                <w:szCs w:val="20"/>
                <w:color w:val="auto"/>
              </w:rPr>
            </w:pPr>
            <w:r>
              <w:rPr>
                <w:rFonts w:ascii="Arial" w:cs="Arial" w:eastAsia="Arial" w:hAnsi="Arial"/>
                <w:sz w:val="16"/>
                <w:szCs w:val="16"/>
                <w:color w:val="auto"/>
              </w:rPr>
              <w:t>[ ]</w:t>
            </w:r>
          </w:p>
        </w:tc>
        <w:tc>
          <w:tcPr>
            <w:tcW w:w="10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06"/>
        </w:trPr>
        <w:tc>
          <w:tcPr>
            <w:tcW w:w="620" w:type="dxa"/>
            <w:vAlign w:val="bottom"/>
          </w:tcPr>
          <w:p>
            <w:pPr>
              <w:spacing w:after="0"/>
              <w:rPr>
                <w:sz w:val="17"/>
                <w:szCs w:val="17"/>
                <w:color w:val="auto"/>
              </w:rPr>
            </w:pPr>
          </w:p>
        </w:tc>
        <w:tc>
          <w:tcPr>
            <w:tcW w:w="5540" w:type="dxa"/>
            <w:vAlign w:val="bottom"/>
            <w:gridSpan w:val="4"/>
          </w:tcPr>
          <w:p>
            <w:pPr>
              <w:ind w:left="440"/>
              <w:spacing w:after="0"/>
              <w:rPr>
                <w:sz w:val="20"/>
                <w:szCs w:val="20"/>
                <w:color w:val="auto"/>
              </w:rPr>
            </w:pPr>
            <w:r>
              <w:rPr>
                <w:rFonts w:ascii="Arial" w:cs="Arial" w:eastAsia="Arial" w:hAnsi="Arial"/>
                <w:sz w:val="16"/>
                <w:szCs w:val="16"/>
                <w:color w:val="auto"/>
              </w:rPr>
              <w:t>For the transition period from _________ to ___________</w:t>
            </w:r>
          </w:p>
        </w:tc>
        <w:tc>
          <w:tcPr>
            <w:tcW w:w="5240" w:type="dxa"/>
            <w:vAlign w:val="bottom"/>
          </w:tcPr>
          <w:p>
            <w:pPr>
              <w:spacing w:after="0"/>
              <w:rPr>
                <w:sz w:val="17"/>
                <w:szCs w:val="17"/>
                <w:color w:val="auto"/>
              </w:rPr>
            </w:pPr>
          </w:p>
        </w:tc>
      </w:tr>
      <w:tr>
        <w:trPr>
          <w:trHeight w:val="411"/>
        </w:trPr>
        <w:tc>
          <w:tcPr>
            <w:tcW w:w="6160" w:type="dxa"/>
            <w:vAlign w:val="bottom"/>
            <w:gridSpan w:val="5"/>
          </w:tcPr>
          <w:p>
            <w:pPr>
              <w:spacing w:after="0"/>
              <w:rPr>
                <w:sz w:val="20"/>
                <w:szCs w:val="20"/>
                <w:color w:val="auto"/>
              </w:rPr>
            </w:pPr>
            <w:r>
              <w:rPr>
                <w:rFonts w:ascii="Arial" w:cs="Arial" w:eastAsia="Arial" w:hAnsi="Arial"/>
                <w:sz w:val="16"/>
                <w:szCs w:val="16"/>
                <w:color w:val="auto"/>
              </w:rPr>
              <w:t>Commission file number 001-33660</w:t>
            </w:r>
          </w:p>
        </w:tc>
        <w:tc>
          <w:tcPr>
            <w:tcW w:w="524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b w:val="1"/>
                <w:bCs w:val="1"/>
                <w:color w:val="auto"/>
              </w:rPr>
              <w:t>CLEARONE, INC.</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0" w:type="dxa"/>
            <w:vAlign w:val="bottom"/>
            <w:gridSpan w:val="2"/>
          </w:tcPr>
          <w:p>
            <w:pPr>
              <w:jc w:val="center"/>
              <w:ind w:right="2460"/>
              <w:spacing w:after="0"/>
              <w:rPr>
                <w:sz w:val="20"/>
                <w:szCs w:val="20"/>
                <w:color w:val="auto"/>
              </w:rPr>
            </w:pPr>
            <w:r>
              <w:rPr>
                <w:rFonts w:ascii="Arial" w:cs="Arial" w:eastAsia="Arial" w:hAnsi="Arial"/>
                <w:sz w:val="16"/>
                <w:szCs w:val="16"/>
                <w:b w:val="1"/>
                <w:bCs w:val="1"/>
                <w:color w:val="auto"/>
                <w:w w:val="95"/>
              </w:rPr>
              <w:t>Utah</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5"/>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620" w:type="dxa"/>
            <w:vAlign w:val="bottom"/>
          </w:tcPr>
          <w:p>
            <w:pPr>
              <w:spacing w:after="0"/>
              <w:rPr>
                <w:sz w:val="24"/>
                <w:szCs w:val="24"/>
                <w:color w:val="auto"/>
              </w:rPr>
            </w:pPr>
          </w:p>
        </w:tc>
        <w:tc>
          <w:tcPr>
            <w:tcW w:w="554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00" w:type="dxa"/>
            <w:vAlign w:val="bottom"/>
            <w:gridSpan w:val="3"/>
          </w:tcPr>
          <w:p>
            <w:pPr>
              <w:jc w:val="center"/>
              <w:ind w:right="176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right"/>
              <w:ind w:right="2179"/>
              <w:spacing w:after="0"/>
              <w:rPr>
                <w:sz w:val="20"/>
                <w:szCs w:val="20"/>
                <w:color w:val="auto"/>
              </w:rPr>
            </w:pPr>
            <w:r>
              <w:rPr>
                <w:rFonts w:ascii="Arial" w:cs="Arial" w:eastAsia="Arial" w:hAnsi="Arial"/>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00" w:type="dxa"/>
            <w:vAlign w:val="bottom"/>
            <w:gridSpan w:val="3"/>
          </w:tcPr>
          <w:p>
            <w:pPr>
              <w:ind w:left="320"/>
              <w:spacing w:after="0"/>
              <w:rPr>
                <w:sz w:val="20"/>
                <w:szCs w:val="20"/>
                <w:color w:val="auto"/>
              </w:rPr>
            </w:pPr>
            <w:r>
              <w:rPr>
                <w:rFonts w:ascii="Arial" w:cs="Arial" w:eastAsia="Arial" w:hAnsi="Arial"/>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Arial" w:cs="Arial" w:eastAsia="Arial" w:hAnsi="Arial"/>
                <w:sz w:val="16"/>
                <w:szCs w:val="16"/>
                <w:b w:val="1"/>
                <w:bCs w:val="1"/>
                <w:color w:val="auto"/>
              </w:rPr>
              <w:t>801-975-7200</w:t>
            </w:r>
          </w:p>
        </w:tc>
      </w:tr>
    </w:tbl>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312"/>
        </w:trPr>
        <w:tc>
          <w:tcPr>
            <w:tcW w:w="510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Common Stock, $0.001 par value</w:t>
            </w:r>
          </w:p>
        </w:tc>
        <w:tc>
          <w:tcPr>
            <w:tcW w:w="1100" w:type="dxa"/>
            <w:vAlign w:val="bottom"/>
          </w:tcPr>
          <w:p>
            <w:pPr>
              <w:spacing w:after="0"/>
              <w:rPr>
                <w:sz w:val="24"/>
                <w:szCs w:val="24"/>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color w:val="auto"/>
                <w:w w:val="96"/>
              </w:rPr>
              <w:t>The NASDAQ Capital Market</w:t>
            </w:r>
          </w:p>
        </w:tc>
      </w:tr>
      <w:tr>
        <w:trPr>
          <w:trHeight w:val="48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10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Arial" w:cs="Arial" w:eastAsia="Arial" w:hAnsi="Arial"/>
                <w:sz w:val="16"/>
                <w:szCs w:val="16"/>
                <w:b w:val="1"/>
                <w:bCs w:val="1"/>
                <w:color w:val="auto"/>
              </w:rPr>
              <w:t>None</w:t>
            </w:r>
          </w:p>
        </w:tc>
      </w:tr>
      <w:tr>
        <w:trPr>
          <w:trHeight w:val="33"/>
        </w:trPr>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20"/>
        <w:spacing w:after="0" w:line="22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48" w:lineRule="exact"/>
        <w:rPr>
          <w:sz w:val="24"/>
          <w:szCs w:val="24"/>
          <w:color w:val="auto"/>
        </w:rPr>
      </w:pPr>
    </w:p>
    <w:p>
      <w:pPr>
        <w:ind w:right="12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300" w:val="left"/>
          <w:tab w:leader="none" w:pos="4560" w:val="left"/>
          <w:tab w:leader="none" w:pos="684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(Do not check if a smaller reporting company)</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ind w:right="160"/>
        <w:spacing w:after="0" w:line="252"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$79.3 million at June 30, 2015</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most recently completed second fiscal quarter), based on the $12.91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14, 2016 was 9,185,039.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194" w:lineRule="exact"/>
        <w:rPr>
          <w:sz w:val="24"/>
          <w:szCs w:val="24"/>
          <w:color w:val="auto"/>
        </w:rPr>
      </w:pPr>
    </w:p>
    <w:p>
      <w:pPr>
        <w:ind w:right="260"/>
        <w:spacing w:after="0" w:line="349" w:lineRule="auto"/>
        <w:rPr>
          <w:sz w:val="20"/>
          <w:szCs w:val="20"/>
          <w:color w:val="auto"/>
        </w:rPr>
      </w:pPr>
      <w:r>
        <w:rPr>
          <w:rFonts w:ascii="Arial" w:cs="Arial" w:eastAsia="Arial" w:hAnsi="Arial"/>
          <w:sz w:val="14"/>
          <w:szCs w:val="14"/>
          <w:color w:val="auto"/>
        </w:rPr>
        <w:t>Information required by Part III is incorporated by reference from registrant's proxy statement for the 2016 annual meeting of shareholders or an amendment to this Annual Report on Form 10-K, which will be filed with the Securities and Exchange Commission within 120 days after the end of its fiscal year ended December 31, 2015.</w:t>
      </w:r>
    </w:p>
    <w:p>
      <w:pPr>
        <w:sectPr>
          <w:pgSz w:w="11900" w:h="16838" w:orient="portrait"/>
          <w:cols w:equalWidth="0" w:num="1">
            <w:col w:w="11400"/>
          </w:cols>
          <w:pgMar w:left="240" w:top="468" w:right="2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940" w:type="dxa"/>
            <w:vAlign w:val="bottom"/>
          </w:tcPr>
          <w:p>
            <w:pPr>
              <w:jc w:val="center"/>
              <w:ind w:left="530"/>
              <w:spacing w:after="0"/>
              <w:rPr>
                <w:sz w:val="20"/>
                <w:szCs w:val="20"/>
                <w:color w:val="auto"/>
              </w:rPr>
            </w:pPr>
            <w:r>
              <w:rPr>
                <w:rFonts w:ascii="Arial" w:cs="Arial" w:eastAsia="Arial" w:hAnsi="Arial"/>
                <w:sz w:val="18"/>
                <w:szCs w:val="18"/>
                <w:b w:val="1"/>
                <w:bCs w:val="1"/>
                <w:color w:val="auto"/>
              </w:rPr>
              <w:t>CLEARONE, INC.</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94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ANNUAL REPORT ON FORM 10-K FOR THE YEAR ENDED DECEMBER 31, 2015</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9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73"/>
        </w:trPr>
        <w:tc>
          <w:tcPr>
            <w:tcW w:w="9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w w:val="78"/>
              </w:rPr>
              <w:t>Page</w:t>
            </w:r>
          </w:p>
        </w:tc>
      </w:tr>
      <w:tr>
        <w:trPr>
          <w:trHeight w:val="291"/>
        </w:trPr>
        <w:tc>
          <w:tcPr>
            <w:tcW w:w="900" w:type="dxa"/>
            <w:vAlign w:val="bottom"/>
          </w:tcPr>
          <w:p>
            <w:pPr>
              <w:spacing w:after="0"/>
              <w:rPr>
                <w:sz w:val="24"/>
                <w:szCs w:val="24"/>
                <w:color w:val="auto"/>
              </w:rPr>
            </w:pPr>
          </w:p>
        </w:tc>
        <w:tc>
          <w:tcPr>
            <w:tcW w:w="8940" w:type="dxa"/>
            <w:vAlign w:val="bottom"/>
          </w:tcPr>
          <w:p>
            <w:pPr>
              <w:ind w:left="4200"/>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940" w:type="dxa"/>
            <w:vAlign w:val="bottom"/>
          </w:tcPr>
          <w:p>
            <w:pPr>
              <w:ind w:left="26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980" w:type="dxa"/>
            <w:vAlign w:val="bottom"/>
            <w:gridSpan w:val="2"/>
          </w:tcPr>
          <w:p>
            <w:pPr>
              <w:jc w:val="center"/>
              <w:ind w:left="530"/>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270"/>
        </w:trPr>
        <w:tc>
          <w:tcPr>
            <w:tcW w:w="900" w:type="dxa"/>
            <w:vAlign w:val="bottom"/>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1A.</w:t>
              </w:r>
            </w:hyperlink>
          </w:p>
        </w:tc>
        <w:tc>
          <w:tcPr>
            <w:tcW w:w="8940" w:type="dxa"/>
            <w:vAlign w:val="bottom"/>
          </w:tcPr>
          <w:p>
            <w:pPr>
              <w:ind w:left="26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980" w:type="dxa"/>
            <w:vAlign w:val="bottom"/>
            <w:gridSpan w:val="2"/>
          </w:tcPr>
          <w:p>
            <w:pPr>
              <w:jc w:val="center"/>
              <w:ind w:left="530"/>
              <w:spacing w:after="0"/>
              <w:rPr>
                <w:rFonts w:ascii="Arial" w:cs="Arial" w:eastAsia="Arial" w:hAnsi="Arial"/>
                <w:sz w:val="18"/>
                <w:szCs w:val="18"/>
                <w:color w:val="auto"/>
                <w:w w:val="79"/>
              </w:rPr>
            </w:pPr>
            <w:hyperlink w:anchor="page11">
              <w:r>
                <w:rPr>
                  <w:rFonts w:ascii="Arial" w:cs="Arial" w:eastAsia="Arial" w:hAnsi="Arial"/>
                  <w:sz w:val="18"/>
                  <w:szCs w:val="18"/>
                  <w:color w:val="auto"/>
                  <w:w w:val="79"/>
                </w:rPr>
                <w:t>9</w:t>
              </w:r>
            </w:hyperlink>
          </w:p>
        </w:tc>
      </w:tr>
      <w:tr>
        <w:trPr>
          <w:trHeight w:val="270"/>
        </w:trPr>
        <w:tc>
          <w:tcPr>
            <w:tcW w:w="90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1B.</w:t>
              </w:r>
            </w:hyperlink>
          </w:p>
        </w:tc>
        <w:tc>
          <w:tcPr>
            <w:tcW w:w="8940" w:type="dxa"/>
            <w:vAlign w:val="bottom"/>
          </w:tcPr>
          <w:p>
            <w:pPr>
              <w:ind w:left="260"/>
              <w:spacing w:after="0"/>
              <w:rPr>
                <w:rFonts w:ascii="Arial" w:cs="Arial" w:eastAsia="Arial" w:hAnsi="Arial"/>
                <w:sz w:val="18"/>
                <w:szCs w:val="18"/>
                <w:color w:val="auto"/>
              </w:rPr>
            </w:pPr>
            <w:hyperlink w:anchor="page19">
              <w:r>
                <w:rPr>
                  <w:rFonts w:ascii="Arial" w:cs="Arial" w:eastAsia="Arial" w:hAnsi="Arial"/>
                  <w:sz w:val="18"/>
                  <w:szCs w:val="18"/>
                  <w:color w:val="auto"/>
                </w:rPr>
                <w:t>Unresolved Staff Comments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18</w:t>
              </w:r>
            </w:hyperlink>
          </w:p>
        </w:tc>
      </w:tr>
      <w:tr>
        <w:trPr>
          <w:trHeight w:val="270"/>
        </w:trPr>
        <w:tc>
          <w:tcPr>
            <w:tcW w:w="90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8940" w:type="dxa"/>
            <w:vAlign w:val="bottom"/>
          </w:tcPr>
          <w:p>
            <w:pPr>
              <w:ind w:left="260"/>
              <w:spacing w:after="0"/>
              <w:rPr>
                <w:rFonts w:ascii="Arial" w:cs="Arial" w:eastAsia="Arial" w:hAnsi="Arial"/>
                <w:sz w:val="18"/>
                <w:szCs w:val="18"/>
                <w:color w:val="auto"/>
              </w:rPr>
            </w:pPr>
            <w:hyperlink w:anchor="page20">
              <w:r>
                <w:rPr>
                  <w:rFonts w:ascii="Arial" w:cs="Arial" w:eastAsia="Arial" w:hAnsi="Arial"/>
                  <w:sz w:val="18"/>
                  <w:szCs w:val="18"/>
                  <w:color w:val="auto"/>
                </w:rPr>
                <w:t>Properties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270"/>
        </w:trPr>
        <w:tc>
          <w:tcPr>
            <w:tcW w:w="90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3.</w:t>
              </w:r>
            </w:hyperlink>
          </w:p>
        </w:tc>
        <w:tc>
          <w:tcPr>
            <w:tcW w:w="8940" w:type="dxa"/>
            <w:vAlign w:val="bottom"/>
          </w:tcPr>
          <w:p>
            <w:pPr>
              <w:ind w:left="260"/>
              <w:spacing w:after="0"/>
              <w:rPr>
                <w:rFonts w:ascii="Arial" w:cs="Arial" w:eastAsia="Arial" w:hAnsi="Arial"/>
                <w:sz w:val="18"/>
                <w:szCs w:val="18"/>
                <w:color w:val="auto"/>
              </w:rPr>
            </w:pPr>
            <w:hyperlink w:anchor="page20">
              <w:r>
                <w:rPr>
                  <w:rFonts w:ascii="Arial" w:cs="Arial" w:eastAsia="Arial" w:hAnsi="Arial"/>
                  <w:sz w:val="18"/>
                  <w:szCs w:val="18"/>
                  <w:color w:val="auto"/>
                </w:rPr>
                <w:t>Legal Proceedings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270"/>
        </w:trPr>
        <w:tc>
          <w:tcPr>
            <w:tcW w:w="90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4.</w:t>
              </w:r>
            </w:hyperlink>
          </w:p>
        </w:tc>
        <w:tc>
          <w:tcPr>
            <w:tcW w:w="8940" w:type="dxa"/>
            <w:vAlign w:val="bottom"/>
          </w:tcPr>
          <w:p>
            <w:pPr>
              <w:ind w:left="260"/>
              <w:spacing w:after="0"/>
              <w:rPr>
                <w:rFonts w:ascii="Arial" w:cs="Arial" w:eastAsia="Arial" w:hAnsi="Arial"/>
                <w:sz w:val="18"/>
                <w:szCs w:val="18"/>
                <w:color w:val="auto"/>
              </w:rPr>
            </w:pPr>
            <w:hyperlink w:anchor="page20">
              <w:r>
                <w:rPr>
                  <w:rFonts w:ascii="Arial" w:cs="Arial" w:eastAsia="Arial" w:hAnsi="Arial"/>
                  <w:sz w:val="18"/>
                  <w:szCs w:val="18"/>
                  <w:color w:val="auto"/>
                </w:rPr>
                <w:t>Mine Safety Disclosures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270"/>
        </w:trPr>
        <w:tc>
          <w:tcPr>
            <w:tcW w:w="900" w:type="dxa"/>
            <w:vAlign w:val="bottom"/>
          </w:tcPr>
          <w:p>
            <w:pPr>
              <w:spacing w:after="0"/>
              <w:rPr>
                <w:sz w:val="23"/>
                <w:szCs w:val="23"/>
                <w:color w:val="auto"/>
              </w:rPr>
            </w:pPr>
          </w:p>
        </w:tc>
        <w:tc>
          <w:tcPr>
            <w:tcW w:w="8940" w:type="dxa"/>
            <w:vAlign w:val="bottom"/>
          </w:tcPr>
          <w:p>
            <w:pPr>
              <w:ind w:left="4300"/>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5.</w:t>
              </w:r>
            </w:hyperlink>
          </w:p>
        </w:tc>
        <w:tc>
          <w:tcPr>
            <w:tcW w:w="8940" w:type="dxa"/>
            <w:vAlign w:val="bottom"/>
          </w:tcPr>
          <w:p>
            <w:pPr>
              <w:ind w:left="260"/>
              <w:spacing w:after="0"/>
              <w:rPr>
                <w:rFonts w:ascii="Arial" w:cs="Arial" w:eastAsia="Arial" w:hAnsi="Arial"/>
                <w:sz w:val="18"/>
                <w:szCs w:val="18"/>
                <w:color w:val="auto"/>
                <w:w w:val="97"/>
              </w:rPr>
            </w:pPr>
            <w:hyperlink w:anchor="page21">
              <w:r>
                <w:rPr>
                  <w:rFonts w:ascii="Arial" w:cs="Arial" w:eastAsia="Arial" w:hAnsi="Arial"/>
                  <w:sz w:val="18"/>
                  <w:szCs w:val="18"/>
                  <w:color w:val="auto"/>
                  <w:w w:val="97"/>
                </w:rPr>
                <w:t>Market for Registrant’s Common Equity, Related Stockholder Matters and Issuer Purchases of Equity Securities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r>
      <w:tr>
        <w:trPr>
          <w:trHeight w:val="270"/>
        </w:trPr>
        <w:tc>
          <w:tcPr>
            <w:tcW w:w="90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6.</w:t>
              </w:r>
            </w:hyperlink>
          </w:p>
        </w:tc>
        <w:tc>
          <w:tcPr>
            <w:tcW w:w="8940" w:type="dxa"/>
            <w:vAlign w:val="bottom"/>
          </w:tcPr>
          <w:p>
            <w:pPr>
              <w:ind w:left="260"/>
              <w:spacing w:after="0"/>
              <w:rPr>
                <w:rFonts w:ascii="Arial" w:cs="Arial" w:eastAsia="Arial" w:hAnsi="Arial"/>
                <w:sz w:val="18"/>
                <w:szCs w:val="18"/>
                <w:color w:val="auto"/>
              </w:rPr>
            </w:pPr>
            <w:hyperlink w:anchor="page21">
              <w:r>
                <w:rPr>
                  <w:rFonts w:ascii="Arial" w:cs="Arial" w:eastAsia="Arial" w:hAnsi="Arial"/>
                  <w:sz w:val="18"/>
                  <w:szCs w:val="18"/>
                  <w:color w:val="auto"/>
                </w:rPr>
                <w:t>Selected Financial Data</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20</w:t>
              </w:r>
            </w:hyperlink>
          </w:p>
        </w:tc>
      </w:tr>
      <w:tr>
        <w:trPr>
          <w:trHeight w:val="270"/>
        </w:trPr>
        <w:tc>
          <w:tcPr>
            <w:tcW w:w="900" w:type="dxa"/>
            <w:vAlign w:val="bottom"/>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7.</w:t>
              </w:r>
            </w:hyperlink>
          </w:p>
        </w:tc>
        <w:tc>
          <w:tcPr>
            <w:tcW w:w="8940" w:type="dxa"/>
            <w:vAlign w:val="bottom"/>
          </w:tcPr>
          <w:p>
            <w:pPr>
              <w:ind w:left="26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20</w:t>
              </w:r>
            </w:hyperlink>
          </w:p>
        </w:tc>
      </w:tr>
      <w:tr>
        <w:trPr>
          <w:trHeight w:val="270"/>
        </w:trPr>
        <w:tc>
          <w:tcPr>
            <w:tcW w:w="90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7A.</w:t>
              </w:r>
            </w:hyperlink>
          </w:p>
        </w:tc>
        <w:tc>
          <w:tcPr>
            <w:tcW w:w="8940" w:type="dxa"/>
            <w:vAlign w:val="bottom"/>
          </w:tcPr>
          <w:p>
            <w:pPr>
              <w:ind w:left="26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27</w:t>
              </w:r>
            </w:hyperlink>
          </w:p>
        </w:tc>
      </w:tr>
      <w:tr>
        <w:trPr>
          <w:trHeight w:val="270"/>
        </w:trPr>
        <w:tc>
          <w:tcPr>
            <w:tcW w:w="90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8.</w:t>
              </w:r>
            </w:hyperlink>
          </w:p>
        </w:tc>
        <w:tc>
          <w:tcPr>
            <w:tcW w:w="8940" w:type="dxa"/>
            <w:vAlign w:val="bottom"/>
          </w:tcPr>
          <w:p>
            <w:pPr>
              <w:ind w:left="260"/>
              <w:spacing w:after="0"/>
              <w:rPr>
                <w:rFonts w:ascii="Arial" w:cs="Arial" w:eastAsia="Arial" w:hAnsi="Arial"/>
                <w:sz w:val="18"/>
                <w:szCs w:val="18"/>
                <w:color w:val="auto"/>
              </w:rPr>
            </w:pPr>
            <w:hyperlink w:anchor="page29">
              <w:r>
                <w:rPr>
                  <w:rFonts w:ascii="Arial" w:cs="Arial" w:eastAsia="Arial" w:hAnsi="Arial"/>
                  <w:sz w:val="18"/>
                  <w:szCs w:val="18"/>
                  <w:color w:val="auto"/>
                </w:rPr>
                <w:t>Financial Statements and Supplementary Data</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90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9.</w:t>
              </w:r>
            </w:hyperlink>
          </w:p>
        </w:tc>
        <w:tc>
          <w:tcPr>
            <w:tcW w:w="8940" w:type="dxa"/>
            <w:vAlign w:val="bottom"/>
          </w:tcPr>
          <w:p>
            <w:pPr>
              <w:ind w:left="260"/>
              <w:spacing w:after="0"/>
              <w:rPr>
                <w:rFonts w:ascii="Arial" w:cs="Arial" w:eastAsia="Arial" w:hAnsi="Arial"/>
                <w:sz w:val="18"/>
                <w:szCs w:val="18"/>
                <w:color w:val="auto"/>
              </w:rPr>
            </w:pPr>
            <w:hyperlink w:anchor="page29">
              <w:r>
                <w:rPr>
                  <w:rFonts w:ascii="Arial" w:cs="Arial" w:eastAsia="Arial" w:hAnsi="Arial"/>
                  <w:sz w:val="18"/>
                  <w:szCs w:val="18"/>
                  <w:color w:val="auto"/>
                </w:rPr>
                <w:t>Changes in and Disagreements with Accountants on Accounting and Financial Disclosure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90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9A.</w:t>
              </w:r>
            </w:hyperlink>
          </w:p>
        </w:tc>
        <w:tc>
          <w:tcPr>
            <w:tcW w:w="8940" w:type="dxa"/>
            <w:vAlign w:val="bottom"/>
          </w:tcPr>
          <w:p>
            <w:pPr>
              <w:ind w:left="26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90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9B.</w:t>
              </w:r>
            </w:hyperlink>
          </w:p>
        </w:tc>
        <w:tc>
          <w:tcPr>
            <w:tcW w:w="8940" w:type="dxa"/>
            <w:vAlign w:val="bottom"/>
          </w:tcPr>
          <w:p>
            <w:pPr>
              <w:ind w:left="260"/>
              <w:spacing w:after="0"/>
              <w:rPr>
                <w:rFonts w:ascii="Arial" w:cs="Arial" w:eastAsia="Arial" w:hAnsi="Arial"/>
                <w:sz w:val="18"/>
                <w:szCs w:val="18"/>
                <w:color w:val="auto"/>
              </w:rPr>
            </w:pPr>
            <w:hyperlink w:anchor="page29">
              <w:r>
                <w:rPr>
                  <w:rFonts w:ascii="Arial" w:cs="Arial" w:eastAsia="Arial" w:hAnsi="Arial"/>
                  <w:sz w:val="18"/>
                  <w:szCs w:val="18"/>
                  <w:color w:val="auto"/>
                </w:rPr>
                <w:t>Other Information</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900" w:type="dxa"/>
            <w:vAlign w:val="bottom"/>
          </w:tcPr>
          <w:p>
            <w:pPr>
              <w:spacing w:after="0"/>
              <w:rPr>
                <w:sz w:val="23"/>
                <w:szCs w:val="23"/>
                <w:color w:val="auto"/>
              </w:rPr>
            </w:pPr>
          </w:p>
        </w:tc>
        <w:tc>
          <w:tcPr>
            <w:tcW w:w="8940" w:type="dxa"/>
            <w:vAlign w:val="bottom"/>
          </w:tcPr>
          <w:p>
            <w:pPr>
              <w:ind w:left="4140"/>
              <w:spacing w:after="0"/>
              <w:rPr>
                <w:sz w:val="20"/>
                <w:szCs w:val="20"/>
                <w:color w:val="auto"/>
              </w:rPr>
            </w:pPr>
            <w:r>
              <w:rPr>
                <w:rFonts w:ascii="Arial" w:cs="Arial" w:eastAsia="Arial" w:hAnsi="Arial"/>
                <w:sz w:val="18"/>
                <w:szCs w:val="18"/>
                <w:b w:val="1"/>
                <w:bCs w:val="1"/>
                <w:color w:val="auto"/>
              </w:rPr>
              <w:t>PART III</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10.</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Directors , Executive Officers and Corporate Governance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11.</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Executive Compensation</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12.</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Security Ownership of Certain Beneficial Owners and Management and Related Stockholder Matters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13.</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Certain Relationships and Related Transactions, and Director Independence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14.</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Principal Accounting Fees and Services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sz w:val="23"/>
                <w:szCs w:val="23"/>
                <w:color w:val="auto"/>
              </w:rPr>
            </w:pPr>
          </w:p>
        </w:tc>
        <w:tc>
          <w:tcPr>
            <w:tcW w:w="8940" w:type="dxa"/>
            <w:vAlign w:val="bottom"/>
          </w:tcPr>
          <w:p>
            <w:pPr>
              <w:ind w:left="414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15.</w:t>
              </w:r>
            </w:hyperlink>
          </w:p>
        </w:tc>
        <w:tc>
          <w:tcPr>
            <w:tcW w:w="8940" w:type="dxa"/>
            <w:vAlign w:val="bottom"/>
          </w:tcPr>
          <w:p>
            <w:pPr>
              <w:ind w:left="260"/>
              <w:spacing w:after="0"/>
              <w:rPr>
                <w:rFonts w:ascii="Arial" w:cs="Arial" w:eastAsia="Arial" w:hAnsi="Arial"/>
                <w:sz w:val="18"/>
                <w:szCs w:val="18"/>
                <w:color w:val="auto"/>
              </w:rPr>
            </w:pPr>
            <w:hyperlink w:anchor="page31">
              <w:r>
                <w:rPr>
                  <w:rFonts w:ascii="Arial" w:cs="Arial" w:eastAsia="Arial" w:hAnsi="Arial"/>
                  <w:sz w:val="18"/>
                  <w:szCs w:val="18"/>
                  <w:color w:val="auto"/>
                </w:rPr>
                <w:t>Exhibits, Financial Statement Schedules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29</w:t>
              </w:r>
            </w:hyperlink>
          </w:p>
        </w:tc>
      </w:tr>
    </w:tbl>
    <w:p>
      <w:pPr>
        <w:sectPr>
          <w:pgSz w:w="11900" w:h="16838" w:orient="portrait"/>
          <w:cols w:equalWidth="0" w:num="1">
            <w:col w:w="10860"/>
          </w:cols>
          <w:pgMar w:left="240" w:top="121" w:right="7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locations in Alachua, Florida; Austin, Texas; Corvallis, Oregon; Hong Kong; Israel, Spain and United Arab Emirates.</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1, 2014, we completed the acquisition of Spontania from Spain-based Dialcom Networks, S.L. in an all-cash deal for €3.66 million (approximately US$5.1 million). Spontania, a software-based cloud collaboration solution, combines the benefits of video conferencing and web conferencing into an enterprise solution that can scale to tens of thousands of users. The addition of Spontania was made with the intent to make us the only company offering an entirely software-based video conferencing product line and to provide on-premise cloud-based Software-as-a-Service (SaaS) and Platform-as-a-Service (PaaS) solutions complementing our existing premise-based, enterprise video conferencing offering, COLLABORATE ®.</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7, 2014, we completed the acquisition of Sabine, Inc. ("Sabine") through a stock purchase agreement ("SPA"). Sabine manufactured, designed and sold Sacom professional wireless microphone systems for live and installed audio. It also manufactured the FBX Feedback Exterminator for reliable automatic feedback control. With the addition of Sabine, we have reliable and exclusive access to the wireless microphones that are a critical component of our complete microphone portfolio. Pursuant to the SPA, we (i) paid initial consideration of $6.89 million in cash and approximately $1.68 million in ClearOne shares. In addition, we paid off Sabine debt of $1.25 million and may be required to make earn-out payments over a three year period from the acquisition date based on achievement of certain performance criteria. We continue to maintain operations at the former Sabine location in Alachua, Florida.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streaming and control;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to enter new growth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Capitalize on the growing adoption of unified communications and introduce new products through emerging information technology channels;</w:t>
      </w:r>
    </w:p>
    <w:p>
      <w:pPr>
        <w:spacing w:after="0" w:line="140"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Providing a superior conferencing and collaboration experience;</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impacting network media distribution and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Leveraging and extending ClearOne technology, leadership and innovation;</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Leveraging our strong domestic and international channels to distribute new products;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Strengthening existing customer and partner relationships through dedicated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audio communication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Unified communications audio end points;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AUDIO COMMUNICATION PRODUCTS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full range of professional audio communication products includes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4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professional audio communication products including premium conferencing and professional microphones contributed 80% and 77% of our consolidated revenue in 2015 and 2014, respectively.</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Conferencing, Sound Reinforcement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occupy the number one position in the global professional audio conferencing market with more than 50% of the total global market share. We have been developing high-end, professional conferencing products since 1991 and believe we have established strong brand recognition for these products worldwide. Our professional conferencing products include the CONVERGE® Pro and Converge SR product lines.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flagship Converge Pro product line leads our professionally installed audio products line. The Converge Pro product line includes the Converge Pro 880, Converge Pro 880T, Converge Pro 880TA, Converge Pro 840T, Converge Pro 8i, Converge Pro TH20 and Converge Pro VH20, and Converge SR product line including Converge SR1212 and SR1212A which together offer various levels of integration and features to allow a commercial system integrator to optimize a system to fit diverse conferencing applications and environments. CONVERGE USB, an USB peripheral provides plug-and-play USB audio connectivity between CONVERGE products and popular desktop/laptop UC applications for rich and professional sound.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second quarter of 2014. we began shipping our new CONNECT™ Dante™ product; a network interface bridge provides Dante digital audio interface to Converge products for transmitting digital audio over Ethernet.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Mid-Tier Premium Conferencing</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Microphones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ClearOne Beamforming Microphone Array is the Pro-Audio industry’s first professional-grade microphone array with Beamforming and adaptive steering technology and ClearOne’s next-generation Acoustic Echo Cancellation. The ultra-sleek design fits into any conferencing environment and delivers the clearest audio pickup available. The 24 microphone element industry-leading Beamforming Microphone Array has focused acoustic beams, digital signal processing, adaptive steering, and acoustic echo canceling to produce the clearest and most intelligible conferencing sound possible. ClearOne began shipping the Beamforming Microphone Array in March 2013. During the first quarter of 2014, we began shipping the Beamforming Microphone Array, including table, wall and ceiling applications, in black to increase market compatibility.</w:t>
      </w:r>
    </w:p>
    <w:p>
      <w:pPr>
        <w:spacing w:after="0" w:line="17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ClearOne also introduced WS800 Wireless Microphone Systems, including four new models of wireless microphones/transmitters (Tabletop/boundary, Gooseneck, Handheld, Bodypack) and a base-station receiver with either 4 or 8 channels, which connect to professional audio mixers. The wireless system combines ease-of-use with the most reliable security and power. ClearOne began shipping the WS800 Wireless Microphone Systems in January 2013. Through the Sabine acquisition, we also began shipping Sacom branded Wireless Microphone Systems in 2014. During 2015 portfolio of wireless microphone systems was enhanced by the introduction of digital compressed versions, Dante standard compatible versions and more frequency ranges catering to various international markets.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UNIFIED COMMUNICATIONS AUDIO END POINTS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13% and 17% of our consolidated revenue in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Traditional Tabletop Conferencing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MAX® product line is comprised of the following product families: MAX EX and MAXAttach® wired phones; MAX Wireless and MAXAttach Wireless; and MAX IP and MAXAttach IP VoIP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Personal Conferencing Products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CHAT® product line includes affordable and stylish personal speakerphones and USB headsets. CHAT speaker phones provide full-duplex and rich full bandwidth frequency response for superior audio clarity. CHAT products are designed for a wide variety of applications and devices (fixed or portable) for greatly enhanced collaboration wherever and whenever needed. CHAT speaker phones are offered as personal speakerphones and group speakerphones.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CHAT personal speakerphones are approximately the size of a deck of cards, and connect to PCs and MACs, laptops, tablets, enterprise handsets, smartphones, cell phones, and MP3 players for rich, clear, hands-free audio and playback. CHAT group speakerphones are designed for small group use. These can also connect many of the same devices and applications as the CHAT personal speakerphones, but feature three microphones in larger design for use by a larger number of participants. CHAT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group speakerphones which can be daisy-chained together to function as a single conferencing system.</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CHAT USB headsets for unified communications combine the comfort, durability and legacy audio quality for which ClearOne is renowned. These affordable USB headsets incorporate advanced microphone noise-canceling technology and acoustic shock protection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VISUAL COMMUNICATION PRODUCTS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visual communication products are sold under following three broad categories: (i) video conferencing, (ii) streaming and (iii) digital signage. Our visual communication products contributed 7% and 6% of our consolidated revenue in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Media Collaboration Products</w:t>
      </w:r>
      <w:r>
        <w:rPr>
          <w:rFonts w:ascii="Arial" w:cs="Arial" w:eastAsia="Arial" w:hAnsi="Arial"/>
          <w:sz w:val="18"/>
          <w:szCs w:val="18"/>
          <w:color w:val="000000"/>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comprehensive portfolio of industry-leading COLLABORATE® branded HD videoconferencing solutions bring cutting-edge software-based full HD (1080p) video conferencing technology with H.264 High Profile encoding that reduces bandwidth utilization up to 50 percent. COLLABORATE is comprised of feature-rich room systems and desktop video applications, as well as enhanced network management, infrastructure solutions and software development kits.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COLLABORATE Infrastructure is for customers who desire an on-premise infrastructure solution. ClearOne offers a single-unit infrastructure server that will serve the needs of both the small to mid-sized businesses and enterprise customers hoping to expand locations. The heavy burden of adding video collaboration pervasively has always been the cost of expensive infrastructure solutions. ClearOne’s single-unit solution provides the infrastructure component at a low price, including directory services, firewall traversal, MCU, H.323 gatekeeper, SIP registrar, license server, call control, and a full management system.</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COLLABORATE Desktop is a versatile application for any PC or laptop user in organizations of any size. Available with up to 1080p resolution, the COLLABORATE Desktop offers multiple media transmitting capabilities for video, audio and data. Using ClearOne's DualStream™ technology, the application has the ability to send and receive video and data streams simultaneously with its additional streaming capability, ClearOne's Simulcast™ allows COLLABORATE Desktop users to chair or participate in corporate broadcasts.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COLLABORATE Room is a best-in-class video conferencing and collaboration solution offering a price-point and feature set vastly superior to that of competing room conferencing solutions. Designed for small and medium businesses and corporate meeting rooms, the COLLABORATE Room features software-based and server-less embedded multipoint (up to 9-way) video conferencing, SIP/H.323 bridging interoperability, built-in recording and streaming, built-in remote content and data sharing, and interactive multicast.</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new COLLABORATE® Room Pro all-in-one appliance combines high-definition 1080p60 video with ClearOne's wildly popular Beamforming Microphone Array for the best audio available on any self-contained video conferencing solution, without using an external DSP unit for audio processing. This new system, available with a 9-party MCU, also includes many media collaboration tools that usually purchased separately, such as: streaming, recording and content creation, presentation.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 PTZ Camera complements COLLABORATE product line, comes with DVI-I (for digital and analog output) and USB 3.0 connectivity that enables users to easily add Full-HD video to UC or video applications running on desktop/laptop. With powerful optical zoom and wide field of view make this camera more suitable for medium to large meeting spaces. Full high definition video in up to 1080p60 resolution helps the remote sites in video conferencing see every detail, even when displayed on a large screen.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Through the Spontania acquisition in 2014, ClearOne started offering Spontania cloud-based Media Collaboration solutions. Spontania empowers customers to deploy video collaboration without the heavy burden of expensive infrastructure. It also allows service providers and partners to expand their offerings by deploying the technology within their own networks. Spontania complements ClearOne's premise-based COLLABORATE enterprise video collaboration portfolio. The complete ClearOne video portfolio now can serve a full range of video collaboration needs for enterprise, SMB, healthcare, education, and other customers, whether they are seeking those solutions deployed in their private data centers or in the ClearOne Spontania cloud. ClearOne now offers its partners and end users a clear choice between public cloud, private cloud, and on-premise solutions.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Streaming Products</w:t>
      </w:r>
      <w:r>
        <w:rPr>
          <w:rFonts w:ascii="Arial" w:cs="Arial" w:eastAsia="Arial" w:hAnsi="Arial"/>
          <w:sz w:val="18"/>
          <w:szCs w:val="18"/>
          <w:color w:val="000000"/>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Streaming products sold under VIEW™ and VIEW Pro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VIEW Pro is our next generation Streaming solution that provides 1080p60, H.264 high definition HDMI video-audio, 4:4:4 true-color, 24 bit per pixel video output. It comes with dual inputs encoder and single output decoder with balanced audio, general purpose control ports and clock synchronized video output. VIEW Pro system also provides multi-view video composition and video-wall features using its built-in video processing engine, without using an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MagicBox Digital Signage Products</w:t>
      </w:r>
    </w:p>
    <w:p>
      <w:pPr>
        <w:spacing w:after="0" w:line="11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We make digital signage and video messaging systems with an emphasis on ease of use and flexibility with hardware and software applications. Our Aavelin-branded media players come with different hardware configurations for Digital Signage applications. By using the Composer Desktop software application or WebSuite application through Software as a Service (SaaS) or Entry Level Server (ELS) with Aavelin media players, the contents can be managed, scheduled and published to one or many media players to display on screens. Our RoomRoster-branded room information solution is a combination of display and data wrapped in one design. It consists of the room sign and database integration used to display room schedules and other information in real-time.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year ended December 31, 2015, approximately $39.6 million, or 68% of our total product sales, were generated in the United States and product sales of approximately $18.2 million, or 32% of our total product sales, were generated outside the United States. Revenue from product sales to customers in the United States was approximately $39.8 million, or 69% of total product sales and revenue from products outside of the United States was approximately $18.1 million and accounted for approximately 31% of our total product sales for the year ended December 31, 2014. We sell directly to our distributors, resellers and end-users in approximately 70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Distributors, Resellers and Independent Integrators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sold our products directly to approximately 461 distributors and direct resellers throughout the world during 2015. Distributors and resellers purchase our products at a discount from list price and resell them worldwide to hundreds of independent system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Marketing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and our MagicBox branded digital signage products on our website www.magicboxinc.com. We also conduct public relations initiatives to get press coverage and product reviews in industry and non-industry publications alike.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get comprehensive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which represented approximately 14.2% of consolidated revenue during the year ended December 31, 2015 and VSO Marketing, which represented 10.4%. During the year ended December 31, 2014, revenues included sales to Starin Marketing, which represented 16% of our consolidated revenue during that period with no other end-user accounting for more that 10 percent. 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shipped orders on which we had not recognized revenue were $4.5 million and $5.0 million as of December 31, 2015 and 2014, respectively. As of December 31, 2015, we had a backlog of un-shipped orders of approximately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audio 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professional audio conferencing system and sound reinforcement markets our main competitors include AcousticMagic, Biamp, Crestron, Extron, Harman, Peavey, Phoenix Audio, Polycom, QSC, Sennheiser, Symetrix, Vaddio and Yamaha and their original equipment manufacturing (OEM) partners, along with several other companies potentially poised to enter the market. We occupy the number one position in the global professional audio conferencing market with more than 50% of the global market share. In the professional microphones market, our primary competitors include AKG, Avlex, Beyerdynamic, Lectrosonics, Media Vision, Sennheiser, Shure, TeachLogic, TOA and Yamaha and their OEM partners. In the traditional tabletop conferencing market, we face significant competition from Avaya, Phoenix Audio, Polycom and Yamaha,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 Our primary competitors in the personal conferencing market are GN Netcom (Jabra), Logitech, Phoenix Audio, Plantronics, Polycom and Yamaha and their OEM partners. Our video conferencing products face tremendous competition from well established players, including Avaya, CISCO, Logitech, Polycom and Vidyo and other emerging players like Acano, Blue Jeans, Pexip, and Zoom . We believe the migration of video conferencing from hardware-based codecs to software-based codecs provides an opportunity for us to differentiate our products and gain market share. Our commercial streaming products face intense competition from a few well-established corporations of diversified capabilities and strengths, including Harman, BiAmp, Crestron, Extron, and Haivision. We believe that our pioneering and patented StreamNet technology delivers superior audio and video streaming performance and flexibility and provides us with a competitive edge over other industry players. In digital signage, our primary competitors include Scala, Tightrope and Visix.</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Currently, all of our products except digital signage products and wireless microphone products are manufactured by EMS providers. Our primary EMS provider is Flextronics. The digital signage products are assembled in our Salt Lake City, Utah facility and wireless microphone products are manufactured and assembled at our Alachua, Florida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revenue has historically been the strongest in the fourth quarter and the weakest in the first quarter, even though a consistent pattern could not be established for seasonality between the quarters. There can be no assurance that any historic sales patterns will continue and, as a result, sales for any prior quarter are not necessarily indicative of the sales to be expected in any future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$8.3 million during the year ended December 31, 2015 and $9.0 million during the year ended December 31, 2014.</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2015, we had 165 full-time employees. Of these employees, 93 were located in our Salt Lake City locations, 42 in other U.S. locations, and 23 in locations outside the U.S. None of our employees are subject to a collective bargaining agreement and we believe our relationship with our employees is good. We also hire contractors with specific skill sets to meet our operational needs.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00" w:lineRule="exact"/>
        <w:rPr>
          <w:sz w:val="20"/>
          <w:szCs w:val="20"/>
          <w:color w:val="auto"/>
        </w:rPr>
      </w:pP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0000FF"/>
        </w:rPr>
        <w:t>We face intense competition in all markets for our products and services and our operating results will be adversely affected if we cannot compete effectively against other companies.</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estimating customer demand in our products segment could harm our profit margins.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sales depend to a certain extent on government funding and regulation.</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Environmental laws and regulations subject us to a number of risks and could result in significant costs and impact on revenue.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profitability may be adversely affected by our continuing dependence on our distribution channels.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00" w:lineRule="exact"/>
        <w:rPr>
          <w:sz w:val="20"/>
          <w:szCs w:val="20"/>
          <w:color w:val="auto"/>
        </w:rPr>
      </w:pP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development delays or defects could harm our competitive position and reduce our 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0000FF"/>
        </w:rPr>
        <w:t>We rely on reporting of distribution channel inventory by our distributors to recognize revenue from product sales to them, which could turn out to be inaccurate.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sample test the inventory of a limited number of distributors on an annual basis, most recently in the fourth quarter of 2015, to gain a comfort level of inventory levels reported, however, inventory levels could contain inaccuracies for items we do not sample.</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0000FF"/>
        </w:rPr>
        <w:t>We depend on an outsourced manufacturing strategy, and any disruption in outsourced services could negatively impact our product availability and revenues.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outsource the manufacturing of all of our products except digital signage and wireless microphone products to electronics manufacturing services ("EMS") providers located in both the U.S. and Asia. If any of these EMS providers experience (i) difficulties in obtaining sufficient supplies of components,</w:t>
      </w:r>
    </w:p>
    <w:p>
      <w:pPr>
        <w:ind w:right="40" w:firstLine="8"/>
        <w:spacing w:after="0" w:line="252"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 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EMS providers are unable to achieve greater operational efficiencies, delivery schedules for new product development and current product delivery could be negatively impacted.</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 you that we will be able to obtain products in sufficient quantities, at competitive prices, or at all.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Global economic conditions have adversely affected our business in the past and could adversely affect our revenues and harm our business in the future.</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0000FF"/>
        </w:rPr>
        <w:t>We are a smaller company than some of our competitors and may be more susceptible to market fluctuations, other adverse events, increased costs and less favorable purchasing terms.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integrating past or future acquisitions could adversely affect our business.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7, 2014, we completed the acquisition of Sabine, Inc. to provide the company with reliable and exclusive access to the supply of wireless microphones that are a critical component of ClearOne’s complete microphone portfolio. On April 1, 2014 we completed the acquisition of Spontania, from Spain-based Dialcom Networks, S.L., which provides us with a software-based cloud collaboration solution. The efficient and effective integration of these businesses and product lines into our organization is important to our growth.</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Profitability could be negatively impacted if we do not adequately forecast the demand for our products and are unable to monetize our long-term inventories.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hold approximately $2.0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Conditions in Israel and the Middle East may affect the operations of our subsidiary in Israel.</w:t>
      </w:r>
    </w:p>
    <w:p>
      <w:pPr>
        <w:spacing w:after="0" w:line="117"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We have formed a subsidiary located in Israel in connection with the acquisition of the assets of VCON Video Conferencing, Ltd.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Recent social unrest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obsolescence could harm demand for our products and could adversely affect our revenue and our results of operations.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If we are unable to protect our intellectual property rights or have insufficient proprietary rights, our business would be materially impaired.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In addition, we may initiate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litigation to enforce our intellectual property rights, which may prompt our adversaries in such litigation to challenge the validity, scope or enforceability of our intellectual property. Our industry is characterized by vigorous protection of intellectual property rights. Such claims and the resulting litigation can be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8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International sales account for a significant portion of our net revenue and risks inherent in international sales could harm our business.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0000FF"/>
        </w:rPr>
        <w:t>We may not be able to hire and retain qualified key and highly-skilled technical employees, which could affect our ability to compete effectively and may cause our revenue and profitability to decline.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rely on third-party technology and license agreements, the loss of any of which could negatively impact our business.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may have difficulty in collecting outstanding receivables.</w:t>
      </w:r>
    </w:p>
    <w:p>
      <w:pPr>
        <w:spacing w:after="0" w:line="11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Interruptions to our business could adversely affect our operations.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Changes in our tax rates could adversely affect our future results.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a U.S. based company subject to tax in U.S. and foreign tax jurisdictions. Unanticipated changes in our tax rates could affect our future results of operations. Our future effective tax rates, which are difficult to predict, could be unfavorably affected by changes in, or interpretation of, tax rules and regulations in the jurisdictions in which we do business, by unanticipated decreases in the amount of revenue or earnings in countries with low statutory tax rates, or by changes in the valuation of our deferred tax assets and liabilities. Further, the accounting for stock compensation expense in accordance with ASC 718 and uncertain tax positions in accordance with ASC 740 could result in more unpredictability and variability to our future effective tax rates.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0000FF"/>
        </w:rPr>
        <w:t>Security breaches and other disruptions could compromise our information and expose us to liability, which would cause our business and reputation to suffer.</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stock price fluctuates as a result of the conduct of our business and stock market fluctuations.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Rights to acquire our common stock could result in dilution to other holders of our common stock.</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of December 31, 2015, there were outstanding options to acquire approximately 1.0 million shares of our common stock at a weighted average exercise price of $6.03 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The sale of additional shares of our common stock could have a negative effect on the market price of our common stock.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0000FF"/>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Section 404 of the Sarbanes-Oxley Act of 2002 (“Section 404”), we are required to furnish a report by our management on our internal control over financial reporting. Such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Further, we must continue to monitor and assess our internal control over financial reporting. Any future failure of our own internal controls or the internal controls at any of our outsourced manufacturers or partners could result in reported material weaknesses. In addition, our control framework may suffer if we are unable to adapt our control framework appropriately as we continue to grow our business. If we are unable to assert in any future reporting period that our internal control over financial reporting is effective, we could lose investor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3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confidence in the accuracy and completeness of our financial reports, which would have an adverse effect on our stock price, market capitalization, results of operations or financial position or other adverse consequences.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0000FF"/>
        </w:rPr>
        <w:t>If equity research analysts do not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7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occupy a 46,000 square-foot manufacturing facility in Alachua, Florida under the terms of an operation lease expiring in March 2016 with an option to extend the lease by two years. The Alachua facility is used primarily to manufacture our wireless microphone products and to support this line of business.</w:t>
      </w:r>
    </w:p>
    <w:p>
      <w:pPr>
        <w:spacing w:after="0" w:line="12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occupy a 40,000 square-foot warehouse in Salt Lake City, Utah under the terms of an operating lease expiring in December 2021, which serves as our primary inventory fulfillment and repair center. This facility also serves as our assembly workshop for digital signage products.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occupy two facilities in Austin, Texas - a 7,070 square-foot facility under the terms of an operating lease expiring in October 2019 and a 11,100 square-foot facility under the terms of an operating lease expiring in August 2016. These facilities support our administrative, sales, marketing, customer support, and research and development activities.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leased approximately 5,600 square-feet of warehouse space in Hong Kong to support our partners and customers located in the Asia-Pacific region. This operating lease expired in February 2014 and has not been renewed.</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lease a 4,700 square-foot office facility in Hod Hasharon, Israel under the terms of an operating lease expiring in December 2017 which serves to support our research and development activities. Upon expiration, we will have the option to extend the lease for two additional years.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2">
        <w:r>
          <w:rPr>
            <w:rFonts w:ascii="Arial" w:cs="Arial" w:eastAsia="Arial" w:hAnsi="Arial"/>
            <w:sz w:val="18"/>
            <w:szCs w:val="18"/>
            <w:u w:val="single" w:color="auto"/>
            <w:color w:val="0000EE"/>
          </w:rPr>
          <w:t>Note 8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common stock has traded on the NASDAQ Capital Market under the symbol "CLRO" since August 14, 2007. The following table sets forth high and low sale prices (or high and low bid quotations) of our common stock for each fiscal quarter indicated as reported on the NASDAQ Capital Market along with dividends declared.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c>
          <w:tcPr>
            <w:tcW w:w="1540" w:type="dxa"/>
            <w:vAlign w:val="bottom"/>
            <w:gridSpan w:val="2"/>
          </w:tcPr>
          <w:p>
            <w:pPr>
              <w:jc w:val="center"/>
              <w:ind w:right="840"/>
              <w:spacing w:after="0" w:line="147" w:lineRule="exact"/>
              <w:rPr>
                <w:sz w:val="20"/>
                <w:szCs w:val="20"/>
                <w:color w:val="auto"/>
              </w:rPr>
            </w:pPr>
            <w:r>
              <w:rPr>
                <w:rFonts w:ascii="Arial" w:cs="Arial" w:eastAsia="Arial" w:hAnsi="Arial"/>
                <w:sz w:val="14"/>
                <w:szCs w:val="14"/>
                <w:b w:val="1"/>
                <w:bCs w:val="1"/>
                <w:color w:val="auto"/>
                <w:w w:val="92"/>
              </w:rPr>
              <w:t>Dividends</w:t>
            </w: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c>
          <w:tcPr>
            <w:tcW w:w="860" w:type="dxa"/>
            <w:vAlign w:val="bottom"/>
          </w:tcPr>
          <w:p>
            <w:pPr>
              <w:jc w:val="right"/>
              <w:ind w:right="116"/>
              <w:spacing w:after="0" w:line="147" w:lineRule="exact"/>
              <w:rPr>
                <w:sz w:val="20"/>
                <w:szCs w:val="20"/>
                <w:color w:val="auto"/>
              </w:rPr>
            </w:pPr>
            <w:r>
              <w:rPr>
                <w:rFonts w:ascii="Arial" w:cs="Arial" w:eastAsia="Arial" w:hAnsi="Arial"/>
                <w:sz w:val="14"/>
                <w:szCs w:val="14"/>
                <w:b w:val="1"/>
                <w:bCs w:val="1"/>
                <w:color w:val="auto"/>
                <w:w w:val="95"/>
              </w:rPr>
              <w:t>Dividends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Declared</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0.035</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0.035</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0.035</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0.050</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14, 2016, the closing price for our common stock as reported on the NASDAQ Capital Market was $12.16.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As of March 14, 2016, there were 9,185,039 shares of our common stock issued and outstanding and held by approximately 294 shareholders of record. This number includes each broker dealer and clearing corporation that holds shares for customers as a single shareholder.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December 2, 2014, ClearOne, Inc. issued a press release announcing the declaration of future cash dividends by the company's Board of Directors and reported the discontinuance of the stock repurchase program. The first of such dividends was at $0.10 per share of ClearOne common stock, payable on January 5, 2015, to stockholders of record on December 12,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May 2012, our Board of Directors authorized a stock repurchase program. Under the program, we were originally authorized to repurchase up to $2 million of our outstanding common stock from time to time over the following 12 month period. On December 2, 2014 our Board of Directors discontinued the repurchase of the Company's stock in conjunction with approving a plan to initiate the payment of a regular cash dividend beginning in the first quarter of 2015. On March 9, 2016, our Board of Directors authorized the repurchase of up to $10 million of the company’s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Throughout this discussion, we compare results of operations for the year ended December 31, 2015 ("2015") to the year ended December 31, 2014 (“2014” or "the comparable period").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7, 2014, we completed the acquisition of Sabine, Inc. ("Sabine") through a stock purchase agreement ("SPA"). Sabine manufactured, designed and sold Sacom professional wireless microphone systems for live and installed audio. It also manufactured the FBX Feedback Exterminator for reliable automatic feedback control. With the addition of Sabine, we have reliable and exclusive access to the wireless microphones that are a critical component of our complete microphone portfolio. Pursuant to the SPA, we (i) paid initial consideration of ClearOne paid approximately $6.89 million in cash and (ii) approximately $1.68 million in ClearOne shares. In addition, we paid off Sabine debt of $1.25 million and may be required to make earn-out payments over a three year period from the acquisition date based on achievement of certain performance criteria. We continue to maintain operations at the former Sabine location in Alachua, Florida.</w:t>
      </w:r>
    </w:p>
    <w:p>
      <w:pPr>
        <w:spacing w:after="0" w:line="18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April 1, 2014, we completed the acquisition of Spontania from Spain-based Dialcom Networks, S.L. in an all-cash deal for €3.66 million (approximately US $5.1 million). Spontania, a software-based cloud collaboration solution, combines the benefits of video conferencing and web conferencing into an enterprise solution that can scale to tens of thousands of users. The addition of Spontania was made with the intent to make us the only company offering an entirely software-based video conferencing product line and to provide on-premise cloud-based Software-as-a-Service (SaaS) and Platform-as-a-Service (PaaS) solutions complementing our existing premise-based, enterprise video conferencing offering, COLLABORATE ®.</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Overall revenue essentially remained the same in 2015 when compared to revenues in 2014. The increase in revenue from professional audio products, specifically microphone products and the increase in revenue from video products was offset by the decrease in unified communications end points. Despite no increase in our revenue in 2015, our gross profit margin increased in 2015 to 64% as compared to 61% in 2014 primarily due to the increase in the mix of higher margin products and the contribution of licensing fees to the revenue. Net income increased to $6.8 million from $5.6 million in 2014. Net income in 2015 increased primarily due to increase in gross margins and reduction in operating expenses.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derive a major portion (approximately 68%) of our revenue from the Americas, which include North America and Latin America. Our share of revenue from foreign markets outside the Americas of 32% was slightly higher in 2015 when compared to 31% in 2014.</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audio visual products market is characterized by intense competition and rapidly evolving technology. Our competitors vary within each product category. Our professional audio communication products, which contribute the most to our revenue, continues to perform strongly largely due to professional microphone products. Despite our strong leadership position in the professional audio communications products market, we face challenges to revenue growth due to limited size of the market and pricing pressures from new competitors attracted to commercial market due to higher margins. Unified communication end points consisting of tabletop and personal conferencing products continue to lose market share due to extreme competition from competitors who have sought to commoditize the market for such products .</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share of our video products remain low even though the products are seeing revenue growth. We face intense competition in this market from well established market leaders as well as emerging players rich with marketing funds.</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expect the acquisition of Sabine in March 2014 and the expansion in the wireless microphone product portfolio will provide ongoing growth in revenue from professional microphone products. As professional microphones complement our professional conferencing products, we expect this acquisition to drive our overall revenue growth.</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continue to focus on deepening and expanding our partnerships with large IT distributors to increase our penetration of the unified communications audio end points market and market for video products. We expect our strategy of combining Spontania, our cloud-based video conferencing product, COLLABORATE, our appliance based media collaboration product and our high-end audio conferencing technology to yield results in the near future. We believe we are also well positioned to capitalize on the continuing migration away from the traditional hardware based video conferencing systems to software based video conferencing applications.</w:t>
      </w:r>
    </w:p>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Current economic conditions all over the world and especially in Europe and Asia Pacific pose significant challenges to our ability to grow revenue. Our cash position continues to be strong even after paying dividends throughout 2015. We will continue to exercise fiscal discipline and balance the need to invest in the growth of our product offerings against the need to maintain the profitability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RESULTS OF OPERATIONS - YEAR ENDED DECEMBER 31, 2015 COMPARED TO YEAR ENDED DECEMBER 31, 2014</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years ended December 31, 2015 and 2014, together with the percentage of total revenue which each item represents.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9"/>
              </w:rPr>
              <w:t>Year Ending December 31,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left="572"/>
              <w:spacing w:after="0"/>
              <w:rPr>
                <w:sz w:val="20"/>
                <w:szCs w:val="20"/>
                <w:color w:val="auto"/>
              </w:rPr>
            </w:pPr>
            <w:r>
              <w:rPr>
                <w:rFonts w:ascii="Arial" w:cs="Arial" w:eastAsia="Arial" w:hAnsi="Arial"/>
                <w:sz w:val="18"/>
                <w:szCs w:val="18"/>
                <w:b w:val="1"/>
                <w:bCs w:val="1"/>
                <w:color w:val="auto"/>
                <w:w w:val="90"/>
              </w:rPr>
              <w:t>Variance</w:t>
            </w:r>
          </w:p>
        </w:tc>
        <w:tc>
          <w:tcPr>
            <w:tcW w:w="860" w:type="dxa"/>
            <w:vAlign w:val="bottom"/>
          </w:tcPr>
          <w:p>
            <w:pPr>
              <w:spacing w:after="0"/>
              <w:rPr>
                <w:sz w:val="20"/>
                <w:szCs w:val="20"/>
                <w:color w:val="auto"/>
              </w:rPr>
            </w:pPr>
          </w:p>
        </w:tc>
      </w:tr>
      <w:tr>
        <w:trPr>
          <w:trHeight w:val="291"/>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4"/>
                <w:szCs w:val="14"/>
                <w:b w:val="1"/>
                <w:bCs w:val="1"/>
                <w:color w:val="auto"/>
                <w:w w:val="94"/>
              </w:rPr>
              <w:t>Favorable (Unfavorable)</w:t>
            </w:r>
          </w:p>
        </w:tc>
      </w:tr>
      <w:tr>
        <w:trPr>
          <w:trHeight w:val="215"/>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Amount (in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Amount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 (in</w:t>
            </w:r>
          </w:p>
        </w:tc>
        <w:tc>
          <w:tcPr>
            <w:tcW w:w="860" w:type="dxa"/>
            <w:vAlign w:val="bottom"/>
          </w:tcPr>
          <w:p>
            <w:pPr>
              <w:spacing w:after="0"/>
              <w:rPr>
                <w:sz w:val="18"/>
                <w:szCs w:val="18"/>
                <w:color w:val="auto"/>
              </w:rPr>
            </w:pPr>
          </w:p>
        </w:tc>
      </w:tr>
      <w:tr>
        <w:trPr>
          <w:trHeight w:val="210"/>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thousands)</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thousands)</w:t>
            </w: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18"/>
                <w:szCs w:val="18"/>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thousands)</w:t>
            </w:r>
          </w:p>
        </w:tc>
        <w:tc>
          <w:tcPr>
            <w:tcW w:w="860" w:type="dxa"/>
            <w:vAlign w:val="bottom"/>
          </w:tcPr>
          <w:p>
            <w:pPr>
              <w:jc w:val="center"/>
              <w:ind w:right="291"/>
              <w:spacing w:after="0"/>
              <w:rPr>
                <w:sz w:val="20"/>
                <w:szCs w:val="20"/>
                <w:color w:val="auto"/>
              </w:rPr>
            </w:pPr>
            <w:r>
              <w:rPr>
                <w:rFonts w:ascii="Arial" w:cs="Arial" w:eastAsia="Arial" w:hAnsi="Arial"/>
                <w:sz w:val="16"/>
                <w:szCs w:val="16"/>
                <w:b w:val="1"/>
                <w:bCs w:val="1"/>
                <w:color w:val="auto"/>
              </w:rPr>
              <w:t>%</w:t>
            </w:r>
          </w:p>
        </w:tc>
      </w:tr>
      <w:tr>
        <w:trPr>
          <w:trHeight w:val="33"/>
        </w:trPr>
        <w:tc>
          <w:tcPr>
            <w:tcW w:w="30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57,796</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ind w:right="31"/>
              <w:spacing w:after="0"/>
              <w:rPr>
                <w:sz w:val="20"/>
                <w:szCs w:val="20"/>
                <w:color w:val="auto"/>
              </w:rPr>
            </w:pPr>
            <w:r>
              <w:rPr>
                <w:rFonts w:ascii="Arial" w:cs="Arial" w:eastAsia="Arial" w:hAnsi="Arial"/>
                <w:sz w:val="18"/>
                <w:szCs w:val="18"/>
                <w:color w:val="auto"/>
                <w:w w:val="91"/>
              </w:rPr>
              <w:t>100%</w:t>
            </w:r>
          </w:p>
        </w:tc>
        <w:tc>
          <w:tcPr>
            <w:tcW w:w="2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57,909</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center"/>
              <w:ind w:right="51"/>
              <w:spacing w:after="0"/>
              <w:rPr>
                <w:sz w:val="20"/>
                <w:szCs w:val="20"/>
                <w:color w:val="auto"/>
              </w:rPr>
            </w:pPr>
            <w:r>
              <w:rPr>
                <w:rFonts w:ascii="Arial" w:cs="Arial" w:eastAsia="Arial" w:hAnsi="Arial"/>
                <w:sz w:val="18"/>
                <w:szCs w:val="18"/>
                <w:color w:val="auto"/>
                <w:w w:val="91"/>
              </w:rPr>
              <w:t>100%</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center"/>
              <w:ind w:right="271"/>
              <w:spacing w:after="0"/>
              <w:rPr>
                <w:sz w:val="20"/>
                <w:szCs w:val="20"/>
                <w:color w:val="auto"/>
              </w:rPr>
            </w:pPr>
            <w:r>
              <w:rPr>
                <w:rFonts w:ascii="Arial" w:cs="Arial" w:eastAsia="Arial" w:hAnsi="Arial"/>
                <w:sz w:val="18"/>
                <w:szCs w:val="18"/>
                <w:color w:val="auto"/>
                <w:w w:val="99"/>
              </w:rPr>
              <w:t>—%</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21,077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color w:val="auto"/>
                <w:w w:val="89"/>
              </w:rPr>
              <w:t>36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22,586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51"/>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right="291"/>
              <w:spacing w:after="0"/>
              <w:rPr>
                <w:sz w:val="20"/>
                <w:szCs w:val="20"/>
                <w:color w:val="auto"/>
              </w:rPr>
            </w:pPr>
            <w:r>
              <w:rPr>
                <w:rFonts w:ascii="Arial" w:cs="Arial" w:eastAsia="Arial" w:hAnsi="Arial"/>
                <w:sz w:val="18"/>
                <w:szCs w:val="18"/>
                <w:color w:val="auto"/>
                <w:w w:val="94"/>
              </w:rPr>
              <w:t>(7)%</w:t>
            </w:r>
          </w:p>
        </w:tc>
      </w:tr>
      <w:tr>
        <w:trPr>
          <w:trHeight w:val="27"/>
        </w:trPr>
        <w:tc>
          <w:tcPr>
            <w:tcW w:w="30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36,719</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ind w:right="31"/>
              <w:spacing w:after="0"/>
              <w:rPr>
                <w:sz w:val="20"/>
                <w:szCs w:val="20"/>
                <w:color w:val="auto"/>
              </w:rPr>
            </w:pPr>
            <w:r>
              <w:rPr>
                <w:rFonts w:ascii="Arial" w:cs="Arial" w:eastAsia="Arial" w:hAnsi="Arial"/>
                <w:sz w:val="18"/>
                <w:szCs w:val="18"/>
                <w:color w:val="auto"/>
                <w:w w:val="89"/>
              </w:rPr>
              <w:t>64</w:t>
            </w:r>
          </w:p>
        </w:tc>
        <w:tc>
          <w:tcPr>
            <w:tcW w:w="2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35,323</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center"/>
              <w:ind w:right="51"/>
              <w:spacing w:after="0"/>
              <w:rPr>
                <w:sz w:val="20"/>
                <w:szCs w:val="20"/>
                <w:color w:val="auto"/>
              </w:rPr>
            </w:pPr>
            <w:r>
              <w:rPr>
                <w:rFonts w:ascii="Arial" w:cs="Arial" w:eastAsia="Arial" w:hAnsi="Arial"/>
                <w:sz w:val="18"/>
                <w:szCs w:val="18"/>
                <w:color w:val="auto"/>
                <w:w w:val="89"/>
              </w:rPr>
              <w:t>61</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center"/>
              <w:ind w:right="291"/>
              <w:spacing w:after="0"/>
              <w:rPr>
                <w:sz w:val="20"/>
                <w:szCs w:val="20"/>
                <w:color w:val="auto"/>
              </w:rPr>
            </w:pPr>
            <w:r>
              <w:rPr>
                <w:rFonts w:ascii="Arial" w:cs="Arial" w:eastAsia="Arial" w:hAnsi="Arial"/>
                <w:sz w:val="18"/>
                <w:szCs w:val="18"/>
                <w:color w:val="auto"/>
                <w:w w:val="92"/>
              </w:rPr>
              <w:t>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51"/>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right="291"/>
              <w:spacing w:after="0"/>
              <w:rPr>
                <w:sz w:val="20"/>
                <w:szCs w:val="20"/>
                <w:color w:val="auto"/>
              </w:rPr>
            </w:pPr>
            <w:r>
              <w:rPr>
                <w:rFonts w:ascii="Arial" w:cs="Arial" w:eastAsia="Arial" w:hAnsi="Arial"/>
                <w:sz w:val="18"/>
                <w:szCs w:val="18"/>
                <w:color w:val="auto"/>
                <w:w w:val="94"/>
              </w:rPr>
              <w:t>(5)%</w:t>
            </w: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Research and product development</w:t>
            </w: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8,318</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ind w:right="31"/>
              <w:spacing w:after="0"/>
              <w:rPr>
                <w:sz w:val="20"/>
                <w:szCs w:val="20"/>
                <w:color w:val="auto"/>
              </w:rPr>
            </w:pPr>
            <w:r>
              <w:rPr>
                <w:rFonts w:ascii="Arial" w:cs="Arial" w:eastAsia="Arial" w:hAnsi="Arial"/>
                <w:sz w:val="18"/>
                <w:szCs w:val="18"/>
                <w:color w:val="auto"/>
                <w:w w:val="89"/>
              </w:rPr>
              <w:t>14</w:t>
            </w:r>
          </w:p>
        </w:tc>
        <w:tc>
          <w:tcPr>
            <w:tcW w:w="2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8,969</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center"/>
              <w:ind w:right="51"/>
              <w:spacing w:after="0"/>
              <w:rPr>
                <w:sz w:val="20"/>
                <w:szCs w:val="20"/>
                <w:color w:val="auto"/>
              </w:rPr>
            </w:pPr>
            <w:r>
              <w:rPr>
                <w:rFonts w:ascii="Arial" w:cs="Arial" w:eastAsia="Arial" w:hAnsi="Arial"/>
                <w:sz w:val="18"/>
                <w:szCs w:val="18"/>
                <w:color w:val="auto"/>
                <w:w w:val="89"/>
              </w:rPr>
              <w:t>15</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center"/>
              <w:ind w:right="291"/>
              <w:spacing w:after="0"/>
              <w:rPr>
                <w:sz w:val="20"/>
                <w:szCs w:val="20"/>
                <w:color w:val="auto"/>
              </w:rPr>
            </w:pPr>
            <w:r>
              <w:rPr>
                <w:rFonts w:ascii="Arial" w:cs="Arial" w:eastAsia="Arial" w:hAnsi="Arial"/>
                <w:sz w:val="18"/>
                <w:szCs w:val="18"/>
                <w:color w:val="auto"/>
                <w:w w:val="94"/>
              </w:rPr>
              <w:t>(7)%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51"/>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right="291"/>
              <w:spacing w:after="0"/>
              <w:rPr>
                <w:sz w:val="20"/>
                <w:szCs w:val="20"/>
                <w:color w:val="auto"/>
              </w:rPr>
            </w:pPr>
            <w:r>
              <w:rPr>
                <w:rFonts w:ascii="Arial" w:cs="Arial" w:eastAsia="Arial" w:hAnsi="Arial"/>
                <w:sz w:val="18"/>
                <w:szCs w:val="18"/>
                <w:color w:val="auto"/>
                <w:w w:val="92"/>
              </w:rPr>
              <w:t>5%</w:t>
            </w:r>
          </w:p>
        </w:tc>
      </w:tr>
      <w:tr>
        <w:trPr>
          <w:trHeight w:val="27"/>
        </w:trPr>
        <w:tc>
          <w:tcPr>
            <w:tcW w:w="30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10,262</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ind w:right="31"/>
              <w:spacing w:after="0"/>
              <w:rPr>
                <w:sz w:val="20"/>
                <w:szCs w:val="20"/>
                <w:color w:val="auto"/>
              </w:rPr>
            </w:pPr>
            <w:r>
              <w:rPr>
                <w:rFonts w:ascii="Arial" w:cs="Arial" w:eastAsia="Arial" w:hAnsi="Arial"/>
                <w:sz w:val="18"/>
                <w:szCs w:val="18"/>
                <w:color w:val="auto"/>
                <w:w w:val="89"/>
              </w:rPr>
              <w:t>18</w:t>
            </w:r>
          </w:p>
        </w:tc>
        <w:tc>
          <w:tcPr>
            <w:tcW w:w="2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7,975</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center"/>
              <w:ind w:right="51"/>
              <w:spacing w:after="0"/>
              <w:rPr>
                <w:sz w:val="20"/>
                <w:szCs w:val="20"/>
                <w:color w:val="auto"/>
              </w:rPr>
            </w:pPr>
            <w:r>
              <w:rPr>
                <w:rFonts w:ascii="Arial" w:cs="Arial" w:eastAsia="Arial" w:hAnsi="Arial"/>
                <w:sz w:val="18"/>
                <w:szCs w:val="18"/>
                <w:color w:val="auto"/>
                <w:w w:val="89"/>
              </w:rPr>
              <w:t>14</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center"/>
              <w:ind w:right="271"/>
              <w:spacing w:after="0"/>
              <w:rPr>
                <w:sz w:val="20"/>
                <w:szCs w:val="20"/>
                <w:color w:val="auto"/>
              </w:rPr>
            </w:pPr>
            <w:r>
              <w:rPr>
                <w:rFonts w:ascii="Arial" w:cs="Arial" w:eastAsia="Arial" w:hAnsi="Arial"/>
                <w:sz w:val="18"/>
                <w:szCs w:val="18"/>
                <w:color w:val="auto"/>
                <w:w w:val="94"/>
              </w:rPr>
              <w:t>29%</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right="271"/>
              <w:spacing w:after="0"/>
              <w:rPr>
                <w:sz w:val="20"/>
                <w:szCs w:val="20"/>
                <w:color w:val="auto"/>
              </w:rPr>
            </w:pPr>
            <w:r>
              <w:rPr>
                <w:rFonts w:ascii="Arial" w:cs="Arial" w:eastAsia="Arial" w:hAnsi="Arial"/>
                <w:sz w:val="18"/>
                <w:szCs w:val="18"/>
                <w:color w:val="auto"/>
                <w:w w:val="94"/>
              </w:rPr>
              <w:t>14%</w:t>
            </w:r>
          </w:p>
        </w:tc>
      </w:tr>
      <w:tr>
        <w:trPr>
          <w:trHeight w:val="27"/>
        </w:trPr>
        <w:tc>
          <w:tcPr>
            <w:tcW w:w="30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10,551</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ind w:right="31"/>
              <w:spacing w:after="0"/>
              <w:rPr>
                <w:sz w:val="20"/>
                <w:szCs w:val="20"/>
                <w:color w:val="auto"/>
              </w:rPr>
            </w:pPr>
            <w:r>
              <w:rPr>
                <w:rFonts w:ascii="Arial" w:cs="Arial" w:eastAsia="Arial" w:hAnsi="Arial"/>
                <w:sz w:val="18"/>
                <w:szCs w:val="18"/>
                <w:color w:val="auto"/>
                <w:w w:val="89"/>
              </w:rPr>
              <w:t>18</w:t>
            </w:r>
          </w:p>
        </w:tc>
        <w:tc>
          <w:tcPr>
            <w:tcW w:w="2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8,229</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center"/>
              <w:ind w:right="51"/>
              <w:spacing w:after="0"/>
              <w:rPr>
                <w:sz w:val="20"/>
                <w:szCs w:val="20"/>
                <w:color w:val="auto"/>
              </w:rPr>
            </w:pPr>
            <w:r>
              <w:rPr>
                <w:rFonts w:ascii="Arial" w:cs="Arial" w:eastAsia="Arial" w:hAnsi="Arial"/>
                <w:sz w:val="18"/>
                <w:szCs w:val="18"/>
                <w:color w:val="auto"/>
                <w:w w:val="89"/>
              </w:rPr>
              <w:t>14</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center"/>
              <w:ind w:right="271"/>
              <w:spacing w:after="0"/>
              <w:rPr>
                <w:sz w:val="20"/>
                <w:szCs w:val="20"/>
                <w:color w:val="auto"/>
              </w:rPr>
            </w:pPr>
            <w:r>
              <w:rPr>
                <w:rFonts w:ascii="Arial" w:cs="Arial" w:eastAsia="Arial" w:hAnsi="Arial"/>
                <w:sz w:val="18"/>
                <w:szCs w:val="18"/>
                <w:color w:val="auto"/>
                <w:w w:val="94"/>
              </w:rPr>
              <w:t>28%</w:t>
            </w: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1"/>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right="271"/>
              <w:spacing w:after="0"/>
              <w:rPr>
                <w:sz w:val="20"/>
                <w:szCs w:val="20"/>
                <w:color w:val="auto"/>
              </w:rPr>
            </w:pPr>
            <w:r>
              <w:rPr>
                <w:rFonts w:ascii="Arial" w:cs="Arial" w:eastAsia="Arial" w:hAnsi="Arial"/>
                <w:sz w:val="18"/>
                <w:szCs w:val="18"/>
                <w:color w:val="auto"/>
                <w:w w:val="94"/>
              </w:rPr>
              <w:t>43%</w:t>
            </w:r>
          </w:p>
        </w:tc>
      </w:tr>
      <w:tr>
        <w:trPr>
          <w:trHeight w:val="27"/>
        </w:trPr>
        <w:tc>
          <w:tcPr>
            <w:tcW w:w="30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auto"/>
            </w:tcBorders>
            <w:shd w:val="clear" w:color="auto" w:fill="BFE4FF"/>
          </w:tcPr>
          <w:p>
            <w:pPr>
              <w:spacing w:after="0"/>
              <w:rPr>
                <w:sz w:val="22"/>
                <w:szCs w:val="22"/>
                <w:color w:val="auto"/>
              </w:rPr>
            </w:pPr>
          </w:p>
        </w:tc>
        <w:tc>
          <w:tcPr>
            <w:tcW w:w="1140" w:type="dxa"/>
            <w:vAlign w:val="bottom"/>
            <w:tcBorders>
              <w:bottom w:val="single" w:sz="8" w:color="auto"/>
            </w:tcBorders>
            <w:shd w:val="clear" w:color="auto" w:fill="BFE4FF"/>
          </w:tcPr>
          <w:p>
            <w:pPr>
              <w:jc w:val="center"/>
              <w:ind w:right="31"/>
              <w:spacing w:after="0"/>
              <w:rPr>
                <w:sz w:val="20"/>
                <w:szCs w:val="20"/>
                <w:color w:val="auto"/>
              </w:rPr>
            </w:pPr>
            <w:r>
              <w:rPr>
                <w:rFonts w:ascii="Arial" w:cs="Arial" w:eastAsia="Arial" w:hAnsi="Arial"/>
                <w:sz w:val="18"/>
                <w:szCs w:val="18"/>
                <w:color w:val="auto"/>
                <w:w w:val="89"/>
              </w:rPr>
              <w:t>12</w:t>
            </w:r>
          </w:p>
        </w:tc>
        <w:tc>
          <w:tcPr>
            <w:tcW w:w="24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5,596</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auto"/>
            </w:tcBorders>
            <w:shd w:val="clear" w:color="auto" w:fill="BFE4FF"/>
          </w:tcPr>
          <w:p>
            <w:pPr>
              <w:spacing w:after="0"/>
              <w:rPr>
                <w:sz w:val="22"/>
                <w:szCs w:val="22"/>
                <w:color w:val="auto"/>
              </w:rPr>
            </w:pPr>
          </w:p>
        </w:tc>
        <w:tc>
          <w:tcPr>
            <w:tcW w:w="1120" w:type="dxa"/>
            <w:vAlign w:val="bottom"/>
            <w:tcBorders>
              <w:bottom w:val="single" w:sz="8" w:color="auto"/>
            </w:tcBorders>
            <w:shd w:val="clear" w:color="auto" w:fill="BFE4FF"/>
          </w:tcPr>
          <w:p>
            <w:pPr>
              <w:jc w:val="center"/>
              <w:ind w:right="51"/>
              <w:spacing w:after="0"/>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auto"/>
            </w:tcBorders>
            <w:shd w:val="clear" w:color="auto" w:fill="BFE4FF"/>
          </w:tcPr>
          <w:p>
            <w:pPr>
              <w:spacing w:after="0"/>
              <w:rPr>
                <w:sz w:val="22"/>
                <w:szCs w:val="22"/>
                <w:color w:val="auto"/>
              </w:rPr>
            </w:pPr>
          </w:p>
        </w:tc>
        <w:tc>
          <w:tcPr>
            <w:tcW w:w="860" w:type="dxa"/>
            <w:vAlign w:val="bottom"/>
            <w:tcBorders>
              <w:bottom w:val="single" w:sz="8" w:color="auto"/>
            </w:tcBorders>
            <w:shd w:val="clear" w:color="auto" w:fill="BFE4FF"/>
          </w:tcPr>
          <w:p>
            <w:pPr>
              <w:jc w:val="center"/>
              <w:ind w:right="271"/>
              <w:spacing w:after="0"/>
              <w:rPr>
                <w:sz w:val="20"/>
                <w:szCs w:val="20"/>
                <w:color w:val="auto"/>
              </w:rPr>
            </w:pPr>
            <w:r>
              <w:rPr>
                <w:rFonts w:ascii="Arial" w:cs="Arial" w:eastAsia="Arial" w:hAnsi="Arial"/>
                <w:sz w:val="18"/>
                <w:szCs w:val="18"/>
                <w:color w:val="auto"/>
                <w:w w:val="94"/>
              </w:rPr>
              <w:t>21%</w:t>
            </w: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remained essentially the same at $57.8 million in 2015 compared to $57.9 million in 2014. While the revenue from professional audio conferencing products increased by 4%, and the video products increased by 11%, the revenue from unified communication end points declined by 22%. The share of professional audio communications products (which includes microphone products but not premium products) in our product mix showed an increase to approximately 80% in 2015 from approximately 77% in 2014. This increase was due to increase in the revenue from microphone products and also due to licensing fees included in professional audio revenue. During 2015, revenue from Asia Pacific including Middle East increased by 4% while Europe and Africa declined by 2% and Americas declined by about 1%.</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quarter 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decreased by $0.5 million to $4.5 million in 2015 compared to $5.0 million in 2014 as a result of movement of inventory in the channel.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gross profit during 2015 was approximately $36.7 million or 64% compared to approximately $35.3 million or 61% in 2014. This increased 4% through slightly decreased revenue coupled with a 7% decrease in COGS resulting from increased proportional of sales of our higher margin products in our sales mix.</w:t>
      </w:r>
    </w:p>
    <w:p>
      <w:pPr>
        <w:spacing w:after="0" w:line="1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Our gross profit during 2014 was approximately $35.3 million or 61.0% compared to approximately $29.9 million or 60% in 2013. This increase in gross margin was primarily due to the increase in the mix of higher margin products in the revenue and the contribution of licensing fees to the revenue. Gross margin was also favorably impacted due to the reduction in inventory obsolescence costs in 2015 when compared to 2014.</w:t>
      </w:r>
    </w:p>
    <w:p>
      <w:pPr>
        <w:spacing w:after="0" w:line="16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communications products. We hold long-term inventory and if we are unable to sell our long-term inventory, our profitability might be affected by inventory write-offs and price mark-downs.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profits (losses),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$26.5 million in 2015 compared to $27.3 million during 2014. The following contains a more detailed discussion of expenses related to sales and marketing, research and product development, general and administrative, and other items.</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 Total S&amp;M expenses were approximately $10.6 million in 2015 compared to $11.2 million in 2014. S&amp;M expenses as a percentage of revenue were 18% and 19% in 2015 and 2014, respectively. The decrease in S&amp;M expenses was primarily due to reduction in employee related costs and commissions paid to employees.</w:t>
      </w:r>
    </w:p>
    <w:p>
      <w:pPr>
        <w:spacing w:after="0" w:line="18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 Total R&amp;D expenses were $8.3 million in 2015 compared to $9.0 million during the comparable period. As a percentage of revenue, R&amp;D expenses were 14% in 2015 compared to 15% in 2014. The decrease was primarily due to reductions in R&amp;D project costs, consulting expenses and employee related costs.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and litigation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administrative costs, including costs related to finance and human resources. Total G&amp;A expenses were approximately $7.5 million in 2015 compared with approximately $7.2 million in 2014. As a percentage of revenue, G&amp;A expenses were 13% in 2015 compared to 12% in 2014 The increase in G&amp;A expenses was primarily due to the increases in various expenses including audit fees incurred on re-audit and reviews of previously filed financial information, information technology costs, legal expenses, stock based compensation and allowance for bad debts. These increases were partially offset by amounts credited for reduced earn-out payments.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expense of $3.8 million during 2015 was primarily the result of tax on current year income. This increase compared to a tax expense of $2.6 million during 2014, was also primarily the result of tax on current year income. This increase of $1.2 million resulted from a decrease in the estimated research and development credit, as well as increases in the losses of foreign jurisdictions for which no benefit can be claimed. In addition, overall pre-tax income increased $2.3 million from 2014, resulting in additional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2015, our cash and cash equivalents were approximately $13.4 million compared to $7.4 million as of December 31, 2014. The increase in cash and cash equivalents was primarily due to accumulating cash from operations. Our working capital was $36.5 million and $30.2 million as of December 31, 2015 and 2014, respectively.</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cash flows provided by operating activities were approximately $7.6 million during 2015, an increase of approximately $0.9 million from $6.7 million provided by operating activities in 2014. The increase was primarily due to increased net income of $1.2 million and increase in non-cash charges of $0.8 million, partially offset by changes in operating assets and liabilities of $1.1 million.</w:t>
      </w:r>
    </w:p>
    <w:p>
      <w:pPr>
        <w:spacing w:after="0" w:line="181" w:lineRule="exact"/>
        <w:rPr>
          <w:sz w:val="20"/>
          <w:szCs w:val="20"/>
          <w:color w:val="auto"/>
        </w:rPr>
      </w:pPr>
    </w:p>
    <w:p>
      <w:pPr>
        <w:ind w:right="1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Net cash flows used in investing activities were $0.6 million during 2015 compared to net cash flows used in investing activities of $14.4 million during 2014. During 2015, the cash outflows on investing activities consisted of purchases of property, plant and equipment of $0.4 million and net outflow of $0.3 million on account of marketable securities. During 2014, the cash outflows for investing activities consisted of outflows of $13.1 million in for the acquisitions of Sabine and Spontania, net outflow of $0.6 million on account of marketable securities and $0.6 million for the purchase of property and equipment and $90 thousand for the purchase of intangibles. Please refer to </w:t>
      </w:r>
      <w:hyperlink w:anchor="page47">
        <w:r>
          <w:rPr>
            <w:rFonts w:ascii="Arial" w:cs="Arial" w:eastAsia="Arial" w:hAnsi="Arial"/>
            <w:sz w:val="18"/>
            <w:szCs w:val="18"/>
            <w:u w:val="single" w:color="auto"/>
            <w:color w:val="0000EE"/>
          </w:rPr>
          <w:t>Note 3 - Business Combinations, Goodwill and Intangibles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Consolidated Financial Statements (Part IV) for details on the company's acquisitions.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in 2015 consisted of proceeds received from the exercise of stock options amounting to $0.5 million and associated tax benefits of $41 thousand, offset by cash dividends of $1.4 million. Net cash used in financing activities in 2014 consisted of proceeds from the exercise of stock options totaling $1.3 million and associated tax benefits totaling $0.2 million, offset by the acquisition of outstanding stock totaling $2.6 million under the stock repurchase program.</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pay cash dividends or repurchase stock.</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2015, we had open purchase orders related to our electronics manufacturing service providers of approximately $3.0 million, primarily related to inventory purchases.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December 31, 2015, we had inventory totaling $17.1 million, of which non-current inventory accounted for $2.0 million. This compares to total inventories of $15.3 million and non-current inventory of $0.9 million as of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consolidated financial statements, which have been prepared in conformity with U.S. generally accepted accounting principles. We review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hyperlink w:anchor="page41">
        <w:r>
          <w:rPr>
            <w:rFonts w:ascii="Arial" w:cs="Arial" w:eastAsia="Arial" w:hAnsi="Arial"/>
            <w:sz w:val="16"/>
            <w:szCs w:val="16"/>
            <w:u w:val="single" w:color="auto"/>
            <w:color w:val="0000EE"/>
          </w:rPr>
          <w:t>Note 1 - Business Description, Basis of Presentation and Significant Accounting Policies</w:t>
        </w:r>
      </w:hyperlink>
      <w:r>
        <w:rPr>
          <w:rFonts w:ascii="Arial" w:cs="Arial" w:eastAsia="Arial" w:hAnsi="Arial"/>
          <w:sz w:val="16"/>
          <w:szCs w:val="16"/>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 As part of these controls, we sample test the inventory of a limited number of distributors on an annual basis, most recently in the fourth quarter of 2015, to verify inventory levels reported.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As of December 31,</w:t>
            </w:r>
          </w:p>
        </w:tc>
        <w:tc>
          <w:tcPr>
            <w:tcW w:w="16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2014</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740" w:type="dxa"/>
            <w:vAlign w:val="bottom"/>
            <w:tcBorders>
              <w:bottom w:val="single" w:sz="8" w:color="CCEEFF"/>
            </w:tcBorders>
            <w:shd w:val="clear" w:color="auto" w:fill="CCEEFF"/>
          </w:tcPr>
          <w:p>
            <w:pPr>
              <w:jc w:val="right"/>
              <w:ind w:right="14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5,004</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7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1,698</w:t>
            </w:r>
          </w:p>
        </w:tc>
      </w:tr>
      <w:tr>
        <w:trPr>
          <w:trHeight w:val="27"/>
        </w:trPr>
        <w:tc>
          <w:tcPr>
            <w:tcW w:w="62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740" w:type="dxa"/>
            <w:vAlign w:val="bottom"/>
            <w:tcBorders>
              <w:bottom w:val="single" w:sz="8" w:color="auto"/>
            </w:tcBorders>
            <w:shd w:val="clear" w:color="auto" w:fill="CCEEFF"/>
          </w:tcPr>
          <w:p>
            <w:pPr>
              <w:jc w:val="right"/>
              <w:ind w:right="15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3,306</w:t>
            </w:r>
          </w:p>
        </w:tc>
      </w:tr>
      <w:tr>
        <w:trPr>
          <w:trHeight w:val="20"/>
        </w:trPr>
        <w:tc>
          <w:tcPr>
            <w:tcW w:w="6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allocated the purchase price for the acquisitions of NetStreams in 2009, MagicBox in 2011, VCON in 2012, and Sabine and Spontania in 2014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 thousand and $400 thousand were recorded as goodwill and intangible assets with indefinite useful life, respectively. With respect to the MagicBox acquisition, $427 thousand and $159 thousand were recorded as goodwill and intangible assets with indefinite useful life, respectively. Assets, with initial indefinite useful lives, have subsequently received finite life assignments. Goodwill of $2.3 million was recorded in connection with the VCON acquisition. With respect to the Sabine acquisition, we recorded goodwill of $5.5 million and identifiable intangible assets of $4.0 million with finite useful lives. With respect to the Spontania acquisition, we recorded goodwill of $3.7 million and identifiable intangible assets of $1.3 million with finite useful lives. There were no related impairments recorded in 2015 or 2014 as no impairment indicators existed. However, due to uncertainty in the industrial, technological, and competitive environments in which we operate, we might be required to exit or dispose of the assets acquired through the NetStreams, MagicBox, VCON, Sabine, or Spontania acquisitions, which could result in an impairment of goodwill and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2015 and determined that based upon available evidence it is more likely than not that certain of our deferred tax assets related to foreign net operating loss carryovers and foreign intangible assets will not be realized and, accordingly, we have recorded a valuation allowance against these deferred tax assets in the amount of $1.1 million. Please refer to </w:t>
      </w:r>
      <w:hyperlink w:anchor="page56">
        <w:r>
          <w:rPr>
            <w:rFonts w:ascii="Arial" w:cs="Arial" w:eastAsia="Arial" w:hAnsi="Arial"/>
            <w:sz w:val="16"/>
            <w:szCs w:val="16"/>
            <w:u w:val="single" w:color="auto"/>
            <w:color w:val="0000EE"/>
          </w:rPr>
          <w:t>Note 12 - Income Taxes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Consolidated Financial Statements for additional information.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would simplify the presentation of taxes on the balance sheet and within the income tax footnote. For a summary of the impact of our adoption of this standard retroactively on our results for the period ending December 31, 2014 see the Business Description, Basis of Presentation and Significant Accounting Policies section included as part of Note 1 to the financial statements.</w:t>
      </w:r>
    </w:p>
    <w:p>
      <w:pPr>
        <w:spacing w:after="0" w:line="1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February 25,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data required by this are included herein as a </w:t>
      </w:r>
      <w:hyperlink w:anchor="page33">
        <w:r>
          <w:rPr>
            <w:rFonts w:ascii="Arial" w:cs="Arial" w:eastAsia="Arial" w:hAnsi="Arial"/>
            <w:sz w:val="18"/>
            <w:szCs w:val="18"/>
            <w:u w:val="single" w:color="auto"/>
            <w:color w:val="0000EE"/>
          </w:rPr>
          <w:t>separate section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beginning on page F-1, and are incorporated in this Item 8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2015. Our disclosure controls and procedures are designed to provide reasonable assurance of achieving their objectives and,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93"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r>
        <w:rPr>
          <w:rFonts w:ascii="Arial" w:cs="Arial" w:eastAsia="Arial" w:hAnsi="Arial"/>
          <w:sz w:val="19"/>
          <w:szCs w:val="19"/>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2015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39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20"/>
          </w:cols>
          <w:pgMar w:left="24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77"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278" w:lineRule="exact"/>
        <w:rPr>
          <w:rFonts w:ascii="Arial" w:cs="Arial" w:eastAsia="Arial" w:hAnsi="Arial"/>
          <w:sz w:val="18"/>
          <w:szCs w:val="18"/>
          <w:color w:val="auto"/>
        </w:rPr>
      </w:pPr>
    </w:p>
    <w:p>
      <w:pPr>
        <w:ind w:left="260" w:right="640" w:hanging="252"/>
        <w:spacing w:after="0" w:line="277"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180"/>
          </w:cols>
          <w:pgMar w:left="240" w:top="121" w:right="4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Incorporated</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698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Herein by</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69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Agreement and Plan of Merger, dated as of November 3, 2009, by and among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11/09/09</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Inc., Alta-Wasatch Acquisition Corporation, NetStreams, Inc., Austin Ventures VIII, L.P., and Kevin 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Reinis.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Amended and Restated Articles of Incorporation of ClearOne, Inc.</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03/25/13</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Bylaws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03/31/11</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Separation Agreement between ClearOne Communications, Inc. and Frances Flood,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08/18/05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Termination Agreement between ClearOne Communications, Inc. and Susie Strohm,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08/18/05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1997 Employee Stock Purchase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10/06/06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1998 Stock Option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10/06/06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2007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01/22/08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ClearOne, Inc.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01/26/16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Amendment No. 1 to the ClearOne, Inc.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4.11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01/26/16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ClearOne, Inc. Employee Stock Purchase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06/30/15</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Office Lease between Edgewater Corporate Park, LLC and ClearOne Communications, Inc. dated June 5,</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09/14/06</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Stock Purchase Agreement Between ClearOne, Inc. and Doran M. Oster Dated March 4, 2014 for the</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03/20/14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Sabine Acquisition.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Manufacturing Services Agreement between Flextronics Industrial, Ltd. and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10/13/09</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 dated November 3, 2008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6"/>
              </w:rPr>
              <w:t>Framework Agreement between ClearOne, Inc. and Dialcom Networks S.L., dated December 20, 2013</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04/07/14</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Amendment to Framework Agreement between ClearOne, Inc. and Dialcom Networks S.L., dated March</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04/07/14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31, 2014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Purchase Agreement between ClearOne, Inc. and Dialcom Networks S.L., dated March 31, 2014</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05/14/14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09/14/06</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Subsidiaries of the registrant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23.1†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Consent of Tanner LLC, Independent Registered Public Accounting Firm</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Instance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Definitions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furnished herewith shall not be deemed to be “filed” for the purposes of Section 18 of the 1934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121" w:right="3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2016</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President, Chief Executive Officer and Chairman of the Board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Brad R. Baldwin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15,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Finance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ectPr>
          <w:pgSz w:w="11900" w:h="16838" w:orient="portrait"/>
          <w:cols w:equalWidth="0" w:num="2">
            <w:col w:w="5820" w:space="720"/>
            <w:col w:w="4640"/>
          </w:cols>
          <w:pgMar w:left="240" w:top="12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 31 |</w:t>
      </w:r>
    </w:p>
    <w:p>
      <w:pPr>
        <w:sectPr>
          <w:pgSz w:w="11900" w:h="16838" w:orient="portrait"/>
          <w:cols w:equalWidth="0" w:num="1">
            <w:col w:w="11180"/>
          </w:cols>
          <w:pgMar w:left="240" w:top="121" w:right="47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10360" w:type="dxa"/>
            <w:vAlign w:val="bottom"/>
            <w:vMerge w:val="restart"/>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360" w:type="dxa"/>
            <w:vAlign w:val="bottom"/>
            <w:vMerge w:val="continue"/>
          </w:tcPr>
          <w:p>
            <w:pPr>
              <w:spacing w:after="0"/>
              <w:rPr>
                <w:sz w:val="20"/>
                <w:szCs w:val="20"/>
                <w:color w:val="auto"/>
              </w:rPr>
            </w:pPr>
          </w:p>
        </w:tc>
        <w:tc>
          <w:tcPr>
            <w:tcW w:w="1020" w:type="dxa"/>
            <w:vAlign w:val="bottom"/>
          </w:tcPr>
          <w:p>
            <w:pPr>
              <w:jc w:val="center"/>
              <w:spacing w:after="0"/>
              <w:rPr>
                <w:rFonts w:ascii="Arial" w:cs="Arial" w:eastAsia="Arial" w:hAnsi="Arial"/>
                <w:sz w:val="18"/>
                <w:szCs w:val="18"/>
                <w:color w:val="auto"/>
                <w:w w:val="96"/>
              </w:rPr>
            </w:pPr>
            <w:hyperlink w:anchor="page34">
              <w:r>
                <w:rPr>
                  <w:rFonts w:ascii="Arial" w:cs="Arial" w:eastAsia="Arial" w:hAnsi="Arial"/>
                  <w:sz w:val="18"/>
                  <w:szCs w:val="18"/>
                  <w:color w:val="auto"/>
                  <w:w w:val="96"/>
                </w:rPr>
                <w:t>F-1</w:t>
              </w:r>
            </w:hyperlink>
          </w:p>
        </w:tc>
        <w:tc>
          <w:tcPr>
            <w:tcW w:w="0" w:type="dxa"/>
            <w:vAlign w:val="bottom"/>
          </w:tcPr>
          <w:p>
            <w:pPr>
              <w:spacing w:after="0"/>
              <w:rPr>
                <w:sz w:val="1"/>
                <w:szCs w:val="1"/>
                <w:color w:val="auto"/>
              </w:rPr>
            </w:pPr>
          </w:p>
        </w:tc>
      </w:tr>
      <w:tr>
        <w:trPr>
          <w:trHeight w:val="270"/>
        </w:trPr>
        <w:tc>
          <w:tcPr>
            <w:tcW w:w="103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Consolidated Balance Sheets as of December 31, 2015 and December 31, 2014</w:t>
              </w:r>
            </w:hyperlink>
          </w:p>
        </w:tc>
        <w:tc>
          <w:tcPr>
            <w:tcW w:w="1020" w:type="dxa"/>
            <w:vAlign w:val="bottom"/>
          </w:tcPr>
          <w:p>
            <w:pPr>
              <w:jc w:val="center"/>
              <w:spacing w:after="0"/>
              <w:rPr>
                <w:rFonts w:ascii="Arial" w:cs="Arial" w:eastAsia="Arial" w:hAnsi="Arial"/>
                <w:sz w:val="18"/>
                <w:szCs w:val="18"/>
                <w:color w:val="auto"/>
                <w:w w:val="96"/>
              </w:rPr>
            </w:pPr>
            <w:hyperlink w:anchor="page35">
              <w:r>
                <w:rPr>
                  <w:rFonts w:ascii="Arial" w:cs="Arial" w:eastAsia="Arial" w:hAnsi="Arial"/>
                  <w:sz w:val="18"/>
                  <w:szCs w:val="18"/>
                  <w:color w:val="auto"/>
                  <w:w w:val="96"/>
                </w:rPr>
                <w:t>F-2</w:t>
              </w:r>
            </w:hyperlink>
          </w:p>
        </w:tc>
        <w:tc>
          <w:tcPr>
            <w:tcW w:w="0" w:type="dxa"/>
            <w:vAlign w:val="bottom"/>
          </w:tcPr>
          <w:p>
            <w:pPr>
              <w:spacing w:after="0"/>
              <w:rPr>
                <w:sz w:val="1"/>
                <w:szCs w:val="1"/>
                <w:color w:val="auto"/>
              </w:rPr>
            </w:pPr>
          </w:p>
        </w:tc>
      </w:tr>
      <w:tr>
        <w:trPr>
          <w:trHeight w:val="270"/>
        </w:trPr>
        <w:tc>
          <w:tcPr>
            <w:tcW w:w="1036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Consolidated Statements of Income and Comprehensive Income for the years ended December 31, 2015 and 2014</w:t>
              </w:r>
            </w:hyperlink>
          </w:p>
        </w:tc>
        <w:tc>
          <w:tcPr>
            <w:tcW w:w="1020" w:type="dxa"/>
            <w:vAlign w:val="bottom"/>
          </w:tcPr>
          <w:p>
            <w:pPr>
              <w:jc w:val="center"/>
              <w:spacing w:after="0"/>
              <w:rPr>
                <w:rFonts w:ascii="Arial" w:cs="Arial" w:eastAsia="Arial" w:hAnsi="Arial"/>
                <w:sz w:val="18"/>
                <w:szCs w:val="18"/>
                <w:color w:val="auto"/>
                <w:w w:val="96"/>
              </w:rPr>
            </w:pPr>
            <w:hyperlink w:anchor="page36">
              <w:r>
                <w:rPr>
                  <w:rFonts w:ascii="Arial" w:cs="Arial" w:eastAsia="Arial" w:hAnsi="Arial"/>
                  <w:sz w:val="18"/>
                  <w:szCs w:val="18"/>
                  <w:color w:val="auto"/>
                  <w:w w:val="96"/>
                </w:rPr>
                <w:t>F-3</w:t>
              </w:r>
            </w:hyperlink>
          </w:p>
        </w:tc>
        <w:tc>
          <w:tcPr>
            <w:tcW w:w="0" w:type="dxa"/>
            <w:vAlign w:val="bottom"/>
          </w:tcPr>
          <w:p>
            <w:pPr>
              <w:spacing w:after="0"/>
              <w:rPr>
                <w:sz w:val="1"/>
                <w:szCs w:val="1"/>
                <w:color w:val="auto"/>
              </w:rPr>
            </w:pPr>
          </w:p>
        </w:tc>
      </w:tr>
      <w:tr>
        <w:trPr>
          <w:trHeight w:val="270"/>
        </w:trPr>
        <w:tc>
          <w:tcPr>
            <w:tcW w:w="1036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 xml:space="preserve">Consolidated Statements of Shareholders' Equity for the years ended December 31, 2015 </w:t>
              </w:r>
            </w:hyperlink>
            <w:r>
              <w:rPr>
                <w:rFonts w:ascii="Arial" w:cs="Arial" w:eastAsia="Arial" w:hAnsi="Arial"/>
                <w:sz w:val="18"/>
                <w:szCs w:val="18"/>
                <w:color w:val="auto"/>
              </w:rPr>
              <w:t>and 2014</w:t>
            </w:r>
          </w:p>
        </w:tc>
        <w:tc>
          <w:tcPr>
            <w:tcW w:w="1020" w:type="dxa"/>
            <w:vAlign w:val="bottom"/>
          </w:tcPr>
          <w:p>
            <w:pPr>
              <w:jc w:val="center"/>
              <w:spacing w:after="0"/>
              <w:rPr>
                <w:rFonts w:ascii="Arial" w:cs="Arial" w:eastAsia="Arial" w:hAnsi="Arial"/>
                <w:sz w:val="18"/>
                <w:szCs w:val="18"/>
                <w:color w:val="auto"/>
                <w:w w:val="96"/>
              </w:rPr>
            </w:pPr>
            <w:hyperlink w:anchor="page37">
              <w:r>
                <w:rPr>
                  <w:rFonts w:ascii="Arial" w:cs="Arial" w:eastAsia="Arial" w:hAnsi="Arial"/>
                  <w:sz w:val="18"/>
                  <w:szCs w:val="18"/>
                  <w:color w:val="auto"/>
                  <w:w w:val="96"/>
                </w:rPr>
                <w:t>F-4</w:t>
              </w:r>
            </w:hyperlink>
          </w:p>
        </w:tc>
        <w:tc>
          <w:tcPr>
            <w:tcW w:w="0" w:type="dxa"/>
            <w:vAlign w:val="bottom"/>
          </w:tcPr>
          <w:p>
            <w:pPr>
              <w:spacing w:after="0"/>
              <w:rPr>
                <w:sz w:val="1"/>
                <w:szCs w:val="1"/>
                <w:color w:val="auto"/>
              </w:rPr>
            </w:pPr>
          </w:p>
        </w:tc>
      </w:tr>
      <w:tr>
        <w:trPr>
          <w:trHeight w:val="270"/>
        </w:trPr>
        <w:tc>
          <w:tcPr>
            <w:tcW w:w="1036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2015 and 2014</w:t>
            </w:r>
          </w:p>
        </w:tc>
        <w:tc>
          <w:tcPr>
            <w:tcW w:w="1020" w:type="dxa"/>
            <w:vAlign w:val="bottom"/>
          </w:tcPr>
          <w:p>
            <w:pPr>
              <w:jc w:val="center"/>
              <w:spacing w:after="0"/>
              <w:rPr>
                <w:rFonts w:ascii="Arial" w:cs="Arial" w:eastAsia="Arial" w:hAnsi="Arial"/>
                <w:sz w:val="18"/>
                <w:szCs w:val="18"/>
                <w:color w:val="auto"/>
                <w:w w:val="96"/>
              </w:rPr>
            </w:pPr>
            <w:hyperlink w:anchor="page38">
              <w:r>
                <w:rPr>
                  <w:rFonts w:ascii="Arial" w:cs="Arial" w:eastAsia="Arial" w:hAnsi="Arial"/>
                  <w:sz w:val="18"/>
                  <w:szCs w:val="18"/>
                  <w:color w:val="auto"/>
                  <w:w w:val="96"/>
                </w:rPr>
                <w:t>F-5</w:t>
              </w:r>
            </w:hyperlink>
          </w:p>
        </w:tc>
        <w:tc>
          <w:tcPr>
            <w:tcW w:w="0" w:type="dxa"/>
            <w:vAlign w:val="bottom"/>
          </w:tcPr>
          <w:p>
            <w:pPr>
              <w:spacing w:after="0"/>
              <w:rPr>
                <w:sz w:val="1"/>
                <w:szCs w:val="1"/>
                <w:color w:val="auto"/>
              </w:rPr>
            </w:pPr>
          </w:p>
        </w:tc>
      </w:tr>
      <w:tr>
        <w:trPr>
          <w:trHeight w:val="270"/>
        </w:trPr>
        <w:tc>
          <w:tcPr>
            <w:tcW w:w="1036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Notes to Consolidated Financial Statements</w:t>
              </w:r>
            </w:hyperlink>
          </w:p>
        </w:tc>
        <w:tc>
          <w:tcPr>
            <w:tcW w:w="1020" w:type="dxa"/>
            <w:vAlign w:val="bottom"/>
          </w:tcPr>
          <w:p>
            <w:pPr>
              <w:jc w:val="center"/>
              <w:spacing w:after="0"/>
              <w:rPr>
                <w:rFonts w:ascii="Arial" w:cs="Arial" w:eastAsia="Arial" w:hAnsi="Arial"/>
                <w:sz w:val="18"/>
                <w:szCs w:val="18"/>
                <w:color w:val="auto"/>
                <w:w w:val="96"/>
              </w:rPr>
            </w:pPr>
            <w:hyperlink w:anchor="page40">
              <w:r>
                <w:rPr>
                  <w:rFonts w:ascii="Arial" w:cs="Arial" w:eastAsia="Arial" w:hAnsi="Arial"/>
                  <w:sz w:val="18"/>
                  <w:szCs w:val="18"/>
                  <w:color w:val="auto"/>
                  <w:w w:val="96"/>
                </w:rPr>
                <w:t>F-7</w:t>
              </w:r>
            </w:hyperlink>
          </w:p>
        </w:tc>
        <w:tc>
          <w:tcPr>
            <w:tcW w:w="0" w:type="dxa"/>
            <w:vAlign w:val="bottom"/>
          </w:tcPr>
          <w:p>
            <w:pPr>
              <w:spacing w:after="0"/>
              <w:rPr>
                <w:sz w:val="1"/>
                <w:szCs w:val="1"/>
                <w:color w:val="auto"/>
              </w:rPr>
            </w:pPr>
          </w:p>
        </w:tc>
      </w:tr>
      <w:tr>
        <w:trPr>
          <w:trHeight w:val="702"/>
        </w:trPr>
        <w:tc>
          <w:tcPr>
            <w:tcW w:w="10360" w:type="dxa"/>
            <w:vAlign w:val="bottom"/>
          </w:tcPr>
          <w:p>
            <w:pPr>
              <w:ind w:left="5500"/>
              <w:spacing w:after="0"/>
              <w:rPr>
                <w:sz w:val="20"/>
                <w:szCs w:val="20"/>
                <w:color w:val="auto"/>
              </w:rPr>
            </w:pPr>
            <w:r>
              <w:rPr>
                <w:rFonts w:ascii="Arial" w:cs="Arial" w:eastAsia="Arial" w:hAnsi="Arial"/>
                <w:sz w:val="18"/>
                <w:szCs w:val="18"/>
                <w:color w:val="auto"/>
              </w:rPr>
              <w:t>| 32 |</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ClearOne, Inc.</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ClearOne, Inc. and subsidiaries (collectively, ClearOne) as of December 31, 2015 and 2014, and the related consolidated statements of income and comprehensive income, shareholders’ equity, and cash flows for each of the years in the two-year period ended December 31, 2015. We also have audited ClearOne’s internal control over financial reporting as of December 31, 2015,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ClearOne’s management is responsible for these financial statements, for maintaining effective internal control over financial reporting, and for its assessment of the effectiveness of internal control over financial reporting, included in the accompanying form 10-K. Our responsibility is to express an opinion on these financial statements and an opinion on the company’s internal control over financial reporting based on our audits. We did not perform an audit of ClearOne’s internal control over financial reporting as of December 31, 2014.</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consolidated financial position of ClearOne, Inc. and subsidiaries as of December 31, 2015 and 2014, and the consolidated results of its operations and its cash flows for each of the years in the two-year period ended December 31, 2015 in conformity with accounting principles generally accepted in the United States of America. Also in our opinion, ClearOne Inc. and subsidiaries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/s/ TANNER LLC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 |</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2015</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Receivables, net of allowance for doubtful accounts of $54 and $58, as of December 31, 2015 and</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channel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9,183,957 and 9,097,827 shares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2015 and 2014, respectively</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 |</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417195</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770"/>
              <w:spacing w:after="0"/>
              <w:rPr>
                <w:sz w:val="20"/>
                <w:szCs w:val="20"/>
                <w:color w:val="auto"/>
              </w:rPr>
            </w:pPr>
            <w:r>
              <w:rPr>
                <w:rFonts w:ascii="Arial" w:cs="Arial" w:eastAsia="Arial" w:hAnsi="Arial"/>
                <w:sz w:val="16"/>
                <w:szCs w:val="16"/>
                <w:b w:val="1"/>
                <w:bCs w:val="1"/>
                <w:color w:val="auto"/>
              </w:rPr>
              <w:t>2014</w:t>
            </w:r>
          </w:p>
        </w:tc>
      </w:tr>
      <w:tr>
        <w:trPr>
          <w:trHeight w:val="33"/>
        </w:trPr>
        <w:tc>
          <w:tcPr>
            <w:tcW w:w="72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BFE4FF"/>
            </w:tcBorders>
            <w:shd w:val="clear" w:color="auto" w:fill="BFE4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57,796</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57,909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21,077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22,586</w:t>
            </w:r>
          </w:p>
        </w:tc>
      </w:tr>
      <w:tr>
        <w:trPr>
          <w:trHeight w:val="27"/>
        </w:trPr>
        <w:tc>
          <w:tcPr>
            <w:tcW w:w="72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35,323</w:t>
            </w:r>
          </w:p>
        </w:tc>
      </w:tr>
      <w:tr>
        <w:trPr>
          <w:trHeight w:val="318"/>
        </w:trPr>
        <w:tc>
          <w:tcPr>
            <w:tcW w:w="7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11,227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8,318</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8,969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7,152</w:t>
            </w:r>
          </w:p>
        </w:tc>
      </w:tr>
      <w:tr>
        <w:trPr>
          <w:trHeight w:val="27"/>
        </w:trPr>
        <w:tc>
          <w:tcPr>
            <w:tcW w:w="72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26,457</w:t>
            </w:r>
          </w:p>
        </w:tc>
        <w:tc>
          <w:tcPr>
            <w:tcW w:w="10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27,348</w:t>
            </w:r>
          </w:p>
        </w:tc>
      </w:tr>
      <w:tr>
        <w:trPr>
          <w:trHeight w:val="318"/>
        </w:trPr>
        <w:tc>
          <w:tcPr>
            <w:tcW w:w="7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7,975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72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8,229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7"/>
        </w:trPr>
        <w:tc>
          <w:tcPr>
            <w:tcW w:w="72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BFE4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auto"/>
            </w:tcBorders>
            <w:shd w:val="clear" w:color="auto" w:fill="BFE4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5,596</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Borders>
              <w:bottom w:val="single" w:sz="8" w:color="BFE4FF"/>
            </w:tcBorders>
            <w:shd w:val="clear" w:color="auto" w:fill="BFE4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0.61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0.58</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7200" w:type="dxa"/>
            <w:vAlign w:val="bottom"/>
            <w:shd w:val="clear" w:color="auto" w:fill="BFE4FF"/>
          </w:tcPr>
          <w:p>
            <w:pPr>
              <w:spacing w:after="0"/>
              <w:rPr>
                <w:sz w:val="24"/>
                <w:szCs w:val="24"/>
                <w:color w:val="auto"/>
              </w:rPr>
            </w:pPr>
          </w:p>
        </w:tc>
        <w:tc>
          <w:tcPr>
            <w:tcW w:w="1220" w:type="dxa"/>
            <w:vAlign w:val="bottom"/>
            <w:shd w:val="clear" w:color="auto" w:fill="BFE4FF"/>
          </w:tcPr>
          <w:p>
            <w:pPr>
              <w:spacing w:after="0"/>
              <w:rPr>
                <w:sz w:val="24"/>
                <w:szCs w:val="24"/>
                <w:color w:val="auto"/>
              </w:rPr>
            </w:pPr>
          </w:p>
        </w:tc>
        <w:tc>
          <w:tcPr>
            <w:tcW w:w="84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1560" w:type="dxa"/>
            <w:vAlign w:val="bottom"/>
            <w:shd w:val="clear" w:color="auto" w:fill="BFE4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9,127,385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9,166,769</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9"/>
              </w:rPr>
              <w:t>9,594,659</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9,581,326</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5,596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r>
      <w:tr>
        <w:trPr>
          <w:trHeight w:val="243"/>
        </w:trPr>
        <w:tc>
          <w:tcPr>
            <w:tcW w:w="7200" w:type="dxa"/>
            <w:vAlign w:val="bottom"/>
          </w:tcPr>
          <w:p>
            <w:pPr>
              <w:ind w:left="300"/>
              <w:spacing w:after="0"/>
              <w:rPr>
                <w:sz w:val="20"/>
                <w:szCs w:val="20"/>
                <w:color w:val="auto"/>
              </w:rPr>
            </w:pPr>
            <w:r>
              <w:rPr>
                <w:rFonts w:ascii="Arial" w:cs="Arial" w:eastAsia="Arial" w:hAnsi="Arial"/>
                <w:sz w:val="18"/>
                <w:szCs w:val="18"/>
                <w:color w:val="auto"/>
              </w:rPr>
              <w:t>Unrealized gain (loss) on available-for-sale securities, net of tax</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0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5,565</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F-3 |</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4"/>
          </w:tcPr>
          <w:p>
            <w:pPr>
              <w:jc w:val="right"/>
              <w:ind w:right="63"/>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Other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65"/>
        </w:trPr>
        <w:tc>
          <w:tcPr>
            <w:tcW w:w="20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4160" w:type="dxa"/>
            <w:vAlign w:val="bottom"/>
            <w:tcBorders>
              <w:top w:val="single" w:sz="8" w:color="BFE4FF"/>
              <w:left w:val="single" w:sz="8" w:color="BFE4FF"/>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Balances at December 31, 2013</w:t>
            </w:r>
          </w:p>
        </w:tc>
        <w:tc>
          <w:tcPr>
            <w:tcW w:w="1000" w:type="dxa"/>
            <w:vAlign w:val="bottom"/>
            <w:tcBorders>
              <w:top w:val="single" w:sz="8" w:color="auto"/>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8,986,080</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400" w:type="dxa"/>
            <w:vAlign w:val="bottom"/>
            <w:tcBorders>
              <w:top w:val="single" w:sz="8" w:color="auto"/>
              <w:bottom w:val="single" w:sz="8" w:color="BFE4FF"/>
            </w:tcBorders>
            <w:shd w:val="clear" w:color="auto" w:fill="BFE4FF"/>
          </w:tcPr>
          <w:p>
            <w:pPr>
              <w:jc w:val="right"/>
              <w:ind w:right="203"/>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300" w:type="dxa"/>
            <w:vAlign w:val="bottom"/>
            <w:tcBorders>
              <w:top w:val="single" w:sz="8" w:color="auto"/>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41,311</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28,992</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340" w:type="dxa"/>
            <w:vAlign w:val="bottom"/>
            <w:tcBorders>
              <w:top w:val="single" w:sz="8" w:color="auto"/>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234,432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Stock repurchased</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(272,767)</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Cash dividends, $.10 per share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Stock issued - Sabine acquisition</w:t>
            </w:r>
          </w:p>
        </w:tc>
        <w:tc>
          <w:tcPr>
            <w:tcW w:w="100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1,679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Tax benefit - stock option exercises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Employee stock purchase plan</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w w:val="97"/>
              </w:rPr>
              <w:t>Unrealized gain on available-for-sale securities, net of tax</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5,596</w:t>
            </w: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31"/>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Balances at December 31, 2014</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9,097,827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44,939</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31,076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56,143</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Proceeds from stock purchase plan</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Cash dividends, $.155 per share</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 - Options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Stock-based compensation - Dividend Equivalents</w:t>
            </w:r>
          </w:p>
        </w:tc>
        <w:tc>
          <w:tcPr>
            <w:tcW w:w="100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15,005</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 - ESPP</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w w:val="97"/>
              </w:rPr>
              <w:t>Unrealized loss on available-for-sale securities, net of tax</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left w:val="single" w:sz="8" w:color="BFE4FF"/>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6,776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6,776</w:t>
            </w:r>
          </w:p>
        </w:tc>
        <w:tc>
          <w:tcPr>
            <w:tcW w:w="0" w:type="dxa"/>
            <w:vAlign w:val="bottom"/>
          </w:tcPr>
          <w:p>
            <w:pPr>
              <w:spacing w:after="0"/>
              <w:rPr>
                <w:sz w:val="1"/>
                <w:szCs w:val="1"/>
                <w:color w:val="auto"/>
              </w:rPr>
            </w:pPr>
          </w:p>
        </w:tc>
      </w:tr>
      <w:tr>
        <w:trPr>
          <w:trHeight w:val="72"/>
        </w:trPr>
        <w:tc>
          <w:tcPr>
            <w:tcW w:w="2080" w:type="dxa"/>
            <w:vAlign w:val="bottom"/>
            <w:tcBorders>
              <w:bottom w:val="single" w:sz="8" w:color="BFE4FF"/>
            </w:tcBorders>
          </w:tcPr>
          <w:p>
            <w:pPr>
              <w:spacing w:after="0"/>
              <w:rPr>
                <w:sz w:val="5"/>
                <w:szCs w:val="5"/>
                <w:color w:val="auto"/>
              </w:rPr>
            </w:pPr>
          </w:p>
        </w:tc>
        <w:tc>
          <w:tcPr>
            <w:tcW w:w="2080" w:type="dxa"/>
            <w:vAlign w:val="bottom"/>
            <w:tcBorders>
              <w:bottom w:val="single" w:sz="8" w:color="BFE4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80" w:type="dxa"/>
            <w:vAlign w:val="bottom"/>
            <w:tcBorders>
              <w:top w:val="single" w:sz="8" w:color="BFE4FF"/>
              <w:left w:val="single" w:sz="8" w:color="BFE4FF"/>
              <w:bottom w:val="single" w:sz="8" w:color="BFE4FF"/>
            </w:tcBorders>
            <w:shd w:val="clear" w:color="auto" w:fill="CCEEFF"/>
          </w:tcPr>
          <w:p>
            <w:pPr>
              <w:ind w:left="40"/>
              <w:spacing w:after="0"/>
              <w:rPr>
                <w:sz w:val="20"/>
                <w:szCs w:val="20"/>
                <w:color w:val="auto"/>
              </w:rPr>
            </w:pPr>
            <w:r>
              <w:rPr>
                <w:rFonts w:ascii="Arial" w:cs="Arial" w:eastAsia="Arial" w:hAnsi="Arial"/>
                <w:sz w:val="16"/>
                <w:szCs w:val="16"/>
                <w:color w:val="auto"/>
                <w:w w:val="88"/>
                <w:shd w:val="clear" w:color="auto" w:fill="CCEEFF"/>
              </w:rPr>
              <w:t>Balances at December 31, 2015</w:t>
            </w:r>
          </w:p>
        </w:tc>
        <w:tc>
          <w:tcPr>
            <w:tcW w:w="2080" w:type="dxa"/>
            <w:vAlign w:val="bottom"/>
            <w:tcBorders>
              <w:top w:val="single" w:sz="8" w:color="BFE4FF"/>
              <w:bottom w:val="single" w:sz="8" w:color="BFE4FF"/>
            </w:tcBorders>
            <w:shd w:val="clear" w:color="auto" w:fill="BFE4FF"/>
          </w:tcPr>
          <w:p>
            <w:pPr>
              <w:spacing w:after="0"/>
              <w:rPr>
                <w:sz w:val="18"/>
                <w:szCs w:val="18"/>
                <w:color w:val="auto"/>
              </w:rPr>
            </w:pPr>
          </w:p>
        </w:tc>
        <w:tc>
          <w:tcPr>
            <w:tcW w:w="1000" w:type="dxa"/>
            <w:vAlign w:val="bottom"/>
            <w:tcBorders>
              <w:top w:val="single" w:sz="8" w:color="BFE4FF"/>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9,183,957</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BFE4FF"/>
              <w:bottom w:val="single" w:sz="8" w:color="BFE4FF"/>
            </w:tcBorders>
            <w:shd w:val="clear" w:color="auto" w:fill="BFE4FF"/>
          </w:tcPr>
          <w:p>
            <w:pPr>
              <w:spacing w:after="0"/>
              <w:rPr>
                <w:sz w:val="18"/>
                <w:szCs w:val="18"/>
                <w:color w:val="auto"/>
              </w:rPr>
            </w:pPr>
          </w:p>
        </w:tc>
        <w:tc>
          <w:tcPr>
            <w:tcW w:w="380" w:type="dxa"/>
            <w:vAlign w:val="bottom"/>
            <w:tcBorders>
              <w:top w:val="single" w:sz="8" w:color="BFE4FF"/>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BFE4FF"/>
              <w:bottom w:val="single" w:sz="8" w:color="BFE4FF"/>
            </w:tcBorders>
            <w:shd w:val="clear" w:color="auto" w:fill="BFE4FF"/>
          </w:tcPr>
          <w:p>
            <w:pPr>
              <w:spacing w:after="0"/>
              <w:rPr>
                <w:sz w:val="18"/>
                <w:szCs w:val="18"/>
                <w:color w:val="auto"/>
              </w:rPr>
            </w:pPr>
          </w:p>
        </w:tc>
        <w:tc>
          <w:tcPr>
            <w:tcW w:w="3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BFE4FF"/>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46,291</w:t>
            </w:r>
          </w:p>
        </w:tc>
        <w:tc>
          <w:tcPr>
            <w:tcW w:w="120" w:type="dxa"/>
            <w:vAlign w:val="bottom"/>
            <w:tcBorders>
              <w:top w:val="single" w:sz="8" w:color="BFE4FF"/>
              <w:bottom w:val="single" w:sz="8" w:color="BFE4FF"/>
            </w:tcBorders>
            <w:shd w:val="clear" w:color="auto" w:fill="BFE4FF"/>
          </w:tcPr>
          <w:p>
            <w:pPr>
              <w:spacing w:after="0"/>
              <w:rPr>
                <w:sz w:val="18"/>
                <w:szCs w:val="18"/>
                <w:color w:val="auto"/>
              </w:rPr>
            </w:pPr>
          </w:p>
        </w:tc>
        <w:tc>
          <w:tcPr>
            <w:tcW w:w="14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BFE4FF"/>
              <w:bottom w:val="single" w:sz="8" w:color="BFE4FF"/>
            </w:tcBorders>
            <w:shd w:val="clear" w:color="auto" w:fill="BFE4FF"/>
          </w:tcPr>
          <w:p>
            <w:pPr>
              <w:spacing w:after="0"/>
              <w:rPr>
                <w:sz w:val="18"/>
                <w:szCs w:val="18"/>
                <w:color w:val="auto"/>
              </w:rPr>
            </w:pPr>
          </w:p>
        </w:tc>
        <w:tc>
          <w:tcPr>
            <w:tcW w:w="14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BFE4FF"/>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36,435</w:t>
            </w:r>
          </w:p>
        </w:tc>
        <w:tc>
          <w:tcPr>
            <w:tcW w:w="120" w:type="dxa"/>
            <w:vAlign w:val="bottom"/>
            <w:tcBorders>
              <w:top w:val="single" w:sz="8" w:color="BFE4FF"/>
              <w:bottom w:val="single" w:sz="8" w:color="BFE4FF"/>
            </w:tcBorders>
            <w:shd w:val="clear" w:color="auto" w:fill="BFE4FF"/>
          </w:tcPr>
          <w:p>
            <w:pPr>
              <w:spacing w:after="0"/>
              <w:rPr>
                <w:sz w:val="18"/>
                <w:szCs w:val="18"/>
                <w:color w:val="auto"/>
              </w:rPr>
            </w:pPr>
          </w:p>
        </w:tc>
        <w:tc>
          <w:tcPr>
            <w:tcW w:w="340" w:type="dxa"/>
            <w:vAlign w:val="bottom"/>
            <w:tcBorders>
              <w:top w:val="single" w:sz="8" w:color="BFE4FF"/>
              <w:bottom w:val="single" w:sz="8" w:color="BFE4FF"/>
            </w:tcBorders>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BFE4FF"/>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82,569</w:t>
            </w:r>
          </w:p>
        </w:tc>
        <w:tc>
          <w:tcPr>
            <w:tcW w:w="0" w:type="dxa"/>
            <w:vAlign w:val="bottom"/>
          </w:tcPr>
          <w:p>
            <w:pPr>
              <w:spacing w:after="0"/>
              <w:rPr>
                <w:sz w:val="1"/>
                <w:szCs w:val="1"/>
                <w:color w:val="auto"/>
              </w:rPr>
            </w:pPr>
          </w:p>
        </w:tc>
      </w:tr>
      <w:tr>
        <w:trPr>
          <w:trHeight w:val="20"/>
        </w:trPr>
        <w:tc>
          <w:tcPr>
            <w:tcW w:w="2080" w:type="dxa"/>
            <w:vAlign w:val="bottom"/>
            <w:tcBorders>
              <w:top w:val="single" w:sz="8" w:color="BFE4FF"/>
            </w:tcBorders>
          </w:tcPr>
          <w:p>
            <w:pPr>
              <w:spacing w:after="0" w:line="20" w:lineRule="exact"/>
              <w:rPr>
                <w:sz w:val="1"/>
                <w:szCs w:val="1"/>
                <w:color w:val="auto"/>
              </w:rPr>
            </w:pPr>
          </w:p>
        </w:tc>
        <w:tc>
          <w:tcPr>
            <w:tcW w:w="2080" w:type="dxa"/>
            <w:vAlign w:val="bottom"/>
            <w:tcBorders>
              <w:top w:val="single" w:sz="8" w:color="BFE4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F-4 |</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2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ind w:right="770"/>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1,972</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rent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Recoveries of doubtful accounts, net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w:t>
            </w:r>
          </w:p>
        </w:tc>
      </w:tr>
      <w:tr>
        <w:trPr>
          <w:trHeight w:val="223"/>
        </w:trPr>
        <w:tc>
          <w:tcPr>
            <w:tcW w:w="7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Payment towards business acquisitions</w:t>
            </w:r>
          </w:p>
        </w:tc>
        <w:tc>
          <w:tcPr>
            <w:tcW w:w="1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(13,068)</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Purchase of intangibles</w:t>
            </w:r>
          </w:p>
        </w:tc>
        <w:tc>
          <w:tcPr>
            <w:tcW w:w="1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(14,416)</w:t>
            </w:r>
          </w:p>
        </w:tc>
      </w:tr>
      <w:tr>
        <w:trPr>
          <w:trHeight w:val="210"/>
        </w:trPr>
        <w:tc>
          <w:tcPr>
            <w:tcW w:w="7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benefits from equity-based compensation programs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Stock registration costs</w:t>
            </w:r>
          </w:p>
        </w:tc>
        <w:tc>
          <w:tcPr>
            <w:tcW w:w="1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Payments for stock repurchases</w:t>
            </w:r>
          </w:p>
        </w:tc>
        <w:tc>
          <w:tcPr>
            <w:tcW w:w="1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(2,598)</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10"/>
        </w:trPr>
        <w:tc>
          <w:tcPr>
            <w:tcW w:w="72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(9,752)</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22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F-5 |</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12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ind w:right="772"/>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ind w:left="56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Sabine</w:t>
            </w:r>
          </w:p>
        </w:tc>
        <w:tc>
          <w:tcPr>
            <w:tcW w:w="122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F-6 |</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This report on Form 10-K includes financial statements for the years ended December 31, 2015 and 2014.</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We are exposed to foreign currency exchange risk through our foreign subsidiaries. Other than our Spain subsidiary, our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subsidiaries are U.S. dollar functional, for which gains and losses arising from remeasurement are included in earnings. Our Spain subsidiary is Euro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F-7 |</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i w:val="1"/>
          <w:iCs w:val="1"/>
          <w:color w:val="auto"/>
        </w:rPr>
        <w:t xml:space="preserve">Marketable Securities - </w:t>
      </w:r>
      <w:r>
        <w:rPr>
          <w:rFonts w:ascii="Arial" w:cs="Arial" w:eastAsia="Arial" w:hAnsi="Arial"/>
          <w:sz w:val="16"/>
          <w:szCs w:val="16"/>
          <w:color w:val="auto"/>
        </w:rPr>
        <w:t>The Company has classified its marketable securities as available-for-sale securities. These securities are carried at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2015 and 2014.</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on a short-term basis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88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Allowance increase (decrease)</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offs, net of recoveries</w:t>
            </w: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the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$75 and $47, as of December 31, 2015 and 2014,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F-8 |</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9"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 (See </w:t>
      </w:r>
      <w:hyperlink w:anchor="page47">
        <w:r>
          <w:rPr>
            <w:rFonts w:ascii="Arial" w:cs="Arial" w:eastAsia="Arial" w:hAnsi="Arial"/>
            <w:sz w:val="16"/>
            <w:szCs w:val="16"/>
            <w:u w:val="single" w:color="auto"/>
            <w:color w:val="0000EE"/>
          </w:rPr>
          <w:t>Note 3 – Business Combinations, Goodwill and Intangibles</w:t>
        </w:r>
      </w:hyperlink>
      <w:r>
        <w:rPr>
          <w:rFonts w:ascii="Arial" w:cs="Arial" w:eastAsia="Arial" w:hAnsi="Arial"/>
          <w:sz w:val="16"/>
          <w:szCs w:val="16"/>
          <w:color w:val="auto"/>
        </w:rPr>
        <w:t>). ClearOne and all of its subsidiaries are considered as one reporting unit for this purpose.</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Impairment of Long-Lived Assets – </w:t>
      </w:r>
      <w:r>
        <w:rPr>
          <w:rFonts w:ascii="Arial" w:cs="Arial" w:eastAsia="Arial" w:hAnsi="Arial"/>
          <w:sz w:val="16"/>
          <w:szCs w:val="16"/>
          <w:color w:val="auto"/>
        </w:rPr>
        <w:t>Long-lived assets, such as property, equipment, and definite-lived intangibles subject to depreciation and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7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its distributors’ individual operations. Accordingly, at each quarter-end, the deferral for revenue and associated cost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F-9 |</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deferred cost of goods sold is included in distributor channel 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BFE4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BFE4FF"/>
            </w:tcBorders>
            <w:shd w:val="clear" w:color="auto" w:fill="BFE4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5,004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1,698</w:t>
            </w:r>
          </w:p>
        </w:tc>
      </w:tr>
      <w:tr>
        <w:trPr>
          <w:trHeight w:val="27"/>
        </w:trPr>
        <w:tc>
          <w:tcPr>
            <w:tcW w:w="766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Deferred gross profit</w:t>
            </w:r>
          </w:p>
        </w:tc>
        <w:tc>
          <w:tcPr>
            <w:tcW w:w="1180" w:type="dxa"/>
            <w:vAlign w:val="bottom"/>
            <w:tcBorders>
              <w:bottom w:val="single" w:sz="8" w:color="auto"/>
            </w:tcBorders>
            <w:shd w:val="clear" w:color="auto" w:fill="BFE4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BFE4FF"/>
          </w:tcPr>
          <w:p>
            <w:pPr>
              <w:ind w:left="140"/>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BFE4FF"/>
            </w:tcBorders>
            <w:shd w:val="clear" w:color="auto" w:fill="BFE4FF"/>
          </w:tcPr>
          <w:p>
            <w:pPr>
              <w:spacing w:after="0"/>
              <w:rPr>
                <w:sz w:val="22"/>
                <w:szCs w:val="22"/>
                <w:color w:val="auto"/>
              </w:rPr>
            </w:pPr>
          </w:p>
        </w:tc>
        <w:tc>
          <w:tcPr>
            <w:tcW w:w="660" w:type="dxa"/>
            <w:vAlign w:val="bottom"/>
            <w:tcBorders>
              <w:bottom w:val="single" w:sz="8" w:color="auto"/>
            </w:tcBorders>
            <w:shd w:val="clear" w:color="auto" w:fill="BFE4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3,306</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 The Company accrues for warranty costs based on estimated warranty return rates and estimated costs to repair. These reserve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BFE4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tcBorders>
              <w:bottom w:val="single" w:sz="8" w:color="BFE4FF"/>
            </w:tcBorders>
            <w:shd w:val="clear" w:color="auto" w:fill="BFE4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338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511</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(518)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2015 and 2014 totaled $728 and $768,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uses the asset and liability method of accounting for income taxes. Under the asset and liability method,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are recognized for the future tax consequences attributable to temporary differences between the financial statement carrying amounts of existing assets and liabilities and their respective tax bases, and operating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F-10 |</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2015 and 2014, the Company had a valuation allowance of $1,071 and $786 against foreign net operating losses, and state research and development credits, respectively.</w:t>
      </w:r>
    </w:p>
    <w:p>
      <w:pPr>
        <w:spacing w:after="0" w:line="1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5,596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9,127,385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9,166,769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467,274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414,557</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9,594,659</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9,581,326</w:t>
            </w:r>
          </w:p>
        </w:tc>
      </w:tr>
      <w:tr>
        <w:trPr>
          <w:trHeight w:val="31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r>
      <w:tr>
        <w:trPr>
          <w:trHeight w:val="324"/>
        </w:trPr>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1,053,785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975,696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177,125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209,751</w:t>
            </w: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 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Recent Accounting Pronouncements - </w:t>
      </w:r>
      <w:r>
        <w:rPr>
          <w:rFonts w:ascii="Arial" w:cs="Arial" w:eastAsia="Arial" w:hAnsi="Arial"/>
          <w:sz w:val="18"/>
          <w:szCs w:val="18"/>
          <w:color w:val="auto"/>
        </w:rPr>
        <w:t>In May 2014, the FASB issued ASU 2014-09, Revenue from Contracts with Customers (Topic 606), requiring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F-11 |</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would simplify the presentation of taxes on the balance sheet and within the income tax footnote. The quantitative effects of our adoption of this standard in our results and balances for the year ended December 31, 2014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 2014</w:t>
            </w:r>
          </w:p>
        </w:tc>
        <w:tc>
          <w:tcPr>
            <w:tcW w:w="18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Originally Reported</w:t>
            </w:r>
          </w:p>
        </w:tc>
        <w:tc>
          <w:tcPr>
            <w:tcW w:w="1940" w:type="dxa"/>
            <w:vAlign w:val="bottom"/>
            <w:gridSpan w:val="2"/>
          </w:tcPr>
          <w:p>
            <w:pPr>
              <w:ind w:left="340"/>
              <w:spacing w:after="0"/>
              <w:rPr>
                <w:sz w:val="20"/>
                <w:szCs w:val="20"/>
                <w:color w:val="auto"/>
              </w:rPr>
            </w:pPr>
            <w:r>
              <w:rPr>
                <w:rFonts w:ascii="Arial" w:cs="Arial" w:eastAsia="Arial" w:hAnsi="Arial"/>
                <w:sz w:val="14"/>
                <w:szCs w:val="14"/>
                <w:b w:val="1"/>
                <w:bCs w:val="1"/>
                <w:color w:val="auto"/>
              </w:rPr>
              <w:t>Effect of Adoption</w:t>
            </w:r>
          </w:p>
        </w:tc>
        <w:tc>
          <w:tcPr>
            <w:tcW w:w="1800" w:type="dxa"/>
            <w:vAlign w:val="bottom"/>
          </w:tcPr>
          <w:p>
            <w:pPr>
              <w:jc w:val="right"/>
              <w:ind w:right="296"/>
              <w:spacing w:after="0"/>
              <w:rPr>
                <w:sz w:val="20"/>
                <w:szCs w:val="20"/>
                <w:color w:val="auto"/>
              </w:rPr>
            </w:pPr>
            <w:r>
              <w:rPr>
                <w:rFonts w:ascii="Arial" w:cs="Arial" w:eastAsia="Arial" w:hAnsi="Arial"/>
                <w:sz w:val="14"/>
                <w:szCs w:val="14"/>
                <w:b w:val="1"/>
                <w:bCs w:val="1"/>
                <w:color w:val="auto"/>
              </w:rPr>
              <w:t>Reported Herein</w:t>
            </w:r>
          </w:p>
        </w:tc>
      </w:tr>
      <w:tr>
        <w:trPr>
          <w:trHeight w:val="250"/>
        </w:trPr>
        <w:tc>
          <w:tcPr>
            <w:tcW w:w="57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Balance Sheet:</w:t>
            </w:r>
          </w:p>
        </w:tc>
        <w:tc>
          <w:tcPr>
            <w:tcW w:w="184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82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80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Deferred income taxes - current assets</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5720" w:type="dxa"/>
            <w:vAlign w:val="bottom"/>
            <w:shd w:val="clear" w:color="auto" w:fill="BFE4FF"/>
          </w:tcPr>
          <w:p>
            <w:pPr>
              <w:ind w:left="260"/>
              <w:spacing w:after="0"/>
              <w:rPr>
                <w:sz w:val="20"/>
                <w:szCs w:val="20"/>
                <w:color w:val="auto"/>
              </w:rPr>
            </w:pPr>
            <w:r>
              <w:rPr>
                <w:rFonts w:ascii="Arial" w:cs="Arial" w:eastAsia="Arial" w:hAnsi="Arial"/>
                <w:sz w:val="18"/>
                <w:szCs w:val="18"/>
                <w:color w:val="auto"/>
              </w:rPr>
              <w:t>Deferred income taxes - non-current assets</w:t>
            </w:r>
          </w:p>
        </w:tc>
        <w:tc>
          <w:tcPr>
            <w:tcW w:w="1840" w:type="dxa"/>
            <w:vAlign w:val="bottom"/>
            <w:shd w:val="clear" w:color="auto" w:fill="BFE4FF"/>
          </w:tcPr>
          <w:p>
            <w:pPr>
              <w:jc w:val="right"/>
              <w:ind w:right="36"/>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BFE4FF"/>
          </w:tcPr>
          <w:p>
            <w:pPr>
              <w:spacing w:after="0"/>
              <w:rPr>
                <w:sz w:val="21"/>
                <w:szCs w:val="21"/>
                <w:color w:val="auto"/>
              </w:rPr>
            </w:pPr>
          </w:p>
        </w:tc>
        <w:tc>
          <w:tcPr>
            <w:tcW w:w="1820" w:type="dxa"/>
            <w:vAlign w:val="bottom"/>
            <w:shd w:val="clear" w:color="auto" w:fill="BFE4FF"/>
          </w:tcPr>
          <w:p>
            <w:pPr>
              <w:jc w:val="right"/>
              <w:ind w:right="19"/>
              <w:spacing w:after="0"/>
              <w:rPr>
                <w:sz w:val="20"/>
                <w:szCs w:val="20"/>
                <w:color w:val="auto"/>
              </w:rPr>
            </w:pPr>
            <w:r>
              <w:rPr>
                <w:rFonts w:ascii="Arial" w:cs="Arial" w:eastAsia="Arial" w:hAnsi="Arial"/>
                <w:sz w:val="18"/>
                <w:szCs w:val="18"/>
                <w:color w:val="auto"/>
              </w:rPr>
              <w:t>3,824</w:t>
            </w:r>
          </w:p>
        </w:tc>
        <w:tc>
          <w:tcPr>
            <w:tcW w:w="120" w:type="dxa"/>
            <w:vAlign w:val="bottom"/>
            <w:shd w:val="clear" w:color="auto" w:fill="BFE4FF"/>
          </w:tcPr>
          <w:p>
            <w:pPr>
              <w:spacing w:after="0"/>
              <w:rPr>
                <w:sz w:val="21"/>
                <w:szCs w:val="21"/>
                <w:color w:val="auto"/>
              </w:rPr>
            </w:pPr>
          </w:p>
        </w:tc>
        <w:tc>
          <w:tcPr>
            <w:tcW w:w="180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5,089</w:t>
            </w:r>
          </w:p>
        </w:tc>
      </w:tr>
      <w:tr>
        <w:trPr>
          <w:trHeight w:val="27"/>
        </w:trPr>
        <w:tc>
          <w:tcPr>
            <w:tcW w:w="5720" w:type="dxa"/>
            <w:vAlign w:val="bottom"/>
            <w:shd w:val="clear" w:color="auto" w:fill="BFE4FF"/>
          </w:tcPr>
          <w:p>
            <w:pPr>
              <w:spacing w:after="0"/>
              <w:rPr>
                <w:sz w:val="2"/>
                <w:szCs w:val="2"/>
                <w:color w:val="auto"/>
              </w:rPr>
            </w:pPr>
          </w:p>
        </w:tc>
        <w:tc>
          <w:tcPr>
            <w:tcW w:w="18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8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8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February 25,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2015 and 2014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180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43"/>
        </w:trPr>
        <w:tc>
          <w:tcPr>
            <w:tcW w:w="418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800" w:type="dxa"/>
            <w:vAlign w:val="bottom"/>
            <w:gridSpan w:val="2"/>
          </w:tcPr>
          <w:p>
            <w:pPr>
              <w:jc w:val="center"/>
              <w:ind w:left="1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26,435</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26,365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1800" w:type="dxa"/>
            <w:vAlign w:val="bottom"/>
            <w:gridSpan w:val="2"/>
          </w:tcPr>
          <w:p>
            <w:pPr>
              <w:jc w:val="center"/>
              <w:ind w:left="1170"/>
              <w:spacing w:after="0"/>
              <w:rPr>
                <w:sz w:val="20"/>
                <w:szCs w:val="20"/>
                <w:color w:val="auto"/>
              </w:rPr>
            </w:pPr>
            <w:r>
              <w:rPr>
                <w:rFonts w:ascii="Arial" w:cs="Arial" w:eastAsia="Arial" w:hAnsi="Arial"/>
                <w:sz w:val="18"/>
                <w:szCs w:val="18"/>
                <w:color w:val="auto"/>
                <w:w w:val="88"/>
              </w:rPr>
              <w:t>| F-12 |</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holding</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520" w:type="dxa"/>
            <w:vAlign w:val="bottom"/>
          </w:tcPr>
          <w:p>
            <w:pPr>
              <w:ind w:left="9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6,292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26,096</w:t>
            </w: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57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440" w:type="dxa"/>
            <w:vAlign w:val="bottom"/>
          </w:tcPr>
          <w:p>
            <w:pPr>
              <w:spacing w:after="0"/>
              <w:rPr>
                <w:sz w:val="16"/>
                <w:szCs w:val="16"/>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7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Due within one year</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7,161</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after one year through five years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19,256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19,204</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Due after five years through ten years</w:t>
            </w: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26,435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26,365</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Debt securities in an unrealized loss position as of December 31, 2015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2015 are summarized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10,256</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13,554</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11,930</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15,868</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F-13 |</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8340" w:type="dxa"/>
            <w:vAlign w:val="bottom"/>
          </w:tcPr>
          <w:p>
            <w:pPr>
              <w:jc w:val="center"/>
              <w:ind w:left="979"/>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8340" w:type="dxa"/>
            <w:vAlign w:val="bottom"/>
          </w:tcPr>
          <w:p>
            <w:pPr>
              <w:jc w:val="center"/>
              <w:ind w:left="979"/>
              <w:spacing w:after="0"/>
              <w:rPr>
                <w:sz w:val="20"/>
                <w:szCs w:val="20"/>
                <w:color w:val="auto"/>
              </w:rPr>
            </w:pPr>
            <w:r>
              <w:rPr>
                <w:rFonts w:ascii="Arial" w:cs="Arial" w:eastAsia="Arial" w:hAnsi="Arial"/>
                <w:sz w:val="14"/>
                <w:szCs w:val="14"/>
                <w:b w:val="1"/>
                <w:bCs w:val="1"/>
                <w:color w:val="auto"/>
                <w:w w:val="91"/>
              </w:rPr>
              <w:t>(Dollars in thousands, except share and per share amounts)</w:t>
            </w: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836"/>
        </w:trPr>
        <w:tc>
          <w:tcPr>
            <w:tcW w:w="936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2"/>
        </w:trPr>
        <w:tc>
          <w:tcPr>
            <w:tcW w:w="10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right"/>
              <w:ind w:right="452"/>
              <w:spacing w:after="0"/>
              <w:rPr>
                <w:sz w:val="20"/>
                <w:szCs w:val="20"/>
                <w:color w:val="auto"/>
              </w:rPr>
            </w:pPr>
            <w:r>
              <w:rPr>
                <w:rFonts w:ascii="Arial" w:cs="Arial" w:eastAsia="Arial" w:hAnsi="Arial"/>
                <w:sz w:val="16"/>
                <w:szCs w:val="16"/>
                <w:b w:val="1"/>
                <w:bCs w:val="1"/>
                <w:color w:val="auto"/>
              </w:rPr>
              <w:t>Consideration</w:t>
            </w:r>
          </w:p>
        </w:tc>
      </w:tr>
      <w:tr>
        <w:trPr>
          <w:trHeight w:val="33"/>
        </w:trPr>
        <w:tc>
          <w:tcPr>
            <w:tcW w:w="102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8,141</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1,679</w:t>
            </w:r>
          </w:p>
        </w:tc>
      </w:tr>
      <w:tr>
        <w:trPr>
          <w:trHeight w:val="27"/>
        </w:trPr>
        <w:tc>
          <w:tcPr>
            <w:tcW w:w="10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r>
      <w:tr>
        <w:trPr>
          <w:trHeight w:val="257"/>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10,477</w:t>
            </w:r>
          </w:p>
        </w:tc>
      </w:tr>
      <w:tr>
        <w:trPr>
          <w:trHeight w:val="20"/>
        </w:trPr>
        <w:tc>
          <w:tcPr>
            <w:tcW w:w="10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ind w:right="59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4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4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goodwill of $5,510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F-14 |</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1540" w:type="dxa"/>
            <w:vAlign w:val="bottom"/>
          </w:tcPr>
          <w:p>
            <w:pPr>
              <w:spacing w:after="0"/>
              <w:rPr>
                <w:sz w:val="17"/>
                <w:szCs w:val="17"/>
                <w:color w:val="auto"/>
              </w:rPr>
            </w:pPr>
          </w:p>
        </w:tc>
        <w:tc>
          <w:tcPr>
            <w:tcW w:w="7180" w:type="dxa"/>
            <w:vAlign w:val="bottom"/>
            <w:gridSpan w:val="2"/>
          </w:tcPr>
          <w:p>
            <w:pPr>
              <w:jc w:val="right"/>
              <w:ind w:right="1660"/>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168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180" w:type="dxa"/>
            <w:vAlign w:val="bottom"/>
            <w:gridSpan w:val="2"/>
          </w:tcPr>
          <w:p>
            <w:pPr>
              <w:jc w:val="right"/>
              <w:ind w:right="2200"/>
              <w:spacing w:after="0"/>
              <w:rPr>
                <w:sz w:val="20"/>
                <w:szCs w:val="20"/>
                <w:color w:val="auto"/>
              </w:rPr>
            </w:pPr>
            <w:r>
              <w:rPr>
                <w:rFonts w:ascii="Arial" w:cs="Arial" w:eastAsia="Arial" w:hAnsi="Arial"/>
                <w:sz w:val="14"/>
                <w:szCs w:val="14"/>
                <w:b w:val="1"/>
                <w:bCs w:val="1"/>
                <w:color w:val="auto"/>
              </w:rPr>
              <w:t>(Dollars in thousands, except share and per share amounts)</w:t>
            </w:r>
          </w:p>
        </w:tc>
        <w:tc>
          <w:tcPr>
            <w:tcW w:w="1680" w:type="dxa"/>
            <w:vAlign w:val="bottom"/>
          </w:tcPr>
          <w:p>
            <w:pPr>
              <w:spacing w:after="0"/>
              <w:rPr>
                <w:sz w:val="16"/>
                <w:szCs w:val="16"/>
                <w:color w:val="auto"/>
              </w:rPr>
            </w:pPr>
          </w:p>
        </w:tc>
      </w:tr>
      <w:tr>
        <w:trPr>
          <w:trHeight w:val="782"/>
        </w:trPr>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7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6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6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10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Expenses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incurred $588 in acquisition related expenses for the Sabine and Spontania acquisitions, all of which were categorized under General and administrative expenses in the Consolidated Statement of Income and Comprehensive Income for the year ended December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the company's goodwill for the years ended December 31, 2015 and 2014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5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9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9,252</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8"/>
                <w:szCs w:val="18"/>
                <w:b w:val="1"/>
                <w:bCs w:val="1"/>
                <w:i w:val="1"/>
                <w:iCs w:val="1"/>
                <w:color w:val="0000FF"/>
              </w:rPr>
              <w:t>Intangible Assets</w:t>
            </w:r>
          </w:p>
        </w:tc>
        <w:tc>
          <w:tcPr>
            <w:tcW w:w="9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w w:val="98"/>
              </w:rPr>
              <w:t>Intangible assets as of December 31, 2015 and 2014 consisted of the following:</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240" w:type="dxa"/>
            <w:vAlign w:val="bottom"/>
          </w:tcPr>
          <w:p>
            <w:pPr>
              <w:spacing w:after="0"/>
              <w:rPr>
                <w:sz w:val="24"/>
                <w:szCs w:val="2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10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6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 to 7 years</w:t>
            </w:r>
          </w:p>
        </w:tc>
        <w:tc>
          <w:tcPr>
            <w:tcW w:w="600" w:type="dxa"/>
            <w:vAlign w:val="bottom"/>
            <w:tcBorders>
              <w:bottom w:val="single" w:sz="8" w:color="BFE4FF"/>
            </w:tcBorders>
            <w:shd w:val="clear" w:color="auto" w:fill="BFE4FF"/>
          </w:tcPr>
          <w:p>
            <w:pPr>
              <w:jc w:val="right"/>
              <w:ind w:right="3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gridSpan w:val="3"/>
            <w:shd w:val="clear" w:color="auto" w:fill="BFE4FF"/>
          </w:tcPr>
          <w:p>
            <w:pPr>
              <w:jc w:val="right"/>
              <w:ind w:right="30"/>
              <w:spacing w:after="0"/>
              <w:rPr>
                <w:sz w:val="20"/>
                <w:szCs w:val="20"/>
                <w:color w:val="auto"/>
              </w:rPr>
            </w:pPr>
            <w:r>
              <w:rPr>
                <w:rFonts w:ascii="Arial" w:cs="Arial" w:eastAsia="Arial" w:hAnsi="Arial"/>
                <w:sz w:val="18"/>
                <w:szCs w:val="18"/>
                <w:color w:val="auto"/>
                <w:w w:val="93"/>
              </w:rPr>
              <w:t>555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86"/>
              </w:rPr>
              <w:t>10 years</w:t>
            </w:r>
          </w:p>
        </w:tc>
        <w:tc>
          <w:tcPr>
            <w:tcW w:w="600" w:type="dxa"/>
            <w:vAlign w:val="bottom"/>
          </w:tcPr>
          <w:p>
            <w:pPr>
              <w:spacing w:after="0"/>
              <w:rPr>
                <w:sz w:val="21"/>
                <w:szCs w:val="21"/>
                <w:color w:val="auto"/>
              </w:rPr>
            </w:pP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6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6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4"/>
            <w:shd w:val="clear" w:color="auto" w:fill="BFE4FF"/>
          </w:tcPr>
          <w:p>
            <w:pPr>
              <w:jc w:val="right"/>
              <w:ind w:right="30"/>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 to 5 years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intangible assets, net</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6,638</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2015 and 2014, amortization of these intangible assets were $1,258 and $1,210,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F-15 |</w:t>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Years ending December 31,</w:t>
            </w: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2020</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7"/>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2,735</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Current finished goods do not include distributor channel inventories in the amounts of approximately $1,628 and $1,698 as of December 31, 2015 and 2014, respectively. Distributor channel inventories represent inventory at distributors and other customers where revenue recognition criteria have not been achieved.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$496 and $946 during the years ended December 31, 2015 and 2014,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F-16 |</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10 years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 to 6 years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1,474</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10 years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w:t>
            </w:r>
          </w:p>
        </w:tc>
      </w:tr>
      <w:tr>
        <w:trPr>
          <w:trHeight w:val="237"/>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8,383</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11,731</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2,039</w:t>
            </w: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on property and equipment for the years ended December 31, 2015 and 2014 was $801 and $761,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Rent expense is recognized on a straight-line basis over the period of the lease taking into account future rent escalation and holiday periods. Rent expense was $1,420 and $1,236, including amortization of deferred rent of $95 and $79, for the years ended December 31, 2015 and 2014, respectively.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occupy a 46,000 square-foot manufacturing facility in Alachua, Florida under the terms of an operating lease expiring in March 2016 with an option to extend the lease month-to-month. The Alachua facility is used primarily to manufacture our wireless microphone products and to support this line of business.</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occupy a 40,000 square-foot warehouse in Salt Lake City, Utah under the terms of an operating lease expiring in December 2021, which serves as our primary inventory fulfillment and repair center. This facility also serves as our assembly workshop for digital signage products.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occupy two facilities in Austin, Texas - a 7,070 square-foot facility under the terms of an operating lease expiring in October 2019 and a 11,100 square-foot facility under the terms of an operating lease expiring in August 2016. These facilities support our administrative, sales, marketing, customer support, and research and development activities.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occupied 5,600 square-feet of warehouse space in Hong Kong to support our partners and customers located in the Asia-Pacific region. This operating lease expired in February 2014 and has not been renewed.</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occupy a 4,700 square-foot office facility in Hod Hasharon, Israel under the terms of an operating lease expiring in December 2017 which serves to support our research and development activities. Upon expiration, we will have the option to extend the lease for two additional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F-17 |</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2220" w:type="dxa"/>
            <w:vAlign w:val="bottom"/>
          </w:tcPr>
          <w:p>
            <w:pPr>
              <w:spacing w:after="0"/>
              <w:rPr>
                <w:sz w:val="17"/>
                <w:szCs w:val="17"/>
                <w:color w:val="auto"/>
              </w:rPr>
            </w:pPr>
          </w:p>
        </w:tc>
        <w:tc>
          <w:tcPr>
            <w:tcW w:w="5320" w:type="dxa"/>
            <w:vAlign w:val="bottom"/>
            <w:gridSpan w:val="2"/>
          </w:tcPr>
          <w:p>
            <w:pPr>
              <w:jc w:val="right"/>
              <w:ind w:right="399"/>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20" w:type="dxa"/>
            <w:vAlign w:val="bottom"/>
            <w:gridSpan w:val="2"/>
          </w:tcPr>
          <w:p>
            <w:pPr>
              <w:jc w:val="right"/>
              <w:ind w:right="939"/>
              <w:spacing w:after="0"/>
              <w:rPr>
                <w:sz w:val="20"/>
                <w:szCs w:val="20"/>
                <w:color w:val="auto"/>
              </w:rPr>
            </w:pPr>
            <w:r>
              <w:rPr>
                <w:rFonts w:ascii="Arial" w:cs="Arial" w:eastAsia="Arial" w:hAnsi="Arial"/>
                <w:sz w:val="14"/>
                <w:szCs w:val="14"/>
                <w:b w:val="1"/>
                <w:bCs w:val="1"/>
                <w:color w:val="auto"/>
              </w:rPr>
              <w:t>(Dollars in thousands, except share and per share amounts)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2017</w:t>
            </w:r>
          </w:p>
        </w:tc>
        <w:tc>
          <w:tcPr>
            <w:tcW w:w="22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2019</w:t>
            </w:r>
          </w:p>
        </w:tc>
        <w:tc>
          <w:tcPr>
            <w:tcW w:w="22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3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240" w:type="dxa"/>
            <w:vAlign w:val="bottom"/>
            <w:gridSpan w:val="2"/>
            <w:vMerge w:val="continue"/>
          </w:tcPr>
          <w:p>
            <w:pPr>
              <w:spacing w:after="0"/>
              <w:rPr>
                <w:sz w:val="24"/>
                <w:szCs w:val="24"/>
                <w:color w:val="auto"/>
              </w:rPr>
            </w:pP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w w:val="97"/>
              </w:rPr>
              <w:t>Accrued liabilities consist of the following:</w:t>
            </w: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39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Accrued salaries and other compensation</w:t>
            </w:r>
          </w:p>
        </w:tc>
        <w:tc>
          <w:tcPr>
            <w:tcW w:w="532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Dividends payable</w:t>
            </w: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 programs</w:t>
            </w:r>
          </w:p>
        </w:tc>
        <w:tc>
          <w:tcPr>
            <w:tcW w:w="3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Product warranty</w:t>
            </w: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96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$2,970 as of December 31, 2015.</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$1,126 of uncertain tax positions as of December 31, 2015. Due to the inherent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underlying tax positions, it is not possible to forecast the payment of this liability to any particular year.</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We are also involved from time to time in various claims and legal proceedings which arise in the normal course of our business. Such</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are subject to many uncertainties and outcomes that are not predictable. However, based on the information available to us, we do not believe any such proceedings will have a material adverse effect on our business, results of operations, financial position,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Conclusion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F-18 |</w:t>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believes it has adequately accrued for the aforementioned contingent liabilities. While we have not identified specific legal proceedings above, there exists the possibility of general adverse legal outcomes that we estimate could be up to $1,000 over and above amounts we may have provided for. If adverse outcomes were to occur, our financial position, results of operations and cash flows could be negatively affected materially for the period in which the adverse outcomes are known.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Option Plans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was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2014.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2015 had contractual lives of ten years. Under the 1998 Plan, 2,500,000 shares were authorized for grant. As of December 31, 2015, there were 345,000 options outstanding under the 1998 Plan, which includes the cliff vesting and 3 or 4-year vesting options discussed above. As of December 31, 2015, there were 683,935 options outstanding under the 2007 Plan. As of December 31, 2015, the 2007 Plan had 1,049,918 authorized unissued options, while there were no options remaining that could be granted under the 1998 Plan.</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6.1 years</w:t>
            </w:r>
          </w:p>
        </w:tc>
        <w:tc>
          <w:tcPr>
            <w:tcW w:w="1820" w:type="dxa"/>
            <w:vAlign w:val="bottom"/>
          </w:tcPr>
          <w:p>
            <w:pPr>
              <w:ind w:left="580"/>
              <w:spacing w:after="0"/>
              <w:rPr>
                <w:sz w:val="20"/>
                <w:szCs w:val="20"/>
                <w:color w:val="auto"/>
              </w:rPr>
            </w:pPr>
            <w:r>
              <w:rPr>
                <w:rFonts w:ascii="Arial" w:cs="Arial" w:eastAsia="Arial" w:hAnsi="Arial"/>
                <w:sz w:val="18"/>
                <w:szCs w:val="18"/>
                <w:color w:val="auto"/>
              </w:rPr>
              <w:t>8.2 years</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F-19 |</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51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As of December 31, 2014</w:t>
            </w:r>
          </w:p>
        </w:tc>
        <w:tc>
          <w:tcPr>
            <w:tcW w:w="16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1,040,081</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56,666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Reinstated</w:t>
            </w:r>
          </w:p>
        </w:tc>
        <w:tc>
          <w:tcPr>
            <w:tcW w:w="16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Expired and 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Forfeited prior to vesting</w:t>
            </w: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(15,252)</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(56,143)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As of December 31, 2015</w:t>
            </w:r>
          </w:p>
        </w:tc>
        <w:tc>
          <w:tcPr>
            <w:tcW w:w="160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1,028,935</w:t>
            </w:r>
          </w:p>
        </w:tc>
        <w:tc>
          <w:tcPr>
            <w:tcW w:w="12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BFE4FF"/>
            </w:tcBorders>
            <w:shd w:val="clear" w:color="auto" w:fill="BFE4FF"/>
          </w:tcPr>
          <w:p>
            <w:pPr>
              <w:spacing w:after="0"/>
              <w:rPr>
                <w:sz w:val="22"/>
                <w:szCs w:val="22"/>
                <w:color w:val="auto"/>
              </w:rPr>
            </w:pPr>
          </w:p>
        </w:tc>
        <w:tc>
          <w:tcPr>
            <w:tcW w:w="1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7,104</w:t>
            </w: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BFE4FF"/>
            </w:tcBorders>
          </w:tcPr>
          <w:p>
            <w:pPr>
              <w:ind w:left="40"/>
              <w:spacing w:after="0"/>
              <w:rPr>
                <w:sz w:val="20"/>
                <w:szCs w:val="20"/>
                <w:color w:val="auto"/>
              </w:rPr>
            </w:pPr>
            <w:r>
              <w:rPr>
                <w:rFonts w:ascii="Arial" w:cs="Arial" w:eastAsia="Arial" w:hAnsi="Arial"/>
                <w:sz w:val="18"/>
                <w:szCs w:val="18"/>
                <w:color w:val="auto"/>
              </w:rPr>
              <w:t>Vested and Expected to Vest at December 31, 2015</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1,028,935</w:t>
            </w:r>
          </w:p>
        </w:tc>
        <w:tc>
          <w:tcPr>
            <w:tcW w:w="120" w:type="dxa"/>
            <w:vAlign w:val="bottom"/>
            <w:tcBorders>
              <w:bottom w:val="single" w:sz="8" w:color="BFE4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BFE4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BFE4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7,104</w:t>
            </w:r>
          </w:p>
        </w:tc>
      </w:tr>
      <w:tr>
        <w:trPr>
          <w:trHeight w:val="251"/>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Vested at December 31, 2015</w:t>
            </w:r>
          </w:p>
        </w:tc>
        <w:tc>
          <w:tcPr>
            <w:tcW w:w="160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820,022</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6,419</w:t>
            </w: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weighted average per share fair value of options granted during the years ending December 31, 2015 and 2014 was $5.27 and $4.85 respectively. The total intrinsic value of options exercised during the years ended December 31, 2015 and 2014 was $404 and $1,337, respectively.</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pre-tax compensation cost related to stock options recognized during the years ended December 31, 2015 and 2014 was $552 and $401, respectively. Tax benefit from compensation cost related to stock options during the years ended December 31, 2015 and 2014 was $41 and $211, respectively. As of December 31, 2015, the total compensation cost related to stock options not yet recognized and before the effect of any forfeitures was $919, which is expected to be recognized over approximately the next 2.1 years on a straight-line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During 2015, the Company issued shares to employees under the Company's 2014 Employee Stock Purchase Plan (the "ESPP"). </w:t>
      </w:r>
      <w:r>
        <w:rPr>
          <w:rFonts w:ascii="Arial" w:cs="Arial" w:eastAsia="Arial" w:hAnsi="Arial"/>
          <w:sz w:val="17"/>
          <w:szCs w:val="17"/>
          <w:color w:val="333333"/>
        </w:rPr>
        <w:t>The ESPP was approved by</w:t>
      </w:r>
      <w:r>
        <w:rPr>
          <w:rFonts w:ascii="Arial" w:cs="Arial" w:eastAsia="Arial" w:hAnsi="Arial"/>
          <w:sz w:val="17"/>
          <w:szCs w:val="17"/>
          <w:color w:val="auto"/>
        </w:rPr>
        <w:t xml:space="preserve"> </w:t>
      </w:r>
      <w:r>
        <w:rPr>
          <w:rFonts w:ascii="Arial" w:cs="Arial" w:eastAsia="Arial" w:hAnsi="Arial"/>
          <w:sz w:val="17"/>
          <w:szCs w:val="17"/>
          <w:color w:val="333333"/>
        </w:rPr>
        <w:t xml:space="preserve">the Company’s shareholders on December 12, 2014. As of </w:t>
      </w:r>
      <w:r>
        <w:rPr>
          <w:rFonts w:ascii="Arial" w:cs="Arial" w:eastAsia="Arial" w:hAnsi="Arial"/>
          <w:sz w:val="17"/>
          <w:szCs w:val="17"/>
          <w:color w:val="000000"/>
        </w:rPr>
        <w:t>December 31, 2015</w:t>
      </w:r>
      <w:r>
        <w:rPr>
          <w:rFonts w:ascii="Arial" w:cs="Arial" w:eastAsia="Arial" w:hAnsi="Arial"/>
          <w:sz w:val="17"/>
          <w:szCs w:val="17"/>
          <w:color w:val="333333"/>
        </w:rPr>
        <w:t xml:space="preserve"> 485,033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Shares purchased and compensation expense associated Employee Stock Purchase Plans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F-20 |</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773"/>
              <w:spacing w:after="0"/>
              <w:rPr>
                <w:sz w:val="20"/>
                <w:szCs w:val="20"/>
                <w:color w:val="auto"/>
              </w:rPr>
            </w:pPr>
            <w:r>
              <w:rPr>
                <w:rFonts w:ascii="Arial" w:cs="Arial" w:eastAsia="Arial" w:hAnsi="Arial"/>
                <w:sz w:val="16"/>
                <w:szCs w:val="16"/>
                <w:b w:val="1"/>
                <w:bCs w:val="1"/>
                <w:color w:val="auto"/>
              </w:rPr>
              <w:t>2014</w:t>
            </w: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purchased under ESPP plans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14,982</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Plan compensation expense</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 and Cash Dividends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May 2012, our Board of Directors authorized a stock repurchase program to purchase the Company's common stock in the open market. A total of 272,767 shares costing $2,598 were purchased under this program during the year ended December 31, 2014. The cost of shares purchased were recorded as a reduction to shareholders' equity. On December 2, 2014, the Company announced the discontinuance of the stock repurchase program along with the initiation of a cash dividend plan. On February 25, 2016, the Company declared its most recent dividend under this plan of $0.05 per share of ClearOne common stock, payable on March 18, 2016 to shareholders of record on March 7, 2016.</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ind w:left="160"/>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24.6%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Sales didn't exceed 10% of the revenue.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5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jc w:val="right"/>
              <w:ind w:right="7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1220" w:type="dxa"/>
            <w:vAlign w:val="bottom"/>
            <w:tcBorders>
              <w:top w:val="single" w:sz="8" w:color="auto"/>
              <w:bottom w:val="single" w:sz="8" w:color="BFE4FF"/>
            </w:tcBorders>
            <w:shd w:val="clear" w:color="auto" w:fill="BFE4FF"/>
          </w:tcPr>
          <w:p>
            <w:pPr>
              <w:spacing w:after="0"/>
              <w:rPr>
                <w:sz w:val="21"/>
                <w:szCs w:val="21"/>
                <w:color w:val="auto"/>
              </w:rPr>
            </w:pPr>
          </w:p>
        </w:tc>
        <w:tc>
          <w:tcPr>
            <w:tcW w:w="660" w:type="dxa"/>
            <w:vAlign w:val="bottom"/>
            <w:tcBorders>
              <w:top w:val="single" w:sz="8" w:color="auto"/>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w w:val="93"/>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ind w:left="160"/>
              <w:spacing w:after="0"/>
              <w:rPr>
                <w:sz w:val="20"/>
                <w:szCs w:val="20"/>
                <w:color w:val="auto"/>
              </w:rPr>
            </w:pPr>
            <w:r>
              <w:rPr>
                <w:rFonts w:ascii="Arial" w:cs="Arial" w:eastAsia="Arial" w:hAnsi="Arial"/>
                <w:sz w:val="18"/>
                <w:szCs w:val="18"/>
                <w:color w:val="auto"/>
                <w:w w:val="93"/>
              </w:rPr>
              <w:t>16.0%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34.0%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F-21 |</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2015 and 2014: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20,744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20,744</w:t>
            </w:r>
          </w:p>
        </w:tc>
      </w:tr>
      <w:tr>
        <w:trPr>
          <w:trHeight w:val="27"/>
        </w:trPr>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r>
      <w:tr>
        <w:trPr>
          <w:trHeight w:val="297"/>
        </w:trPr>
        <w:tc>
          <w:tcPr>
            <w:tcW w:w="47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19,838</w:t>
            </w:r>
          </w:p>
        </w:tc>
      </w:tr>
      <w:tr>
        <w:trPr>
          <w:trHeight w:val="27"/>
        </w:trPr>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r>
      <w:tr>
        <w:trPr>
          <w:trHeight w:val="297"/>
        </w:trPr>
        <w:tc>
          <w:tcPr>
            <w:tcW w:w="47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4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6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9,615</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7"/>
        </w:trPr>
        <w:tc>
          <w:tcPr>
            <w:tcW w:w="7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8,229</w:t>
            </w:r>
          </w:p>
        </w:tc>
      </w:tr>
      <w:tr>
        <w:trPr>
          <w:trHeight w:val="20"/>
        </w:trPr>
        <w:tc>
          <w:tcPr>
            <w:tcW w:w="7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F-22 |</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(provision) for income taxes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105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2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r>
      <w:tr>
        <w:trPr>
          <w:trHeight w:val="237"/>
        </w:trPr>
        <w:tc>
          <w:tcPr>
            <w:tcW w:w="7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240</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0"/>
        </w:trPr>
        <w:tc>
          <w:tcPr>
            <w:tcW w:w="75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8380" w:type="dxa"/>
            <w:vAlign w:val="bottom"/>
            <w:gridSpan w:val="4"/>
          </w:tcPr>
          <w:p>
            <w:pPr>
              <w:spacing w:after="0"/>
              <w:rPr>
                <w:sz w:val="20"/>
                <w:szCs w:val="20"/>
                <w:color w:val="auto"/>
              </w:rPr>
            </w:pPr>
            <w:r>
              <w:rPr>
                <w:rFonts w:ascii="Arial" w:cs="Arial" w:eastAsia="Arial" w:hAnsi="Arial"/>
                <w:sz w:val="18"/>
                <w:szCs w:val="18"/>
                <w:color w:val="auto"/>
                <w:w w:val="92"/>
              </w:rPr>
              <w:t>The income tax (provision) differs from that computed at the federal statutory corporate income tax rate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9"/>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200" w:type="dxa"/>
            <w:vAlign w:val="bottom"/>
            <w:tcBorders>
              <w:bottom w:val="single" w:sz="8" w:color="BFE4FF"/>
            </w:tcBorders>
          </w:tcPr>
          <w:p>
            <w:pPr>
              <w:spacing w:after="0"/>
              <w:rPr>
                <w:sz w:val="22"/>
                <w:szCs w:val="22"/>
                <w:color w:val="auto"/>
              </w:rPr>
            </w:pPr>
          </w:p>
        </w:tc>
        <w:tc>
          <w:tcPr>
            <w:tcW w:w="360" w:type="dxa"/>
            <w:vAlign w:val="bottom"/>
            <w:tcBorders>
              <w:bottom w:val="single" w:sz="8" w:color="BFE4FF"/>
            </w:tcBorders>
          </w:tcPr>
          <w:p>
            <w:pPr>
              <w:spacing w:after="0"/>
              <w:rPr>
                <w:sz w:val="22"/>
                <w:szCs w:val="22"/>
                <w:color w:val="auto"/>
              </w:rPr>
            </w:pPr>
          </w:p>
        </w:tc>
        <w:tc>
          <w:tcPr>
            <w:tcW w:w="100" w:type="dxa"/>
            <w:vAlign w:val="bottom"/>
            <w:tcBorders>
              <w:bottom w:val="single" w:sz="8" w:color="BFE4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Tax (provision) at Federal statutory rate</w:t>
            </w:r>
          </w:p>
        </w:tc>
        <w:tc>
          <w:tcPr>
            <w:tcW w:w="1180" w:type="dxa"/>
            <w:vAlign w:val="bottom"/>
            <w:tcBorders>
              <w:bottom w:val="single" w:sz="8" w:color="BFE4FF"/>
            </w:tcBorders>
            <w:gridSpan w:val="3"/>
            <w:shd w:val="clear" w:color="auto" w:fill="BFE4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FE4FF"/>
            </w:tcBorders>
            <w:gridSpan w:val="4"/>
            <w:shd w:val="clear" w:color="auto" w:fill="BFE4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Research and development tax credits</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earnings or losses taxed at different rates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383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7200" w:type="dxa"/>
            <w:vAlign w:val="bottom"/>
            <w:tcBorders>
              <w:bottom w:val="single" w:sz="8" w:color="BFE4FF"/>
            </w:tcBorders>
          </w:tcPr>
          <w:p>
            <w:pPr>
              <w:spacing w:after="0"/>
              <w:rPr>
                <w:sz w:val="2"/>
                <w:szCs w:val="2"/>
                <w:color w:val="auto"/>
              </w:rPr>
            </w:pPr>
          </w:p>
        </w:tc>
        <w:tc>
          <w:tcPr>
            <w:tcW w:w="460" w:type="dxa"/>
            <w:vAlign w:val="bottom"/>
            <w:tcBorders>
              <w:bottom w:val="single" w:sz="8" w:color="BFE4FF"/>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Tax (provision)</w:t>
            </w:r>
          </w:p>
        </w:tc>
        <w:tc>
          <w:tcPr>
            <w:tcW w:w="1180" w:type="dxa"/>
            <w:vAlign w:val="bottom"/>
            <w:gridSpan w:val="3"/>
            <w:shd w:val="clear" w:color="auto" w:fill="BFE4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BFE4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BFE4FF"/>
          </w:tcPr>
          <w:p>
            <w:pPr>
              <w:spacing w:after="0"/>
              <w:rPr>
                <w:sz w:val="22"/>
                <w:szCs w:val="22"/>
                <w:color w:val="auto"/>
              </w:rPr>
            </w:pP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(2,633)</w:t>
            </w:r>
          </w:p>
        </w:tc>
      </w:tr>
      <w:tr>
        <w:trPr>
          <w:trHeight w:val="20"/>
        </w:trPr>
        <w:tc>
          <w:tcPr>
            <w:tcW w:w="7660" w:type="dxa"/>
            <w:vAlign w:val="bottom"/>
            <w:tcBorders>
              <w:top w:val="single" w:sz="8" w:color="BFE4FF"/>
            </w:tcBorders>
            <w:gridSpan w:val="3"/>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9380" w:type="dxa"/>
            <w:vAlign w:val="bottom"/>
            <w:gridSpan w:val="7"/>
          </w:tcPr>
          <w:p>
            <w:pPr>
              <w:spacing w:after="0"/>
              <w:rPr>
                <w:sz w:val="20"/>
                <w:szCs w:val="20"/>
                <w:color w:val="auto"/>
              </w:rPr>
            </w:pPr>
            <w:r>
              <w:rPr>
                <w:rFonts w:ascii="Arial" w:cs="Arial" w:eastAsia="Arial" w:hAnsi="Arial"/>
                <w:sz w:val="18"/>
                <w:szCs w:val="18"/>
                <w:color w:val="auto"/>
                <w:w w:val="92"/>
              </w:rPr>
              <w:t>The tax effects of significant temporary differences representing net deferred tax assets and liabilities consisted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9"/>
        </w:trPr>
        <w:tc>
          <w:tcPr>
            <w:tcW w:w="7200" w:type="dxa"/>
            <w:vAlign w:val="bottom"/>
            <w:tcBorders>
              <w:bottom w:val="single" w:sz="8" w:color="BFE4FF"/>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BFE4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BFE4FF"/>
            </w:tcBorders>
            <w:shd w:val="clear" w:color="auto" w:fill="BFE4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1,120</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Inventory reserve</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2,213</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957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Research and development tax credits</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gridSpan w:val="3"/>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292</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577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rPr>
              <w:t>Difference in property and equipment basis</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910</w:t>
            </w:r>
          </w:p>
        </w:tc>
      </w:tr>
      <w:tr>
        <w:trPr>
          <w:trHeight w:val="27"/>
        </w:trPr>
        <w:tc>
          <w:tcPr>
            <w:tcW w:w="72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Total net deferred income tax asset</w:t>
            </w:r>
          </w:p>
        </w:tc>
        <w:tc>
          <w:tcPr>
            <w:tcW w:w="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5,875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72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360" w:type="dxa"/>
            <w:vAlign w:val="bottom"/>
            <w:tcBorders>
              <w:bottom w:val="single" w:sz="8" w:color="auto"/>
            </w:tcBorders>
            <w:shd w:val="clear" w:color="auto" w:fill="BFE4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BFE4FF"/>
          </w:tcPr>
          <w:p>
            <w:pPr>
              <w:spacing w:after="0"/>
              <w:rPr>
                <w:sz w:val="22"/>
                <w:szCs w:val="22"/>
                <w:color w:val="auto"/>
              </w:rPr>
            </w:pPr>
          </w:p>
        </w:tc>
        <w:tc>
          <w:tcPr>
            <w:tcW w:w="720" w:type="dxa"/>
            <w:vAlign w:val="bottom"/>
            <w:tcBorders>
              <w:bottom w:val="single" w:sz="8" w:color="auto"/>
            </w:tcBorders>
            <w:shd w:val="clear" w:color="auto" w:fill="BFE4FF"/>
          </w:tcPr>
          <w:p>
            <w:pPr>
              <w:spacing w:after="0"/>
              <w:rPr>
                <w:sz w:val="22"/>
                <w:szCs w:val="22"/>
                <w:color w:val="auto"/>
              </w:rPr>
            </w:pPr>
          </w:p>
        </w:tc>
        <w:tc>
          <w:tcPr>
            <w:tcW w:w="88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5,093</w:t>
            </w:r>
          </w:p>
        </w:tc>
        <w:tc>
          <w:tcPr>
            <w:tcW w:w="100" w:type="dxa"/>
            <w:vAlign w:val="bottom"/>
            <w:tcBorders>
              <w:bottom w:val="single" w:sz="8" w:color="BFE4FF"/>
            </w:tcBorders>
            <w:shd w:val="clear" w:color="auto" w:fill="BFE4FF"/>
          </w:tcPr>
          <w:p>
            <w:pPr>
              <w:spacing w:after="0"/>
              <w:rPr>
                <w:sz w:val="22"/>
                <w:szCs w:val="22"/>
                <w:color w:val="auto"/>
              </w:rPr>
            </w:pPr>
          </w:p>
        </w:tc>
        <w:tc>
          <w:tcPr>
            <w:tcW w:w="20" w:type="dxa"/>
            <w:vAlign w:val="bottom"/>
            <w:tcBorders>
              <w:bottom w:val="single" w:sz="8" w:color="auto"/>
            </w:tcBorders>
            <w:shd w:val="clear" w:color="auto" w:fill="BFE4FF"/>
          </w:tcPr>
          <w:p>
            <w:pPr>
              <w:spacing w:after="0"/>
              <w:rPr>
                <w:sz w:val="22"/>
                <w:szCs w:val="22"/>
                <w:color w:val="auto"/>
              </w:rPr>
            </w:pPr>
          </w:p>
        </w:tc>
        <w:tc>
          <w:tcPr>
            <w:tcW w:w="1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BFE4FF"/>
          </w:tcPr>
          <w:p>
            <w:pPr>
              <w:spacing w:after="0"/>
              <w:rPr>
                <w:sz w:val="22"/>
                <w:szCs w:val="22"/>
                <w:color w:val="auto"/>
              </w:rPr>
            </w:pPr>
          </w:p>
        </w:tc>
        <w:tc>
          <w:tcPr>
            <w:tcW w:w="380" w:type="dxa"/>
            <w:vAlign w:val="bottom"/>
            <w:tcBorders>
              <w:bottom w:val="single" w:sz="8" w:color="auto"/>
            </w:tcBorders>
            <w:shd w:val="clear" w:color="auto" w:fill="BFE4FF"/>
          </w:tcPr>
          <w:p>
            <w:pPr>
              <w:spacing w:after="0"/>
              <w:rPr>
                <w:sz w:val="22"/>
                <w:szCs w:val="22"/>
                <w:color w:val="auto"/>
              </w:rPr>
            </w:pPr>
          </w:p>
        </w:tc>
        <w:tc>
          <w:tcPr>
            <w:tcW w:w="14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5,089</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F-23 |</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ASC Topic 740, the Company analyzed its valuation allowance at December 31, 2015 and determined that, based upon available evidence, it is more likely than not that certain of its deferred tax assets may not be realized and, as such, has established a valuation allowance against certain deferred tax assets. These deferred tax assets include foreign net operating loss carryforwards and foreign intangible assets.</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has federal net operating loss (“NOL”) carryforwards of approximately $818 (pre-tax), Hong Kong NOL carryforwards of approximately $1,577, and Spain NOL carryforwards of approximately $2,434. The federal NOL carryforwards will begin to expire in 2029. The Hong Kong and Spain NOL carryforwards do not expire.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amount of unrecognized tax benefits at December 31, 2015 and 2014, that would favorably impact our effective tax rate if recognized was $176 and $723, respectively. As of December 31, 2015 and 2014, we accrued $55 and $40, respectively, in interest and penalties related to unrecognized tax benefits. We account for interest expense and penalties for unrecognized tax benefits as part of our income tax provision.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BFE4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 beginning of year</w:t>
            </w:r>
          </w:p>
        </w:tc>
        <w:tc>
          <w:tcPr>
            <w:tcW w:w="1080" w:type="dxa"/>
            <w:vAlign w:val="bottom"/>
            <w:tcBorders>
              <w:bottom w:val="single" w:sz="8" w:color="BFE4FF"/>
            </w:tcBorders>
            <w:shd w:val="clear" w:color="auto" w:fill="BFE4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1,901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0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564</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7660" w:type="dxa"/>
            <w:vAlign w:val="bottom"/>
            <w:tcBorders>
              <w:bottom w:val="single" w:sz="8" w:color="BFE4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Uncertain tax positions, ending balance</w:t>
            </w:r>
          </w:p>
        </w:tc>
        <w:tc>
          <w:tcPr>
            <w:tcW w:w="1080" w:type="dxa"/>
            <w:vAlign w:val="bottom"/>
            <w:tcBorders>
              <w:bottom w:val="single" w:sz="8" w:color="auto"/>
            </w:tcBorders>
            <w:shd w:val="clear" w:color="auto" w:fill="BFE4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BFE4FF"/>
            </w:tcBorders>
            <w:shd w:val="clear" w:color="auto" w:fill="BFE4FF"/>
          </w:tcPr>
          <w:p>
            <w:pPr>
              <w:spacing w:after="0"/>
              <w:rPr>
                <w:sz w:val="22"/>
                <w:szCs w:val="22"/>
                <w:color w:val="auto"/>
              </w:rPr>
            </w:pPr>
          </w:p>
        </w:tc>
        <w:tc>
          <w:tcPr>
            <w:tcW w:w="760" w:type="dxa"/>
            <w:vAlign w:val="bottom"/>
            <w:tcBorders>
              <w:bottom w:val="single" w:sz="8" w:color="auto"/>
            </w:tcBorders>
            <w:shd w:val="clear" w:color="auto" w:fill="BFE4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1,678</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U.S. federal income tax returns for 2012 through 2014 are subject to examination. The Company also files in various state and foreign jurisdictions. With few exceptions, the Company is no longer subject to federal, state, or non-U.S. income tax examinations by tax authorities for years prior to 2012. The Company completed its audit by the Internal Revenue Service (“IRS”) for its 2006 tax return in 2010. As a result of the audit by the IRS, there were no material adjustments made to the Company’s tax return. The IRS commenced an examination of the Company's 2012 tax return. We do not anticipate the examination will result in a material change to its financial position.</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that is anticipated to be completed in 2016. The Company does not anticipate the examination will result in a material change to its financial position. During the next twelve months, it is reasonably possible that the amount of the Company's unrecognized income tax benefits could change significantly. These changes could be the result of our ongoing tax audits or the settlement of outstanding audit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F-24 |</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issues. However, due to the issues being examined, at the current time, an estimate of the range of reasonably possible outcomes cannot be made, beyond amounts currently accrued.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39,563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18,233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18,072</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57,796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57,909</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25, 2016, the Company declared a stock dividend of $0.05 per share of ClearOne common stock payable on March 18, 2016 to shareholders of record on March 7,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F-25 |</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On March 9, 2016, the Board of Directors of the Company authorized the repurchase of up to $10,000 of the company’s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F-26 |</w:t>
      </w:r>
    </w:p>
    <w:p>
      <w:pPr>
        <w:sectPr>
          <w:pgSz w:w="11900" w:h="16838" w:orient="portrait"/>
          <w:cols w:equalWidth="0" w:num="1">
            <w:col w:w="11380"/>
          </w:cols>
          <w:pgMar w:left="240" w:top="122" w:right="2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Middle East FZE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consent to the incorporation by reference in Registration Statements (Nos. 333-205356, 333-209130, 333-148789 and 333-137859) on Form S-8 and Registration Statement (No. 333-195591) on Form S-3 of ClearOne, Inc. of our report dated March 15, 2016, relating to our audit of the consolidated financial statements, which appears in this Annual Report on Form 10-K of ClearOne, Inc. for the year ended December 31, 2015.</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Tanner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71"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17"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of Finance</w:t>
      </w:r>
    </w:p>
    <w:p>
      <w:pPr>
        <w:sectPr>
          <w:pgSz w:w="11900" w:h="16838" w:orient="portrait"/>
          <w:cols w:equalWidth="0" w:num="1">
            <w:col w:w="11420"/>
          </w:cols>
          <w:pgMar w:left="240" w:top="580" w:right="239"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annual report of ClearOne, Inc. (the "Company") on Form 10-K for the year ended December 31, 2015,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65" w:name="page66"/>
    <w:bookmarkEnd w:id="65"/>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annual report of ClearOne, Inc. (the "Company") on Form 10-K for the year ended December 31, 2015,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1."/>
      <w:numFmt w:val="upperLetter"/>
      <w:start w:val="1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2019-12-29T12:04:36Z</dcterms:created>
  <dcterms:modified xsi:type="dcterms:W3CDTF">2019-12-29T12:04:36Z</dcterms:modified>
</cp:coreProperties>
</file>