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SCHEDULE 14A</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(Rule 14a-101)</w:t>
      </w: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SCHEDULE 14A INFORMATION</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jc w:val="center"/>
        <w:ind w:right="-5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66" w:lineRule="exact"/>
        <w:rPr>
          <w:sz w:val="24"/>
          <w:szCs w:val="24"/>
          <w:color w:val="auto"/>
        </w:rPr>
      </w:pPr>
    </w:p>
    <w:p>
      <w:pPr>
        <w:ind w:left="140"/>
        <w:spacing w:after="0"/>
        <w:tabs>
          <w:tab w:leader="none" w:pos="3340" w:val="left"/>
        </w:tabs>
        <w:rPr>
          <w:sz w:val="20"/>
          <w:szCs w:val="20"/>
          <w:color w:val="auto"/>
        </w:rPr>
      </w:pPr>
      <w:r>
        <w:rPr>
          <w:rFonts w:ascii="Times New Roman" w:cs="Times New Roman" w:eastAsia="Times New Roman" w:hAnsi="Times New Roman"/>
          <w:sz w:val="18"/>
          <w:szCs w:val="18"/>
          <w:color w:val="auto"/>
        </w:rPr>
        <w:t>Filed by a Party other than the Registrant [</w:t>
        <w:tab/>
        <w:t>]</w:t>
      </w:r>
    </w:p>
    <w:p>
      <w:pPr>
        <w:spacing w:after="0" w:line="23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80" w:hanging="670"/>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ind w:left="200" w:hanging="190"/>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200" w:hanging="190"/>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Definitive Proxy Statement.</w:t>
      </w:r>
    </w:p>
    <w:p>
      <w:pPr>
        <w:spacing w:after="0" w:line="9" w:lineRule="exact"/>
        <w:rPr>
          <w:rFonts w:ascii="Times New Roman" w:cs="Times New Roman" w:eastAsia="Times New Roman" w:hAnsi="Times New Roman"/>
          <w:sz w:val="18"/>
          <w:szCs w:val="18"/>
          <w:color w:val="auto"/>
        </w:rPr>
      </w:pPr>
    </w:p>
    <w:p>
      <w:pPr>
        <w:ind w:left="200" w:hanging="190"/>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Definitive Additional Materials.</w:t>
      </w:r>
    </w:p>
    <w:p>
      <w:pPr>
        <w:spacing w:after="0" w:line="9" w:lineRule="exact"/>
        <w:rPr>
          <w:sz w:val="24"/>
          <w:szCs w:val="24"/>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Soliciting Material Pursuant to §240.14a-12.</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ClearOne, Inc.</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Person(s) Filing Proxy Statement, if other than Registrant)</w:t>
      </w:r>
    </w:p>
    <w:p>
      <w:pPr>
        <w:spacing w:after="0" w:line="20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80" w:hanging="670"/>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200" w:hanging="190"/>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Fee computed on table below per Exchange Act Rules 14a-6(i)(4) and 0-11.</w:t>
      </w:r>
    </w:p>
    <w:p>
      <w:pPr>
        <w:spacing w:after="0" w:line="9" w:lineRule="exact"/>
        <w:rPr>
          <w:rFonts w:ascii="Times New Roman" w:cs="Times New Roman" w:eastAsia="Times New Roman" w:hAnsi="Times New Roman"/>
          <w:sz w:val="18"/>
          <w:szCs w:val="18"/>
          <w:color w:val="auto"/>
        </w:rPr>
      </w:pPr>
    </w:p>
    <w:p>
      <w:pPr>
        <w:ind w:left="1340" w:hanging="669"/>
        <w:spacing w:after="0"/>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9" w:lineRule="exact"/>
        <w:rPr>
          <w:rFonts w:ascii="Times New Roman" w:cs="Times New Roman" w:eastAsia="Times New Roman" w:hAnsi="Times New Roman"/>
          <w:sz w:val="18"/>
          <w:szCs w:val="18"/>
          <w:color w:val="auto"/>
        </w:rPr>
      </w:pPr>
    </w:p>
    <w:p>
      <w:pPr>
        <w:ind w:left="1340" w:hanging="669"/>
        <w:spacing w:after="0"/>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w:t>
      </w:r>
    </w:p>
    <w:p>
      <w:pPr>
        <w:spacing w:after="0" w:line="9" w:lineRule="exact"/>
        <w:rPr>
          <w:rFonts w:ascii="Times New Roman" w:cs="Times New Roman" w:eastAsia="Times New Roman" w:hAnsi="Times New Roman"/>
          <w:sz w:val="18"/>
          <w:szCs w:val="18"/>
          <w:color w:val="auto"/>
        </w:rPr>
      </w:pPr>
    </w:p>
    <w:p>
      <w:pPr>
        <w:ind w:left="1340" w:right="40" w:hanging="669"/>
        <w:spacing w:after="0" w:line="250" w:lineRule="auto"/>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340" w:hanging="669"/>
        <w:spacing w:after="0"/>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340" w:hanging="669"/>
        <w:spacing w:after="0"/>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9" w:lineRule="exact"/>
        <w:rPr>
          <w:sz w:val="24"/>
          <w:szCs w:val="24"/>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9" w:lineRule="exact"/>
        <w:rPr>
          <w:sz w:val="24"/>
          <w:szCs w:val="24"/>
          <w:color w:val="auto"/>
        </w:rPr>
      </w:pPr>
    </w:p>
    <w:p>
      <w:pPr>
        <w:ind w:left="680" w:hanging="670"/>
        <w:spacing w:after="0" w:line="250" w:lineRule="auto"/>
        <w:tabs>
          <w:tab w:leader="none" w:pos="2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40" w:hanging="669"/>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 w:lineRule="exact"/>
        <w:rPr>
          <w:rFonts w:ascii="Times New Roman" w:cs="Times New Roman" w:eastAsia="Times New Roman" w:hAnsi="Times New Roman"/>
          <w:sz w:val="18"/>
          <w:szCs w:val="18"/>
          <w:color w:val="auto"/>
        </w:rPr>
      </w:pPr>
    </w:p>
    <w:p>
      <w:pPr>
        <w:ind w:left="1340" w:hanging="669"/>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340" w:hanging="669"/>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340" w:hanging="669"/>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4"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976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FF4338"/>
                <w:w w:val="98"/>
              </w:rPr>
              <w:t>PRELIMINARY PROXY STATEMENT</w:t>
            </w:r>
          </w:p>
        </w:tc>
      </w:tr>
      <w:tr>
        <w:trPr>
          <w:trHeight w:val="238"/>
        </w:trPr>
        <w:tc>
          <w:tcPr>
            <w:tcW w:w="1480" w:type="dxa"/>
            <w:vAlign w:val="bottom"/>
          </w:tcPr>
          <w:p>
            <w:pPr>
              <w:spacing w:after="0"/>
              <w:rPr>
                <w:sz w:val="20"/>
                <w:szCs w:val="20"/>
                <w:color w:val="auto"/>
              </w:rPr>
            </w:pPr>
          </w:p>
        </w:tc>
        <w:tc>
          <w:tcPr>
            <w:tcW w:w="976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APRIL [●], 2025</w:t>
            </w:r>
          </w:p>
        </w:tc>
      </w:tr>
      <w:tr>
        <w:trPr>
          <w:trHeight w:val="455"/>
        </w:trPr>
        <w:tc>
          <w:tcPr>
            <w:tcW w:w="1480" w:type="dxa"/>
            <w:vAlign w:val="bottom"/>
          </w:tcPr>
          <w:p>
            <w:pPr>
              <w:spacing w:after="0"/>
              <w:rPr>
                <w:sz w:val="24"/>
                <w:szCs w:val="24"/>
                <w:color w:val="auto"/>
              </w:rPr>
            </w:pPr>
          </w:p>
        </w:tc>
        <w:tc>
          <w:tcPr>
            <w:tcW w:w="9760" w:type="dxa"/>
            <w:vAlign w:val="bottom"/>
            <w:gridSpan w:val="3"/>
          </w:tcPr>
          <w:p>
            <w:pPr>
              <w:jc w:val="center"/>
              <w:ind w:right="1460"/>
              <w:spacing w:after="0"/>
              <w:rPr>
                <w:sz w:val="20"/>
                <w:szCs w:val="20"/>
                <w:color w:val="auto"/>
              </w:rPr>
            </w:pPr>
            <w:r>
              <w:rPr>
                <w:rFonts w:ascii="Times New Roman" w:cs="Times New Roman" w:eastAsia="Times New Roman" w:hAnsi="Times New Roman"/>
                <w:sz w:val="22"/>
                <w:szCs w:val="22"/>
                <w:b w:val="1"/>
                <w:bCs w:val="1"/>
                <w:color w:val="auto"/>
                <w:w w:val="98"/>
              </w:rPr>
              <w:t>CLEARONE, INC.</w:t>
            </w:r>
          </w:p>
        </w:tc>
      </w:tr>
      <w:tr>
        <w:trPr>
          <w:trHeight w:val="286"/>
        </w:trPr>
        <w:tc>
          <w:tcPr>
            <w:tcW w:w="1480" w:type="dxa"/>
            <w:vAlign w:val="bottom"/>
          </w:tcPr>
          <w:p>
            <w:pPr>
              <w:spacing w:after="0"/>
              <w:rPr>
                <w:sz w:val="24"/>
                <w:szCs w:val="24"/>
                <w:color w:val="auto"/>
              </w:rPr>
            </w:pPr>
          </w:p>
        </w:tc>
        <w:tc>
          <w:tcPr>
            <w:tcW w:w="9760" w:type="dxa"/>
            <w:vAlign w:val="bottom"/>
            <w:gridSpan w:val="3"/>
          </w:tcPr>
          <w:p>
            <w:pPr>
              <w:jc w:val="center"/>
              <w:ind w:right="1460"/>
              <w:spacing w:after="0"/>
              <w:rPr>
                <w:sz w:val="20"/>
                <w:szCs w:val="20"/>
                <w:color w:val="auto"/>
              </w:rPr>
            </w:pPr>
            <w:r>
              <w:rPr>
                <w:rFonts w:ascii="Times New Roman" w:cs="Times New Roman" w:eastAsia="Times New Roman" w:hAnsi="Times New Roman"/>
                <w:sz w:val="22"/>
                <w:szCs w:val="22"/>
                <w:b w:val="1"/>
                <w:bCs w:val="1"/>
                <w:color w:val="auto"/>
                <w:w w:val="98"/>
              </w:rPr>
              <w:t>Notice of Special Meeting in Lieu of Annual Meeting of Shareholders</w:t>
            </w:r>
          </w:p>
        </w:tc>
      </w:tr>
      <w:tr>
        <w:trPr>
          <w:trHeight w:val="42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9:30 a.m. Mountain time</w:t>
            </w:r>
          </w:p>
        </w:tc>
      </w:tr>
      <w:tr>
        <w:trPr>
          <w:trHeight w:val="45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Place</w:t>
            </w: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5225 Wiley Post Way, Suite 500, Salt Lake City, UT 84116</w:t>
            </w:r>
          </w:p>
        </w:tc>
      </w:tr>
      <w:tr>
        <w:trPr>
          <w:trHeight w:val="42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May 9, 2025. Only shareholders of record at the close of business on the record date are entitled to receive notice of, and to</w:t>
            </w:r>
          </w:p>
        </w:tc>
      </w:tr>
      <w:tr>
        <w:trPr>
          <w:trHeight w:val="234"/>
        </w:trPr>
        <w:tc>
          <w:tcPr>
            <w:tcW w:w="1480" w:type="dxa"/>
            <w:vAlign w:val="bottom"/>
          </w:tcPr>
          <w:p>
            <w:pPr>
              <w:spacing w:after="0"/>
              <w:rPr>
                <w:sz w:val="20"/>
                <w:szCs w:val="20"/>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vote at, the Special Meeting.</w:t>
            </w:r>
          </w:p>
        </w:tc>
      </w:tr>
      <w:tr>
        <w:trPr>
          <w:trHeight w:val="42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Proxy voting</w:t>
            </w: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This proxy statement (“Proxy Statement”) is being furnished to the shareholders (the “Shareholders”) of ClearOne, Inc., a</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Delaware corporation (the “Company” or "ClearOne"), in connection with the solicitation of proxies by the Board of Directors</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of the Company (the “Board”) from the Shareholders for use at the Special Meeting in Lieu of Annual Meeting of Shareholders</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to be held at 9:30 a.m., Mountain Time, on [_____], 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 and any continuations, postponements or adjournments</w:t>
            </w:r>
          </w:p>
        </w:tc>
      </w:tr>
      <w:tr>
        <w:trPr>
          <w:trHeight w:val="234"/>
        </w:trPr>
        <w:tc>
          <w:tcPr>
            <w:tcW w:w="1480" w:type="dxa"/>
            <w:vAlign w:val="bottom"/>
          </w:tcPr>
          <w:p>
            <w:pPr>
              <w:spacing w:after="0"/>
              <w:rPr>
                <w:sz w:val="20"/>
                <w:szCs w:val="20"/>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thereof (the “Special Meeting”).</w:t>
            </w:r>
          </w:p>
        </w:tc>
      </w:tr>
      <w:tr>
        <w:trPr>
          <w:trHeight w:val="414"/>
        </w:trPr>
        <w:tc>
          <w:tcPr>
            <w:tcW w:w="1480" w:type="dxa"/>
            <w:vAlign w:val="bottom"/>
          </w:tcPr>
          <w:p>
            <w:pPr>
              <w:spacing w:after="0"/>
              <w:rPr>
                <w:sz w:val="24"/>
                <w:szCs w:val="24"/>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If you plan to attend the Special Meeting, please note that for security reasons, before being admitted you must present your</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proof of stock ownership (or if you hold your shares in street name, a signed legal proxy from your bank, broker or other</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nominee giving you the right to vote your shares) and valid photo identification at the door. All hand-carried items will be</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subject to inspection, and any bags, briefcases, or packages must be checked at the registration desk prior to entering the</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meeting room. If you do not have proof of ownership and valid photo identification, you will not be admitted to the Special</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Meeting. Please also note that the use of cell phones, smartphones, pagers, recording and photographic equipment and/or</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computers is strictly prohibited at the Annual Meeting. No recording of the Special Meeting is permitted, including audio and</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video recording. If you need to obtain directions on how to attend the Special Meeting and vote in person, please contact our</w:t>
            </w:r>
          </w:p>
        </w:tc>
      </w:tr>
      <w:tr>
        <w:trPr>
          <w:trHeight w:val="234"/>
        </w:trPr>
        <w:tc>
          <w:tcPr>
            <w:tcW w:w="1480" w:type="dxa"/>
            <w:vAlign w:val="bottom"/>
          </w:tcPr>
          <w:p>
            <w:pPr>
              <w:spacing w:after="0"/>
              <w:rPr>
                <w:sz w:val="20"/>
                <w:szCs w:val="20"/>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corporate offices at +1 (801) 975-7200.</w:t>
            </w:r>
          </w:p>
        </w:tc>
      </w:tr>
      <w:tr>
        <w:trPr>
          <w:trHeight w:val="414"/>
        </w:trPr>
        <w:tc>
          <w:tcPr>
            <w:tcW w:w="1480" w:type="dxa"/>
            <w:vAlign w:val="bottom"/>
          </w:tcPr>
          <w:p>
            <w:pPr>
              <w:spacing w:after="0"/>
              <w:rPr>
                <w:sz w:val="24"/>
                <w:szCs w:val="24"/>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IMPORTANT NOTICE REGARDING THE AVAILABILITY OF PROXY MATERIALS FOR OUR SPECIAL MEETING IN</w:t>
            </w:r>
          </w:p>
        </w:tc>
      </w:tr>
      <w:tr>
        <w:trPr>
          <w:trHeight w:val="234"/>
        </w:trPr>
        <w:tc>
          <w:tcPr>
            <w:tcW w:w="1480" w:type="dxa"/>
            <w:vAlign w:val="bottom"/>
          </w:tcPr>
          <w:p>
            <w:pPr>
              <w:spacing w:after="0"/>
              <w:rPr>
                <w:sz w:val="20"/>
                <w:szCs w:val="20"/>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LIEU OF ANNUAL MEETING TO BE HELD ON 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w:t>
            </w:r>
          </w:p>
        </w:tc>
      </w:tr>
      <w:tr>
        <w:trPr>
          <w:trHeight w:val="414"/>
        </w:trPr>
        <w:tc>
          <w:tcPr>
            <w:tcW w:w="1480" w:type="dxa"/>
            <w:vAlign w:val="bottom"/>
          </w:tcPr>
          <w:p>
            <w:pPr>
              <w:spacing w:after="0"/>
              <w:rPr>
                <w:sz w:val="24"/>
                <w:szCs w:val="24"/>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Because we have elected to utilize the “full set delivery” option, we are delivering to all Shareholders paper copies of all of our</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proxy materials, including a proxy card, as well as providing access to our proxy materials on a publicly accessible website.</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Our proxy statement, form of proxy card, and Annual Report on Form 10-K for the year ended December 31, 2024 (the “2024</w:t>
            </w:r>
          </w:p>
        </w:tc>
      </w:tr>
      <w:tr>
        <w:trPr>
          <w:trHeight w:val="194"/>
        </w:trPr>
        <w:tc>
          <w:tcPr>
            <w:tcW w:w="1480" w:type="dxa"/>
            <w:vAlign w:val="bottom"/>
          </w:tcPr>
          <w:p>
            <w:pPr>
              <w:spacing w:after="0"/>
              <w:rPr>
                <w:sz w:val="16"/>
                <w:szCs w:val="16"/>
                <w:color w:val="auto"/>
              </w:rPr>
            </w:pPr>
          </w:p>
        </w:tc>
        <w:tc>
          <w:tcPr>
            <w:tcW w:w="9760" w:type="dxa"/>
            <w:vAlign w:val="bottom"/>
            <w:gridSpan w:val="3"/>
          </w:tcPr>
          <w:p>
            <w:pPr>
              <w:ind w:left="560"/>
              <w:spacing w:after="0" w:line="194" w:lineRule="exact"/>
              <w:rPr>
                <w:sz w:val="20"/>
                <w:szCs w:val="20"/>
                <w:color w:val="auto"/>
              </w:rPr>
            </w:pPr>
            <w:r>
              <w:rPr>
                <w:rFonts w:ascii="Times New Roman" w:cs="Times New Roman" w:eastAsia="Times New Roman" w:hAnsi="Times New Roman"/>
                <w:sz w:val="18"/>
                <w:szCs w:val="18"/>
                <w:color w:val="auto"/>
              </w:rPr>
              <w:t xml:space="preserve">Annual Report”) are available online at </w:t>
            </w:r>
            <w:r>
              <w:rPr>
                <w:rFonts w:ascii="Times New Roman" w:cs="Times New Roman" w:eastAsia="Times New Roman" w:hAnsi="Times New Roman"/>
                <w:sz w:val="18"/>
                <w:szCs w:val="18"/>
                <w:color w:val="0000FF"/>
              </w:rPr>
              <w:t>www.colonialstock.com/clro2024</w:t>
            </w:r>
            <w:r>
              <w:rPr>
                <w:rFonts w:ascii="Times New Roman" w:cs="Times New Roman" w:eastAsia="Times New Roman" w:hAnsi="Times New Roman"/>
                <w:sz w:val="18"/>
                <w:szCs w:val="18"/>
                <w:color w:val="auto"/>
              </w:rPr>
              <w:t>.</w:t>
            </w:r>
          </w:p>
        </w:tc>
      </w:tr>
      <w:tr>
        <w:trPr>
          <w:trHeight w:val="20"/>
        </w:trPr>
        <w:tc>
          <w:tcPr>
            <w:tcW w:w="1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34"/>
        </w:trPr>
        <w:tc>
          <w:tcPr>
            <w:tcW w:w="1480" w:type="dxa"/>
            <w:vAlign w:val="bottom"/>
          </w:tcPr>
          <w:p>
            <w:pPr>
              <w:spacing w:after="0"/>
              <w:rPr>
                <w:sz w:val="24"/>
                <w:szCs w:val="24"/>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On or about 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 we will have sent to our Shareholders a proxy statement, a form of proxy card, and the 2024</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Annual Report. Whether or not you plan to attend the Special Meeting, the Company urges you to read this material carefully</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vote your shares. Shareholders will have the opportunity to present questions, including regarding the 2024 Annual Report,</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to management at the Special Meeting, which is being held, in part, to satisfy the 2024 annual meeting requirement under</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Delaware law and our bylaws and the requirement of the Nasdaq Stock Market LLC to have held an annual meeting within</w:t>
            </w:r>
          </w:p>
        </w:tc>
      </w:tr>
      <w:tr>
        <w:trPr>
          <w:trHeight w:val="216"/>
        </w:trPr>
        <w:tc>
          <w:tcPr>
            <w:tcW w:w="1480" w:type="dxa"/>
            <w:vAlign w:val="bottom"/>
          </w:tcPr>
          <w:p>
            <w:pPr>
              <w:spacing w:after="0"/>
              <w:rPr>
                <w:sz w:val="18"/>
                <w:szCs w:val="18"/>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twelve months of our fiscal year ended December 31, 2023. Accordingly, the Special Meeting is being held in lieu of and shall</w:t>
            </w:r>
          </w:p>
        </w:tc>
      </w:tr>
      <w:tr>
        <w:trPr>
          <w:trHeight w:val="234"/>
        </w:trPr>
        <w:tc>
          <w:tcPr>
            <w:tcW w:w="1480" w:type="dxa"/>
            <w:vAlign w:val="bottom"/>
          </w:tcPr>
          <w:p>
            <w:pPr>
              <w:spacing w:after="0"/>
              <w:rPr>
                <w:sz w:val="20"/>
                <w:szCs w:val="20"/>
                <w:color w:val="auto"/>
              </w:rPr>
            </w:pPr>
          </w:p>
        </w:tc>
        <w:tc>
          <w:tcPr>
            <w:tcW w:w="97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constitute the Company’s 2024 annual meeting of shareholders.</w:t>
            </w:r>
          </w:p>
        </w:tc>
      </w:tr>
      <w:tr>
        <w:trPr>
          <w:trHeight w:val="459"/>
        </w:trPr>
        <w:tc>
          <w:tcPr>
            <w:tcW w:w="1480" w:type="dxa"/>
            <w:vAlign w:val="bottom"/>
          </w:tcPr>
          <w:p>
            <w:pPr>
              <w:spacing w:after="0"/>
              <w:rPr>
                <w:sz w:val="24"/>
                <w:szCs w:val="24"/>
                <w:color w:val="auto"/>
              </w:rPr>
            </w:pPr>
          </w:p>
        </w:tc>
        <w:tc>
          <w:tcPr>
            <w:tcW w:w="5860" w:type="dxa"/>
            <w:vAlign w:val="bottom"/>
            <w:gridSpan w:val="2"/>
          </w:tcPr>
          <w:p>
            <w:pPr>
              <w:jc w:val="center"/>
              <w:ind w:left="2329"/>
              <w:spacing w:after="0"/>
              <w:rPr>
                <w:sz w:val="20"/>
                <w:szCs w:val="20"/>
                <w:color w:val="auto"/>
              </w:rPr>
            </w:pPr>
            <w:r>
              <w:rPr>
                <w:rFonts w:ascii="Times New Roman" w:cs="Times New Roman" w:eastAsia="Times New Roman" w:hAnsi="Times New Roman"/>
                <w:sz w:val="18"/>
                <w:szCs w:val="18"/>
                <w:color w:val="auto"/>
                <w:w w:val="88"/>
              </w:rPr>
              <w:t>2</w:t>
            </w:r>
          </w:p>
        </w:tc>
        <w:tc>
          <w:tcPr>
            <w:tcW w:w="3900" w:type="dxa"/>
            <w:vAlign w:val="bottom"/>
          </w:tcPr>
          <w:p>
            <w:pPr>
              <w:spacing w:after="0"/>
              <w:rPr>
                <w:sz w:val="24"/>
                <w:szCs w:val="24"/>
                <w:color w:val="auto"/>
              </w:rPr>
            </w:pPr>
          </w:p>
        </w:tc>
      </w:tr>
      <w:tr>
        <w:trPr>
          <w:trHeight w:val="128"/>
        </w:trPr>
        <w:tc>
          <w:tcPr>
            <w:tcW w:w="148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Items of 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approve an amendment to the Company’s Certificate of Incorporation to increase our authorized shares of</w:t>
            </w:r>
          </w:p>
        </w:tc>
      </w:tr>
      <w:tr>
        <w:trPr>
          <w:trHeight w:val="234"/>
        </w:trPr>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from 50,000,000 to 150,000,000 shares;</w:t>
            </w:r>
          </w:p>
        </w:tc>
      </w:tr>
      <w:tr>
        <w:trPr>
          <w:trHeight w:val="306"/>
        </w:trPr>
        <w:tc>
          <w:tcPr>
            <w:tcW w:w="1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approve an amendment to approve an amendment to the Company’s Certificate of Incorporation to authorize</w:t>
            </w:r>
          </w:p>
        </w:tc>
      </w:tr>
      <w:tr>
        <w:trPr>
          <w:trHeight w:val="234"/>
        </w:trPr>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50,000,000 shares of “blank check” Preferred Stock;</w:t>
            </w:r>
          </w:p>
        </w:tc>
      </w:tr>
      <w:tr>
        <w:trPr>
          <w:trHeight w:val="306"/>
        </w:trPr>
        <w:tc>
          <w:tcPr>
            <w:tcW w:w="1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approve an amendment to the Company’s Certificate of Incorporation on or before June 2, 2025, at the discretion</w:t>
            </w: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the Board of Directors, to effect a reverse stock split of the Company’s outstanding shares of common stock by a</w:t>
            </w:r>
          </w:p>
        </w:tc>
      </w:tr>
      <w:tr>
        <w:trPr>
          <w:trHeight w:val="234"/>
        </w:trPr>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ratio of between 1-for-10 to 1-for-15, with such ratio to be determined at the discretion of the Board of Directors;</w:t>
            </w:r>
          </w:p>
        </w:tc>
      </w:tr>
      <w:tr>
        <w:trPr>
          <w:trHeight w:val="306"/>
        </w:trPr>
        <w:tc>
          <w:tcPr>
            <w:tcW w:w="1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approve an amendment to the Company’s Certificate of Incorporation to eliminate the prohibition against</w:t>
            </w:r>
          </w:p>
        </w:tc>
      </w:tr>
      <w:tr>
        <w:trPr>
          <w:trHeight w:val="234"/>
        </w:trPr>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shareholders acting by written consent and expressly authorize shareholders to act by written consent;</w:t>
            </w:r>
          </w:p>
        </w:tc>
      </w:tr>
      <w:tr>
        <w:trPr>
          <w:trHeight w:val="324"/>
        </w:trPr>
        <w:tc>
          <w:tcPr>
            <w:tcW w:w="1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elect three members of our Board of Directors;</w:t>
            </w:r>
          </w:p>
        </w:tc>
      </w:tr>
      <w:tr>
        <w:trPr>
          <w:trHeight w:val="324"/>
        </w:trPr>
        <w:tc>
          <w:tcPr>
            <w:tcW w:w="1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To recommend, by non-binding vote, the frequency of the advisory vote on compensation of named executive officers;</w:t>
            </w:r>
          </w:p>
        </w:tc>
      </w:tr>
      <w:tr>
        <w:trPr>
          <w:trHeight w:val="324"/>
        </w:trPr>
        <w:tc>
          <w:tcPr>
            <w:tcW w:w="1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tc>
      </w:tr>
    </w:tbl>
    <w:p>
      <w:pPr>
        <w:spacing w:after="0" w:line="9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The items of business are more fully described in the proxy statement accompanying this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w:t>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96520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 w:name="page5"/>
    <w:bookmarkEnd w:id="4"/>
    <w:p>
      <w:pPr>
        <w:jc w:val="center"/>
        <w:ind w:right="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568450" cy="29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68450" cy="299720"/>
                    </a:xfrm>
                    <a:prstGeom prst="rect">
                      <a:avLst/>
                    </a:prstGeom>
                    <a:noFill/>
                  </pic:spPr>
                </pic:pic>
              </a:graphicData>
            </a:graphic>
          </wp:anchor>
        </w:drawing>
        <w:t>Notice of Special Meeting in Lieu of Annual Meeting of Shareholders</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Proxy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is solicited by and on behalf of the Board of Directors of ClearOne, Inc., a Delaware corporation (hereinafter referred to as the “Company,” “ClearOne,” “we,” “us” or “our”), for use at the Special Meeting in Lieu of Annual Meeting of Shareholders (the “Special Meeting”), to be held on 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 at 5225 Wiley Post Way, Suite 500, Salt Lake City, UT 84116, at 9:30 A.M. local time, or at any continuations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proxy solicitation materials will be distributed on or about 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 to all shareholders entitled to vote at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is ClearOne distributing the proxy materials?</w:t>
      </w:r>
    </w:p>
    <w:p>
      <w:pPr>
        <w:spacing w:after="0" w:line="2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ClearOne has elected to utilize the “full set delivery” option. We are delivering to all shareholders paper copies of all of our proxy materials, including a proxy card, as well as providing access to our proxy materials on a publicly accessible website. Our proxy statement, form of proxy card, and Annual Report on Form 10-K for the year ended December 31, 2024 are available online at </w:t>
      </w:r>
      <w:r>
        <w:rPr>
          <w:rFonts w:ascii="Times New Roman" w:cs="Times New Roman" w:eastAsia="Times New Roman" w:hAnsi="Times New Roman"/>
          <w:sz w:val="18"/>
          <w:szCs w:val="18"/>
          <w:u w:val="single" w:color="auto"/>
          <w:color w:val="auto"/>
        </w:rPr>
        <w:t>www.colonialstock.com/clro2024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or about May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2025, we will have sent to our stockholders a proxy statement, a form of proxy card, and the Annual Report on Form 10-K for the year ended December 31, 2024 (the “2024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is the purpose of this Proxy Statement and accompanying Proxy?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Special Meeting. These officers are Derek L. Graham and Simon Brewer.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is soliciting your proxy to give all shareholders of record the opportunity to vote on matters that will be presented at the Special Meeting. This Proxy Statement provides you with information on these matters to assist you in voting your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is the purpose of the Special Meeting?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Special Meeting is being held, in part, to satisfy the 2024 annual meeting requirement under Delaware law and our bylaws and the requirement of the Nasdaq Stock Market LLC to have held an annual meeting within twelve months of our fiscal year ended December 31, 2023. Delaware law requires that we hold an annual meeting within 13 months of the end of our fiscal year, and our bylaws require our annual meeting to be held within 13 months of the preceding year’s annual meeting. In addition, Nasdaq Listing Rule 5620(a) requires that we hold an annual meeting of stockholders within 12 months after the end of each fiscal year. Our last annual meeting of stockholders was held on December 28, 2023. As previously disclosed in the Company’s Form 8-K filed with the SEC on November 25, 2024, a Special Transaction Committee (the “Special Transaction Committee”) of the Board of Directors has been conducting a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to its current stockholders (each, a “Strategic Transaction”).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 w:name="page6"/>
    <w:bookmarkEnd w:id="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the Special Transaction Committee and management team focused on the ongoing review of potential Strategic Transactions, the Company determined to delay its 2024 annual meeting of stockholders (the “2024 Annual Meeting”). As a result of the delayed 2024 Annual Meeting, on January 10, 2025, the Company received a letter (the “Notice”) from the Listing Qualifications Department (the “Staff”) of the Nasdaq Stock Market (“Nasdaq”) informing the Company that because the Company did not hold an annual meeting of stockholders in 2024, the Company is not in compliance with the requirement to conduct an annual meeting of stockholders no later than one year after the end of its fiscal year, as set forth in Nasdaq Marketplace Rule 5620(a) (the “Annual Meeting Requirement”).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order to regain compliance with the Annual Meeting Requirement, the Special Meeting shall constitute the 2024 Annual Meeting. In addition to sending our stockholders this Proxy Statement, we are also sending the 2024 Annual Report, so that at the Special Meeting, shareholders may discuss and ask questions of Management with respect to the 2024 Annual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Special Meeting is to:</w:t>
      </w:r>
    </w:p>
    <w:p>
      <w:pPr>
        <w:spacing w:after="0" w:line="225" w:lineRule="exact"/>
        <w:rPr>
          <w:sz w:val="20"/>
          <w:szCs w:val="20"/>
          <w:color w:val="auto"/>
        </w:rPr>
      </w:pPr>
    </w:p>
    <w:p>
      <w:pPr>
        <w:ind w:firstLine="656"/>
        <w:spacing w:after="0" w:line="282" w:lineRule="auto"/>
        <w:tabs>
          <w:tab w:leader="none" w:pos="9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increase our authorized shares of Common Stock from 50,000,000 to 150,000,000 shares;</w:t>
      </w:r>
    </w:p>
    <w:p>
      <w:pPr>
        <w:spacing w:after="0" w:line="26" w:lineRule="exact"/>
        <w:rPr>
          <w:rFonts w:ascii="Times New Roman" w:cs="Times New Roman" w:eastAsia="Times New Roman" w:hAnsi="Times New Roman"/>
          <w:sz w:val="18"/>
          <w:szCs w:val="18"/>
          <w:color w:val="auto"/>
        </w:rPr>
      </w:pPr>
    </w:p>
    <w:p>
      <w:pPr>
        <w:ind w:firstLine="656"/>
        <w:spacing w:after="0" w:line="282" w:lineRule="auto"/>
        <w:tabs>
          <w:tab w:leader="none" w:pos="9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approve an amendment to the Company’s Certificate of Incorporation to authorize 50,000,000 shares of “blank check” Preferred Stock;</w:t>
      </w:r>
    </w:p>
    <w:p>
      <w:pPr>
        <w:spacing w:after="0" w:line="40"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on or before June 2, 2025, at the discretion of the Board of Directors, to effect a reverse stock split of the Company’s outstanding shares of common stock by a ratio of between 1-for-10 to 1-for-15, with such ratio to be determined at the discretion of the Board of Directors;</w:t>
      </w:r>
    </w:p>
    <w:p>
      <w:pPr>
        <w:spacing w:after="0" w:line="54" w:lineRule="exact"/>
        <w:rPr>
          <w:rFonts w:ascii="Times New Roman" w:cs="Times New Roman" w:eastAsia="Times New Roman" w:hAnsi="Times New Roman"/>
          <w:sz w:val="18"/>
          <w:szCs w:val="18"/>
          <w:color w:val="auto"/>
        </w:rPr>
      </w:pPr>
    </w:p>
    <w:p>
      <w:pPr>
        <w:ind w:firstLine="656"/>
        <w:spacing w:after="0" w:line="282"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Certificate of Incorporation to eliminate the prohibition against shareholders acting by written consent and expressly authorize shareholders to act by written consent;</w:t>
      </w:r>
    </w:p>
    <w:p>
      <w:pPr>
        <w:spacing w:after="0" w:line="2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members of our Board of Directors;</w:t>
      </w:r>
    </w:p>
    <w:p>
      <w:pPr>
        <w:spacing w:after="0" w:line="10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by non-binding vote, the frequency of the advisory vote on compensation of named executive officers;</w:t>
      </w:r>
    </w:p>
    <w:p>
      <w:pPr>
        <w:spacing w:after="0" w:line="10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the Board of Directors does not anticipate that any other issues will come before the Special Meeting, your completed and executed proxy gives the official proxies the right to vote your shares that you are entitled to vote in accordance with your instructions at the Special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is the record date for voting at the Special Meeting?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record date for purposes of determining the number of outstanding shares of our common stock eligible to vote at the Special Meeting, and for determining the shareholders entitled to vote at the Special Meeting, is the close of business on May 9, 2025 (the “Record Date”). As of the Record Date,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shares of common stock were issued and outstanding. No other series of stock is outstanding. Holders of the shares of common stock have no preemptive rights. The transfer agent for the common stock 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Colonial Stock Transfer Company,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7840 S. 700 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Sandy, UT 84070</w:t>
      </w:r>
    </w:p>
    <w:p>
      <w:pPr>
        <w:ind w:left="660"/>
        <w:spacing w:after="0"/>
        <w:rPr>
          <w:sz w:val="20"/>
          <w:szCs w:val="20"/>
          <w:color w:val="auto"/>
        </w:rPr>
      </w:pPr>
      <w:r>
        <w:rPr>
          <w:rFonts w:ascii="Times New Roman" w:cs="Times New Roman" w:eastAsia="Times New Roman" w:hAnsi="Times New Roman"/>
          <w:sz w:val="18"/>
          <w:szCs w:val="18"/>
          <w:color w:val="auto"/>
        </w:rPr>
        <w:t>Phone: 801-355-5740</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801-355-6505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is the quorum requirement for the Special Meeting?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What is a broker non-vote and how is it counted?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routine matters will be voted on at the Special Meeting?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routine matters on which brokers may vote in their discretion on behalf of customers who have not provided voting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non-routine matters will be voted on at the Special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matters to be voted upon at the Special Meeting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many votes are needed to approve each Proposal?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1 – Amendment to Certificate of Incorporation to Increase Authorized Shares of Common Stock From 50,000,000 to 150,000,000 shares: The approval of an amendment to our certificate of incorporation must receive “For” votes from the holders of a majority of shares of voting capital stock issued and outstanding. Broker non-votes and abstentions will have the same effect as an “Against” vote.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2 – Amendment to Certificate of Incorporation to Authorize 50,000,0000 shares of “Blank Check” Preferred Stock: The approval of an amendment to our certificate of incorporation must receive “For” votes from the holders of a majority of shares of voting capital stock issued and outstanding. Broker non-votes and abstentions will have the same effect as an “Against” vote.</w:t>
      </w:r>
    </w:p>
    <w:p>
      <w:pPr>
        <w:spacing w:after="0" w:line="176"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Proposal 3 – Amendment to Certificate of Incorporation to Authorized A Reverse Stock Split by a Ratio of Between 1-for-10 to 1-for-15: The approval of an amendment to our certificate of incorporation must receive “For” votes from the holders of a majority of shares of voting capital stock issued and outstanding. Broker non-votes and abstentions will have the same effect as an “Against” vote.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Proposal 4 – Amendment to Certificate of Incorporation to Allow Shareholders to Eliminate the Prohibition Against Stockholders Acting by Written Consent and Expressly Authorize Shareholders to Act by Written Consent: The approval of an amendment to our certificate of incorporation must receive “For” votes from the holders of a sixty-six and two-thirds percent (66.66%) majority of shares of voting capital stock issued and outstanding. Broker non-votes and abstentions will have the same effect as an “Against” vote.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Proposal 5 – The Election of Directors: In the election of directors, shareholders will not be allowed to cumulate their votes. The election of directors will be determined by plurality vote. Abstentions and broker non-votes will not affect the outcome of the election of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Proposal 6 – Non-Binding Advisory Vote of the Frequency of the Advisory Vote on Compensation of Named Executive Officers: In the non-binding advisory vote on the frequency of the advisory votes on executive compensation, the approval will be determined by a majority of votes cast. Abstentions and broker non-votes will not affect the outcome of the non-binding advisory vote on the frequency of the advisory votes on executive compensation.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Proposal 7 – Other Matters: Any other matter properly presented for approval by the shareholders at the Special Meeting will generally be approved if the 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Special Meeting.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What are the Board of Director’s recommendations on the Proposals?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recommends that shareholders cast their votes on the Proposals as follows:</w:t>
      </w:r>
    </w:p>
    <w:p>
      <w:pPr>
        <w:spacing w:after="0" w:line="86" w:lineRule="exact"/>
        <w:rPr>
          <w:sz w:val="20"/>
          <w:szCs w:val="20"/>
          <w:color w:val="auto"/>
        </w:rPr>
      </w:pPr>
    </w:p>
    <w:p>
      <w:pPr>
        <w:ind w:left="980" w:hanging="324"/>
        <w:spacing w:after="0" w:line="28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 “FOR” </w:t>
      </w:r>
      <w:r>
        <w:rPr>
          <w:rFonts w:ascii="Times New Roman" w:cs="Times New Roman" w:eastAsia="Times New Roman" w:hAnsi="Times New Roman"/>
          <w:sz w:val="18"/>
          <w:szCs w:val="18"/>
          <w:color w:val="auto"/>
        </w:rPr>
        <w:t>the approval of the amendment to our certificate of incorporation to increase the authorized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50,000,000 to 150,000,000 shares;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 “FOR” </w:t>
      </w:r>
      <w:r>
        <w:rPr>
          <w:rFonts w:ascii="Times New Roman" w:cs="Times New Roman" w:eastAsia="Times New Roman" w:hAnsi="Times New Roman"/>
          <w:sz w:val="18"/>
          <w:szCs w:val="18"/>
          <w:color w:val="auto"/>
        </w:rPr>
        <w:t>the approval of the amendment to our certificate of incorporation to authorize 50,000,000 shares of “Blank 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 “FOR” </w:t>
      </w:r>
      <w:r>
        <w:rPr>
          <w:rFonts w:ascii="Times New Roman" w:cs="Times New Roman" w:eastAsia="Times New Roman" w:hAnsi="Times New Roman"/>
          <w:sz w:val="18"/>
          <w:szCs w:val="18"/>
          <w:color w:val="auto"/>
        </w:rPr>
        <w:t>the approval of the amendment to our certificate of incorporation to authorize a reverse stock split by a ratio of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1-for-10 to 1-for-15;</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 “FOR” </w:t>
      </w:r>
      <w:r>
        <w:rPr>
          <w:rFonts w:ascii="Times New Roman" w:cs="Times New Roman" w:eastAsia="Times New Roman" w:hAnsi="Times New Roman"/>
          <w:sz w:val="18"/>
          <w:szCs w:val="18"/>
          <w:color w:val="auto"/>
        </w:rPr>
        <w:t>the approval of the amendment to our certificate of incorporation to eliminate the prohibition against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by written consent and expressly authorize shareholders to act by written consent;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5 – “FOR” </w:t>
      </w:r>
      <w:r>
        <w:rPr>
          <w:rFonts w:ascii="Times New Roman" w:cs="Times New Roman" w:eastAsia="Times New Roman" w:hAnsi="Times New Roman"/>
          <w:sz w:val="18"/>
          <w:szCs w:val="18"/>
          <w:color w:val="auto"/>
        </w:rPr>
        <w:t>the election of all three director nominees;</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6 – “EVERY THREE YEARS” </w:t>
      </w:r>
      <w:r>
        <w:rPr>
          <w:rFonts w:ascii="Times New Roman" w:cs="Times New Roman" w:eastAsia="Times New Roman" w:hAnsi="Times New Roman"/>
          <w:sz w:val="18"/>
          <w:szCs w:val="18"/>
          <w:color w:val="auto"/>
        </w:rPr>
        <w:t>for the non-binding advisory vote of the frequency of the advisory vote on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executive officers; and</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7 – “FOR” </w:t>
      </w:r>
      <w:r>
        <w:rPr>
          <w:rFonts w:ascii="Times New Roman" w:cs="Times New Roman" w:eastAsia="Times New Roman" w:hAnsi="Times New Roman"/>
          <w:sz w:val="18"/>
          <w:szCs w:val="18"/>
          <w:color w:val="auto"/>
        </w:rPr>
        <w:t>such other matters properly presented by the Board of Directors for approval by the Shareholders at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is the difference between a “shareholder of record” and a “street name” 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terms describe how your shares are held. If your shares are registered directly in your name with Colonial, our transfer agent, you are a “shareholder of record.” If your shares are held in the name of a brokerage, bank, trust or other nominee as a custodian, you are a “street name”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I get more than one copy of the proxy statement or annual report if there are multiple shareholders at my address?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only one copy of this proxy statement or 2024 Annual Report is being delivered to multiple shareholders sharing an address unless we have received contrary instructions from one or more of the shareholders. We will deliver promptly, upon a written or oral request, a separate copy of this proxy statement or the 2024 Annual Report to a shareholder at a shared address to which a single copy of the document was delivered. Shareholders sharing an address may also submit requests for delivery of a single copy of the proxy statement or 2024 Annual Report,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(801) 975-7200, or by contacting our transfer agent, Colonial Stock Transfer Company, Inc, 7840 S. 700 E., Sandy, UT 84070 or calling (801) 355-5740.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do I vote?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and hold common stock in your own name, you may give instructions on how to vote your shares of common stock by following the instructions on the proxy card on how to vote over the Internet, by phone, or by mail by completing, signing, dating and returning the proxy card.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completing and submitting the proxy (whether over the internet, by telephone, or by signing, dating and mailing the accompanying proxy card), the shareholder authorizes Derek L. Graham, Chief Executive Officer, and Simon Brewer, Corporate Secretary and Chief Financial Officer, as designated on the face of the proxy, to vote all shares for the shareholder. All proxies that are properly completed and submitted will be voted as the shareholder directs. If no direction is given, executed proxies will be voted FOR Proposals 1, 2, 3, and 4 and 7, FOR the election of all three director nominees, and “EVERY THREE YEARS” for the non-binding advisory vote on the frequency of the advisory votes on compensation of our names executive officers. Votes will be tabulated by Colonial.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How do I revoke my proxy?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before the vote is taken at the Special Meeting by:</w:t>
      </w:r>
    </w:p>
    <w:p>
      <w:pPr>
        <w:spacing w:after="0" w:line="225" w:lineRule="exact"/>
        <w:rPr>
          <w:sz w:val="20"/>
          <w:szCs w:val="20"/>
          <w:color w:val="auto"/>
        </w:rPr>
      </w:pPr>
    </w:p>
    <w:p>
      <w:pPr>
        <w:ind w:left="1000" w:hanging="331"/>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and submitting a new proxy with a later date;</w:t>
      </w:r>
    </w:p>
    <w:p>
      <w:pPr>
        <w:spacing w:after="0" w:line="238" w:lineRule="exact"/>
        <w:rPr>
          <w:rFonts w:ascii="Times New Roman" w:cs="Times New Roman" w:eastAsia="Times New Roman" w:hAnsi="Times New Roman"/>
          <w:sz w:val="18"/>
          <w:szCs w:val="18"/>
          <w:color w:val="auto"/>
        </w:rPr>
      </w:pPr>
    </w:p>
    <w:p>
      <w:pPr>
        <w:ind w:left="1000" w:hanging="331"/>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in person; or</w:t>
      </w:r>
    </w:p>
    <w:p>
      <w:pPr>
        <w:spacing w:after="0" w:line="225" w:lineRule="exact"/>
        <w:rPr>
          <w:rFonts w:ascii="Times New Roman" w:cs="Times New Roman" w:eastAsia="Times New Roman" w:hAnsi="Times New Roman"/>
          <w:sz w:val="18"/>
          <w:szCs w:val="18"/>
          <w:color w:val="auto"/>
        </w:rPr>
      </w:pPr>
    </w:p>
    <w:p>
      <w:pPr>
        <w:ind w:left="660" w:right="3760" w:firstLine="9"/>
        <w:spacing w:after="0" w:line="500" w:lineRule="auto"/>
        <w:tabs>
          <w:tab w:leader="none" w:pos="10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signed, written notice of revocation with the Corporate Secretary of the Company. Your attendance at the Special Meeting will not automatically revoke your proxy.</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common stock you own is held on your behalf by a broker, bank or other nominee, you must contact the nominee to receive instructions as to how you can revoke your proxy.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You may obtain an additional proxy card by writing to Corporate Secretary, ClearOne, Inc., 5225 Wiley Post Way, Suite 500, Salt Lake City, Utah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84116.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can I find the voting results of the Special Meeting?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announce the preliminary voting results at the Special Meeting and disclose the final voting results in a current report on Form 8-K filed with the SEC within four (4) business days of the date of the Special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http://www.clearone.com. Also, such Form 8-K, any amendments thereto and other reports we file with the SEC are available to you over the Internet at the SEC’s web site at http://www.sec.gov.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can I view the shareholder list?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complete list of shareholders of record entitled to vote at the Special Meeting will be available for viewing during ordinary business hours for a period of ten (10) days before the Special Meeting at our offices located at 5225 Wiley Post Way, Suite 500, Salt Lake City, Utah 84116.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pays for the proxy solicitation related to the Special Meeting?</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can I obtain a copy of the 2024 Annual Report?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be mailing the 2024 Annual Report along with a proxy statement and a proxy card. We will also provide, without charge, a printed copy of our 2024 Annual Report, to each shareholder of record as of the record date that requests a copy in writing. Any such requests should be directed to our Corporate Secretary at our corporate offices set forth in this proxy statement.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also access or obtain a copy of our 2024 Annual Report and other reports filed with the SEC free of charge on our web site at http://www.clearone.com, or at the SEC's web site at http://www.sec.gov. The 2024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PROPOSAL NO. 1</w:t>
      </w:r>
    </w:p>
    <w:p>
      <w:pPr>
        <w:spacing w:after="0" w:line="22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AMENDMENT TO CERTIFICATE OF INCORPORATION TO INCREASE THE AUTHORIZED SHARES OF COMMON STOCK FROM 50,000,000 TO 150,000,000 SHARES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unanimously adopted a resolution (i) approving an amendment to our Certificate of Incorporation to increase the authorized number of shares of Common Stock from 50,000,000 shares to 150,000,000 shares, par value of $0.001 per share (the “Increase in Authorized Shares”) and (ii) directing that the Increase in Authorized Shares be submitted to the shareholders for approval at the Special Meeting. Approval of the Increase in Authorized Shares will grant the Board of Directors the authority, without further action by the shareholders, to carry out the amendment to the Certificate of Incorporation after the date shareholder approval for the amendment is obtained.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Record Date,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shares of our Common Stock were issued and outstanding,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of Additional Authorized Shares of 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additional shares of Common Stock resulting from the Increase in Authorized Shares, if and when issued, would be part of the existing class of Common Stock and would have rights and privileges identical to our Common Stock currently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Advantages of the Increase in Authorized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the authorized number of shares of Common Stock should be increased to provide sufficient shares of Common Stock for such corporate purposes as may be determined by our Board of Directors to be necessary or desirable. Although the Company has not entered into any definitive plans, arrangements, or understandings for the remaining portion of the authorized but unissued shares of Common Stock that will be available following the Increase in Authorized Shares, the Company expects to do so in the near future to obtain external financing to provide additional working capital.</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authorized, the additional shares of Common Stock may be issued with approval of our Board of Directors but without further approval of our shareholders, unless applicable law, rule or regulation requires shareholder approval.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Disadvantages of the Increase in Authorized Shares</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effect on the earnings per share, book value per share, voting power and percentage interest of holdings of current shareholders. In addition, the availability of additional shares of Common Stock for issuance could, under certain circumstances, discourage or make more difficult efforts to obtain control of the Company. The Board of Directors is not aware of any attempt, or contemplated attempt, to acquire control of the Company. This proposal is not being presented with the intent that it be used to prevent or discourage any acquisition attempt, but nothing would prevent the Board of Directors from taking any appropriate actions not inconsistent with its fiduciary duties.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 for Effecting the Increase in Authorized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this proposal is approved by our shareholders, our Board of Directors will cause the Increase in Authorized Shares to be implemented by filing an amendment to our Certificate of Incorporation with the Secretary of State of the State of Delaware. The Increase in Authorized Shares will become effective on the date that it is filed.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Discretionary Authority of the Board of Directors to Abandon the Increase in Authorized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reserves the right to abandon the Increase in Authorized Shares without further action by our shareholders at any time before the effectiveness of the amendment to the Certificate of Incorporation, even if the Increase in Authorized Shares has been authorized by our shareholders at the Special Meeting. By voting in favor of the Increase in Authorized Shares, you are expressly also authorizing our Board of Directors to determine not to proceed with, and abandon, the Increase in Authorized Shares if it should so decide.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Relating to the Increase in Authorized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form of the amendment to our Certificate of Incorporation relating to this Proposal No. 1 and Proposal No. 2, which we would file with the Secretary of State of the State of Delaware to effect the Increase in Authorized Shares and the Preferred Stock Authorization described herein below under Proposal No. 2,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Anti-Takeover Effects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 Increase in Authorized Shares is not motivated by anti-takeover concerns and is not considered by our Board of Directors to be an anti-takeover measure, the availability of additional authorized shares of Common Stock could enable the Board of Directors to issue shares defensively in response to a takeover attempt or to make an attempt to gain control of our company more difficult or time-consuming. For example, shares of Common Stock could be issued to purchasers who might side with management in opposing a takeover bid that the Board of Directors determines is not in the best interests of our shareholders, thus diluting the ownership and voting rights of the person seeking to obtain control of our company. In certain circumstances, the issuance of Common Stock without further action by the shareholders may have the effect of delaying or preventing a change in control of the company, may discourage bids for our Common Stock at a premium over the prevailing market price and may adversely affect the market price of our Common Stock. As a result, increasing the authorized number of shares of our Common Stock could render more difficult and less likely a hostile takeover of our company by a third-party, or a tender offer or proxy contest, assumption of control by a holder of a large block of our stock, and the possible removal of our incumbent management. We are not aware of any proposed attempt to take over the company or of any present attempt to acquire a large block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Required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shareholders that represent a majority of the shares of voting capital stock issued and outstanding is required to approve the Increase in Authorized Shares. Abstentions and broker non-votes will be treated as votes against the proposal.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Recommendation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APPROVAL OF THE INCREASE IN AUTHORIZED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PROPOSAL NO. 2</w:t>
      </w:r>
    </w:p>
    <w:p>
      <w:pPr>
        <w:spacing w:after="0" w:line="221"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 TO AUTHORIZE 50,000,000 SHARES OF “BLANK CHECK” PREFERRED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unanimously adopted (i) a resolution approving an amendment to our Certificate of Incorporation to authorize 50,000,000 shares of “blank check” Preferred Stock, par value $0.001 per share (the “Preferred Stock Authorization”) and (ii) directing that the Preferred Stock Authorization be submitted to the shareholders for approval at the Special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this proposal is approved, and the Preferred Stock is authorized, it may be issued, from time to time, as authorized by the Board of Directors in one or more series, in such numbers of shares, with such designations, powers, including voting powers, full or limited, or no voting powers, preferences, and relative, participating, optional, or other special rights, qualifications, limitations, and restrictions as the Board of Directors determines. The powers, preferences, and relative, participating, optional, or other special rights of each series of Preferred Stock, and any qualifications, limitations, or restrictions of a series may differ from those of any other series.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the Preferred Stock Authorization proposal is in the best interests of the Company and recommends approval by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Advantages of the Preferred Stock Authorization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the proposed amendment to provide maximum financial and strategic flexibility with respect to future financing transactions as well as providing liquidation preferences for all existing holders of Common Stock in connection with any potential strategic transactions. Preferred Stock is commonly authorized by publicly traded companies and can be used as a preferred means of raising capital or ensure liquidation preferences to one or more classes of shareholders. In some circumstances, companies, including ours, have been required to issue senior classes of securities to raise capital, with the terms of those securities being negotiated and tailored to meet the needs of both investors and issuing companies. Such senior securities often include liquidation preferences and dividend rights, conversion privileges and other rights not found in Common Stock.</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proposal is approved, and our Certificate of Incorporation is amended, our Board of Directors would be able to issue the additional shares of authorized Preferred Stock with such designations, preferences and relative, participating, optional, conversion or other special rights (if any) of such series and the qualifications, limitations or restrictions (if any) thereof, as the Board of Directors may in the future establish by resolution or resolutions and by filing a certificate pursuant to the Delaware General Corporation Law (a “Preferred Stock Designation”), from time to time, providing for the issuance of such Preferred Stock. No vote of the holders of our Common Stock or Preferred Stock, unless otherwise expressly provided in the Certificate of Incorporation or in a Preferred Stock Designation creating any series of Preferred Stock or, to the extent the Company chooses to comply with any limiting rules of any securities exchange or quotation system on which shares of our common or Preferred Stock are then listed or traded, will be a prerequisite to the issuance of any series of Preferred Stock.</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Approval of the proposed amendment will not alter or modify the rights, preferences, privileges or restrictions of outstanding shares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Disadvantages of the Preferred Stock Authorization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Preferred Stock may generally be issued from time to time for such proper corporate purposes as may be determined by our Board or, as required by law or the rules of the Nasdaq Stock Market, with the approval and authorization of our shareholders. Our Board does not intend to solicit further shareholder approval prior to the issuance of shares of Preferred Stock, except as may be required by applicable law or by the rules of the Nasdaq Stock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possible future issuance of shares of our Preferred Stock or securities convertible or exercisable into our Preferred Stock could affect our current shareholders in a number of ways. The issuance of new shares of Preferred Stock could cause immediate dilution of the ownership interests and the voting power of our existing shareholders. New issuances of Preferred Stock may also affect the number of dividends, if any, paid to such shareholders and may reduce the share of the proceeds that they would receive upon the future liquidation, if any, of the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ind w:left="700"/>
        <w:spacing w:after="0"/>
        <w:rPr>
          <w:sz w:val="20"/>
          <w:szCs w:val="20"/>
          <w:color w:val="auto"/>
        </w:rPr>
      </w:pPr>
      <w:r>
        <w:rPr>
          <w:rFonts w:ascii="Times New Roman" w:cs="Times New Roman" w:eastAsia="Times New Roman" w:hAnsi="Times New Roman"/>
          <w:sz w:val="18"/>
          <w:szCs w:val="18"/>
          <w:color w:val="auto"/>
        </w:rPr>
        <w:t>In addition, the future issuance of shares of our Preferred Stock or securities convertible or exercisable into shares of our Preferred Stock could:</w:t>
      </w:r>
    </w:p>
    <w:p>
      <w:pPr>
        <w:spacing w:after="0" w:line="185" w:lineRule="exact"/>
        <w:rPr>
          <w:sz w:val="20"/>
          <w:szCs w:val="20"/>
          <w:color w:val="auto"/>
        </w:rPr>
      </w:pPr>
    </w:p>
    <w:p>
      <w:pPr>
        <w:jc w:val="both"/>
        <w:ind w:left="1320"/>
        <w:spacing w:after="0" w:line="261" w:lineRule="auto"/>
        <w:rPr>
          <w:sz w:val="20"/>
          <w:szCs w:val="20"/>
          <w:color w:val="auto"/>
        </w:rPr>
      </w:pPr>
      <w:r>
        <w:rPr>
          <w:rFonts w:ascii="Times New Roman" w:cs="Times New Roman" w:eastAsia="Times New Roman" w:hAnsi="Times New Roman"/>
          <w:sz w:val="18"/>
          <w:szCs w:val="18"/>
          <w:color w:val="auto"/>
        </w:rPr>
        <w:t>dilute the market price of our Common Stock, to the extent that the shares of Common Stock are issued and sold at prices below current trading prices, or, if the issuance consists of securities convertible or exercisable into Common Stock, to the extent that the securities provide for the conversion or exercise into Common Stock at prices that could be below current trading prices of the Common Stock, which dilution, in each case, may increase the volatility and affect the market value of our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-520700</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dilute the earnings per share, if any, and book value per share of the outstanding shares of our Common Stock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-80645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make the payment of dividends on Common Stock, if any, potentially more expensive.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-80645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specific shares of Preferred Stock are being designated at this time, and we do not currently have any plans to issue shares of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Anti-Takeover Effects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 proposed amendment is not motivated by anti-takeover concerns and is not considered by the Board to be an anti-takeover measure, the availability of authorized shares of Preferred Stock could enable the Board to issue shares defensively in response to a takeover attempt or to make an attempt to gain control of the Company more difficult or time-consuming. For example, Preferred Stock could be issued to purchasers who might side with management in opposing a takeover bid which the Board determines is not in the best interests of the Company and its shareholders, thus diluting the ownership and voting rights of the person seeking to obtain control of the Company. In certain circumstances, issuing Preferred Stock without further action by the shareholders may delay or prevent a change of control of the Company, may discourage bids for the Company’s Common Stock or Preferred Stock at a premium over the market price of the Common Stock or Preferred Stock, and may adversely affect the market price of the Common Stock or Preferred Stock. Thus, increasing the authorized Preferred Stock could render more difficult and less likely a hostile merger, tender offer, or proxy contest, assumption of control by a holder of a large block of the Company’s stock, and the possible removal of the Company’s incumbent management. We are not aware of any proposed attempt to take over the Company or of any attempt to acquire a large block of our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Appraisal Rights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Delaware General Corporation Law, the Company’s shareholders are not entitled to appraisal rights with respect to the proposed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 for Implementing the New Class of Preferred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this proposal is approved by our shareholders, our Board of Directors will cause the “Blank Check” Stock Authorization to be implemented by filing an amendment to our Certificate of Incorporation with the Secretary of State of the State of Delaware. The Preferred Stock Authorization will become effective on the date that it is filed.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Discretionary Authority of the Board to Abandon Preferred Stock Authorization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reserves the right to abandon the Preferred Stock Authorization without further action by our shareholders at any time before the effectiveness of the amendment to the Certificate of Incorporation, even if the Authorization has been authorized by our shareholders at the Special Meeting. By voting in favor of the Authorization, you are expressly also authorizing our Board to determine not to proceed with, and abandon, the Preferred Stock Authorization if it should so decide.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Relating to the Preferred Stock Authorization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form of the amendment to our Certificate of Incorporation relating to this Proposal No. 2 and Proposal No. 1, which we would file with the Secretary of State of the State of Delaware to effect the Preferred Stock Authorization and the Increase in Authorized Shares described herein above under Proposal No. 1,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Required Vote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shareholders that represent a majority of the shares of voting capital stock issued and outstanding is required to approve the Preferred Stock Authorization. Abstentions and broker non-votes will be treated as votes against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Recommendation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PROPOSAL TO AUTHORIZE A NEW CLASS OF “BLANK CHECK” PREFERRED 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APPROVAL OF AN AMENDMENT TO THE CERTIFICATE OF INCORPORATION TO EFFECT A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is requesting shareholder approval of an amendment to our Certificate of Incorporation to effect a reverse stock split of our outstanding common stock at a reverse stock split ratio ranging from any whole number between 1-for-10 and 1-for-15 (the “Reverse Stock Split”), subject to and as determined by the Board of Directors, by June 2, 2025. Our Board of Directors has unanimously approved and declared advisable the amendment relating to the Reverse Stock Split and recommends that our shareholders approve the amendment. The new language shall be added to Section (b) of Article III of our Certificate of Incorporation and contained in an amendment to effect the Reverse Stock Split attached to this proxy statement as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reason we are seeking shareholder approval of the Reverse Stock Split is to attempt to increase the per share market price of our common stock to meet the minimum per share bid price requirements for continued listing on The Nasdaq Capital Market. We believe that if the Reverse Stock Split proposal is not approved by our shareholders, it is possible that our common stock will be delisted from The Nasdaq Capital Market.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shareholders approve this proposal, then we will cause an amendment to our Certificate of Incorporation to be filed with the Delaware Secretary of State and effect the Reverse Stock Split if and only if our Board of Directors subsequently determines that the Reverse Stock Split would be in the best interests of the Company and its shareholders. As filed, the amendment would state the number of outstanding shares to be combined into one share of our common stock, at the ratio approved by our Board of Directors within the range approved by our shareholders. Following the shareholders’ approval of this Proposal No. 3, no further action on the part of the shareholders will be required to either implement or abandon the Reverse Stock Split and the Board of Directors may effect and implement the Reverse Stock Split at any time prior to June 2, 2025.</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also may determine, in its sole discretion, not to effect the Reverse Stock Split and not to file the related amendment. Although we presently intend to effect the Reverse Stock Split to regain compliance with The Nasdaq Capital Market’s minimum bid price requirement, our Board of Directors has reserved the right, notwithstanding our shareholders’ approval of the proposed amendment of the Certificate of Incorporation, to abandon the proposed amendment at any time (without further action by our shareholders) before the amendment of the Certificate of Incorporation is filed with the Secretary of State of the State of Delaware. Our Board of Directors may consider a variety of factors in determining whether or not to proceed with the proposed amendment of the Certificate of Incorporation, including overall trends in the stock market, recent changes and anticipated trends in the per-share market price of our common stock, rule changes and/or guidance from Nasdaq, business developments, and our actual and projected stock price performance. If the closing bid price of our common stock on The Nasdaq Capital Market reaches a minimum of $1.00 per share and remains at or above that level for a minimum of ten consecutive trading days (or longer, if required by the Nasdaq Listing Qualifications Panel), as discussed more fully below, our Board of Directors may decide to abandon the filing of the proposed amendment of the Certificate of Incorporation.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Record Date, there were [ ] shares of our common stock issued and outstanding. Based on such number of shares of our common stock issued and outstanding, immediately following the effectiveness of the Reverse Stock Split, we will have, depending on the Reverse Stock Split ratio selected by our Board, issued and outstanding shares of stock as illustrated by the table under the caption “Effects of the Reverse Stock Split – Effect on Shares of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not change the number of authorized shares of our common stock or the relative voting power of such holders of our outstanding common stock. The relative number of authorized but unissued shares of our common stock will materially increase and will be available for issuance by the Company. The Reverse Stock Split, if effected, would affect all holders of our common stock uniformly.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fractional shares of our common stock would be issued as a result of the Reverse Stock Split. Instead, any shareholders who would have been entitled to receive fractional shares as a result of the Reverse Stock Split would receive one whole share of common stock in lieu of such fractional shares. Each holder of our common stock would hold the same percentage of the outstanding common stock immediately following the Reverse Stock Split as that shareholder did immediately prior to the Reverse Stock Split. The par value of our common stock would continue to be $0.001 per share (see “Effects of the Reverse Stock Split – Reduction in Stated Capital”).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Reasons for the Reverse Stock Split</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Our Common Stock is publicly traded and listed on The Nasdaq Capital Market under the symbol “</w:t>
      </w:r>
      <w:r>
        <w:rPr>
          <w:rFonts w:ascii="Times New Roman" w:cs="Times New Roman" w:eastAsia="Times New Roman" w:hAnsi="Times New Roman"/>
          <w:sz w:val="18"/>
          <w:szCs w:val="18"/>
          <w:b w:val="1"/>
          <w:bCs w:val="1"/>
          <w:color w:val="auto"/>
        </w:rPr>
        <w:t>CLRO</w:t>
      </w:r>
      <w:r>
        <w:rPr>
          <w:rFonts w:ascii="Times New Roman" w:cs="Times New Roman" w:eastAsia="Times New Roman" w:hAnsi="Times New Roman"/>
          <w:sz w:val="18"/>
          <w:szCs w:val="18"/>
          <w:color w:val="auto"/>
        </w:rPr>
        <w:t>”. Our primary objective in effectuating the Reverse Stock Split would be to attempt to raise the per-share trading price of our common stock to continue our listing on The Nasdaq Capital Market. To maintain listing, The Nasdaq Capital Market requires, among other things, that our common stock maintain a minimum closing bid price of $1.00 per share.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20, 2024, we received a written notice (“Notice”) from Nasdaq stating that we are not currently in compliance with the $1.00 minimum bid price requirement for continued listing on The Nasdaq Capital Market, as set forth in Nasdaq Listing Rule 5550(a)(2) because our common stock failed to maintain a minimum closing bid price of $1.00 per share for 30 consecutive business days (“Minimum Bid Price Requirement”). The Notice indicated that, consistent with Nasdaq Listing Rule 5810(c)(3)(A), we had 180 days, or until December 17, 2024, to regain compliance with the Minimum Bid Price Requirement by having the minimum bid price of our common stock meet or exceed $1.00 per share for at least ten consecutive business days.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2024, the Company received a letter from Nasdaq advising that the Company has been granted a 180-day extension to June 16, 2025 to regain compliance with the Minimum Bid Price Requirement, in accordance with Nasdaq Listing Rule 5810(c)(3)(A).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closing bid price for our common stock on The Nasdaq Capital Market since June 20, 2024 has continued to be below $1.00 per share. We strongly encourage you to vote in favor of this Proposal No. 3 to increase the likelihood that compliance may be achieved prior to action being taken to delist us from The Nasdaq Capital Market in the event that the closing bid price for our common stock does not become compliant with the Minimum Bid Price Requirement prior to June 16, 2025.</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seeking shareholder approval for the authority to effectuate the Reverse Stock Split as a means of increasing the share price of our common stock at or above $1.00 per share in order to attempt to avoid delisting by Nasdaq, in the event we are not able to satisfy the minimum bid price requirement in adequate time before the deadline. We expect that the Reverse Stock Split would increase the bid price per share of our common stock above the $1.00 per share minimum price for the required number of days, thereby satisfying this listing requirement. However, there can be no assurance that the Reverse Stock Split would have that effect, initially or in the future, or that it would enable us to maintain the listing of our common stock on The Nasdaq Capital Market. We are not aware of any present efforts by anyone to accumulate our common stock, and the proposed Reverse Stock Split is not intended to be an anti-takeover device.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believe that the low per-share market price of our common stock impairs its marketability to, and acceptance by, institutional investors and other members of the investing public and creates a negative impression of the Company. Theoretically, decreasing the number of shares of our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decrease in the number of shares of our outstanding common stock because of the Reverse Stock Split, and the anticipated increase in the price per share, would possibly promote greater liquidity for our shareholders with respect to their shares. However, liquidity may be adversely affected by the reduced number of shares that would be outstanding if the Reverse Stock Split is effected, particularly if the price per share of our common stock begins a declining trend after the Reverse Stock Split is effectuated.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Reverse Stock Split would achieve any of the desired results. There also can be no assurance that the price per share of our common stock immediately after the Reverse Stock Split would increase proportionately with the Reverse Stock Split, or that any increase would be sustained for any period of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 Reverse Stock Split is the most likely way to support the price of our common stock in reaching the minimum bid level required by The Nasdaq Capital Market, although effecting the Reverse Stock Split cannot guarantee that we would be in compliance with the minimum bid price requirement for even the minimum ten-day trading period. In addition, the Reverse Stock Split cannot guarantee we would be in compliance with the other criteria required to maintain our listing on the Nasdaq Capital Market.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evaluating whether to seek shareholder approval for the Reverse Stock Split, our Board of Directors took into consideration negative factors associated with reverse stock splits. These factors include: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and the costs associated with implementing a reverse stock split.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our shareholders approve the Reverse Stock Split, our Board of Directors reserves the right not to effect the Reverse Stock Split if in our Board’s opinion it would not be in the best interests of the Company or our shareholders to effect such Reverse Stock Split.</w:t>
      </w:r>
    </w:p>
    <w:p>
      <w:pPr>
        <w:sectPr>
          <w:pgSz w:w="11900" w:h="16838" w:orient="portrait"/>
          <w:cols w:equalWidth="0" w:num="1">
            <w:col w:w="11240"/>
          </w:cols>
          <w:pgMar w:left="320" w:top="553"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color w:val="auto"/>
        </w:rPr>
        <w:t>Criteria the Board May Use to Determine Whether to Implement the Reverse Stock Split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When determining whether to implement the Reverse Stock Split, and which Reverse Stock Split ratio to implement, if any, following the receipt of shareholder approval, the Board of Directors may consider various factors, including:</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-80645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1360" w:right="320"/>
        <w:spacing w:after="0" w:line="282" w:lineRule="auto"/>
        <w:rPr>
          <w:sz w:val="20"/>
          <w:szCs w:val="20"/>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-257810</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listing requirements, other rules and guidance from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-80645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number of shares of our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-80645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-80645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prevailing general market, legal and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-80645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Risks and Potential Disadvantages Associated with a Reverse Stock Split</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cannot assure that an implemented Reverse Stock Split will increase our stock price and for the required time period. </w:t>
      </w:r>
      <w:r>
        <w:rPr>
          <w:rFonts w:ascii="Times New Roman" w:cs="Times New Roman" w:eastAsia="Times New Roman" w:hAnsi="Times New Roman"/>
          <w:sz w:val="18"/>
          <w:szCs w:val="18"/>
          <w:color w:val="auto"/>
        </w:rPr>
        <w:t>We expect that,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the Reverse Stock Split will increase the market price of our common stock; however, the effect of the Reverse Stock Split on the market price of our common stock cannot be predicted with any certainty, and the history of reverse stock splits for other companies in our industry is varied. Some investors may view a reverse stock split negatively. It is possible that the per share price of our common stock after the Reverse Stock Split will not increase in the same proportion as the reduction in the number of our outstanding shares of common stock following the Reverse Stock Split. Furthermore, the Reverse Stock Split may not result in a per share price that would attract investors who do not trade in lower priced stocks.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addition, although we believe the Reverse Stock Split may enhance the marketability of our common stock to certain potential investors, we cannot assure you that, if implemented, our common stock will be more attractive to investors. </w:t>
      </w:r>
      <w:r>
        <w:rPr>
          <w:rFonts w:ascii="Times New Roman" w:cs="Times New Roman" w:eastAsia="Times New Roman" w:hAnsi="Times New Roman"/>
          <w:sz w:val="18"/>
          <w:szCs w:val="18"/>
          <w:color w:val="auto"/>
        </w:rPr>
        <w:t>Even if we implement the Reverse Stock Split,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our common stock may decrease due to factors unrelated to the Reverse Stock Split, including our future performance or general market trends. If the Reverse Stock Split is consummated and the trading price of the common stock declines, the percentage declines as an absolute number and as a percentage of our overall market capitalization may be greater than would occur in the absence of the Reverse Stock Split.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implemented, the proposed Reverse Stock Split may decrease the liquidity of our common stock and result in higher transaction costs.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liquidity of our common stock may be negatively impacted by the Reverse Stock Split, given the reduced number of shares that would be outstanding after the Reverse Stock Split, particularly if the stock price does not increase as a result of the Reverse Stock Split. Additionally, if the Reverse Stock Split is implemented, it will increase the number of our shareholders who own “odd lots” of fewer than 100 shares of common stock. Brokerage commissions and other costs of transactions in odd lots are generally higher than the costs of transactions of more than 100 shares of common stock. Accordingly, the Reverse Stock Split may not achieve the desired results of increasing marketability of our common stock as described above.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Reverse Stock Split will not result in a decrease in our authorized shares. </w:t>
      </w:r>
      <w:r>
        <w:rPr>
          <w:rFonts w:ascii="Times New Roman" w:cs="Times New Roman" w:eastAsia="Times New Roman" w:hAnsi="Times New Roman"/>
          <w:sz w:val="18"/>
          <w:szCs w:val="18"/>
          <w:color w:val="auto"/>
        </w:rPr>
        <w:t>Although the Reverse Stock Split would not have any dilutive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on our shareholders, the Reverse Stock Split without a reduction in the number of shares authorized for issuance would reduce the proportion of shares owned by our shareholders relative to the number of shares authorized for issuance, resulting in an effective increase in the relative number of authorized shares available for issuance in the discretion of the Board of Directors. The Board of Directors from time to time may deem it to be in the best interests of the Company and its shareholders to enter into transactions and other ventures that may include the issuance of shares of our common stock. If the Board of Directors authorizes the issuance of additional shares of common stock subsequent to the Reverse Stock Split, the dilution to the ownership interest of our existing shareholders may be greater than would occur had the Reverse Stock Split not been effected.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Effective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time of the Reverse Stock Split (the “Effective Time”), if approved by shareholders and implemented by the Board of Directors, will be the date and time set forth in the Certificate of Amendment to the Amended and Restated Certificate of Incorporation that is filed with the Delaware Secretary of State, which will be no later than June 2,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at any time prior to the filing of such amendment with the Delaware Secretary of State, the Board of Directors, in its discretion, determines that it is in our best interests and the best interests of our shareholders to delay the filing of such amendment or abandon the Reverse Stock Split, the Reverse Stock Split may be delayed or abandoned, without any further action by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Fractional Shares</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Shareholders would not receive fractional shares of common stock in connection with the Reverse Stock Split. Instead, any shareholder who would otherwise be entitled to a fractional share of our common stock as a result of the Reverse Stock Split shall be entitled to receive one whole share of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Effects of 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After the Effective Time of the Reverse Stock Split, should the Board of Directors elect to implement it, each shareholder will own a reduced number of shares of common stock. The Reverse Stock Split would affect all of our shareholders uniformly, however, and would not affect any shareholder’s percentage ownership interests in the Company, except to the extent that the Reverse Stock Split results in any of our shareholders owning a fractional share as described above. Voting rights and other rights and preferences of the holders of our common stock would not be affected by the Reverse Stock Split (other than as a result of the issuance of one whole share of common stock in lieu of fractional shares). For example, a holder of 3% of the voting power of the outstanding shares of our common stock immediately prior to the Reverse Stock Split would continue to hold 3% (assuming there is no impact as a result of the issuance of one whole share of common stock in lieu of issuing fractional shares) of the voting power of the outstanding shares of our common stock immediately after the Reverse Stock Split. The number of shareholders of record would not be affected by the Reverse Stock Split.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effects of the Reverse Stock Split would be that:</w:t>
      </w:r>
    </w:p>
    <w:p>
      <w:pPr>
        <w:spacing w:after="0" w:line="27" w:lineRule="exact"/>
        <w:rPr>
          <w:sz w:val="20"/>
          <w:szCs w:val="20"/>
          <w:color w:val="auto"/>
        </w:rPr>
      </w:pPr>
    </w:p>
    <w:p>
      <w:pPr>
        <w:ind w:left="98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 to 15 shares of our common stock owned by a shareholder (depending on the Reverse Stock Split ratio selected by the Board of Directors), would be combined into one new share of our common stock;</w:t>
      </w:r>
    </w:p>
    <w:p>
      <w:pPr>
        <w:spacing w:after="0" w:line="18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would be issued in connection with the Reverse Stock Split; instead, holders of common stock who would otherwise receive a fractional share of common stock pursuant to the Reverse Stock Split would receive one whole share of common stock as explained above;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reducing the number of shares of common stock outstanding without reducing the number of shares of available but unissued common stock, the Reverse Stock Split will effectively increase the relative number of authorized but unissued shares, which the Board of Directors may use in connection with future financings or other issuances;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of Directors, proportionate adjustments would be made to the per share exercise price and the number of shares issuable upon the exercise or vesting of all then outstanding equity awards and common stock warrants with respect to the number of shares of common stock subject to such award or warrant and the exercise price thereof, in each case to the extent applicable, subject to the terms of such awards and warrants;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authorized under our equity compensation plans will be proportionately adjusted for the Reverse Stock Split ratio selected by the Board of Directors;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shareholders owning “odd lots” of less than 100 shares of our common stock may potentially increase; odd lot shares may be more difficult to sell and brokerage commissions and other costs of transactions in odd lots generally are proportionately higher than the costs of transactions in “round lots” of even multiples of 100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any potential negative effects are outweighed by the benefits of the Reverse Stock Split.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Effect on Shares of Common Stock</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providing examples of the effect of the Reverse Stock Split on our common stock, the following table contains approximate information, based on share information as of the Record Date, of the effect of a Reverse Stock Split at certain ratios within the range of the proposed Reverse Stock Split ratios on the number of shares of our common stock authorized, outstanding and authorized but not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 Stock Issued and</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Authorized</w:t>
            </w:r>
          </w:p>
        </w:tc>
      </w:tr>
      <w:tr>
        <w:trPr>
          <w:trHeight w:val="238"/>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 Authorized</w:t>
            </w:r>
          </w:p>
        </w:tc>
        <w:tc>
          <w:tcPr>
            <w:tcW w:w="2480" w:type="dxa"/>
            <w:vAlign w:val="bottom"/>
            <w:gridSpan w:val="2"/>
          </w:tcPr>
          <w:p>
            <w:pPr>
              <w:jc w:val="center"/>
              <w:ind w:right="220"/>
              <w:spacing w:after="0" w:line="239" w:lineRule="exact"/>
              <w:rPr>
                <w:sz w:val="20"/>
                <w:szCs w:val="20"/>
                <w:color w:val="auto"/>
              </w:rPr>
            </w:pPr>
            <w:r>
              <w:rPr>
                <w:rFonts w:ascii="Times New Roman" w:cs="Times New Roman" w:eastAsia="Times New Roman" w:hAnsi="Times New Roman"/>
                <w:sz w:val="18"/>
                <w:szCs w:val="18"/>
                <w:b w:val="1"/>
                <w:bCs w:val="1"/>
                <w:color w:val="auto"/>
                <w:w w:val="96"/>
              </w:rPr>
              <w:t>Outstanding</w:t>
            </w:r>
            <w:r>
              <w:rPr>
                <w:rFonts w:ascii="Times New Roman" w:cs="Times New Roman" w:eastAsia="Times New Roman" w:hAnsi="Times New Roman"/>
                <w:sz w:val="23"/>
                <w:szCs w:val="23"/>
                <w:b w:val="1"/>
                <w:bCs w:val="1"/>
                <w:color w:val="auto"/>
                <w:w w:val="96"/>
                <w:vertAlign w:val="superscript"/>
              </w:rPr>
              <w:t>(1)</w:t>
            </w:r>
          </w:p>
        </w:tc>
        <w:tc>
          <w:tcPr>
            <w:tcW w:w="2360" w:type="dxa"/>
            <w:vAlign w:val="bottom"/>
            <w:gridSpan w:val="2"/>
          </w:tcPr>
          <w:p>
            <w:pPr>
              <w:jc w:val="center"/>
              <w:ind w:right="100"/>
              <w:spacing w:after="0" w:line="239" w:lineRule="exact"/>
              <w:rPr>
                <w:sz w:val="20"/>
                <w:szCs w:val="20"/>
                <w:color w:val="auto"/>
              </w:rPr>
            </w:pPr>
            <w:r>
              <w:rPr>
                <w:rFonts w:ascii="Times New Roman" w:cs="Times New Roman" w:eastAsia="Times New Roman" w:hAnsi="Times New Roman"/>
                <w:sz w:val="18"/>
                <w:szCs w:val="18"/>
                <w:b w:val="1"/>
                <w:bCs w:val="1"/>
                <w:color w:val="auto"/>
                <w:w w:val="98"/>
              </w:rPr>
              <w:t>but Not Outstanding</w:t>
            </w:r>
            <w:r>
              <w:rPr>
                <w:rFonts w:ascii="Times New Roman" w:cs="Times New Roman" w:eastAsia="Times New Roman" w:hAnsi="Times New Roman"/>
                <w:sz w:val="23"/>
                <w:szCs w:val="23"/>
                <w:b w:val="1"/>
                <w:bCs w:val="1"/>
                <w:color w:val="auto"/>
                <w:w w:val="98"/>
                <w:vertAlign w:val="superscript"/>
              </w:rPr>
              <w:t>(2)</w:t>
            </w:r>
          </w:p>
        </w:tc>
      </w:tr>
      <w:tr>
        <w:trPr>
          <w:trHeight w:val="237"/>
        </w:trPr>
        <w:tc>
          <w:tcPr>
            <w:tcW w:w="3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Pre-Reverse Stock Split</w:t>
            </w:r>
          </w:p>
        </w:tc>
        <w:tc>
          <w:tcPr>
            <w:tcW w:w="12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25,992,995</w:t>
            </w:r>
          </w:p>
        </w:tc>
        <w:tc>
          <w:tcPr>
            <w:tcW w:w="22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5,591,161</w:t>
            </w:r>
          </w:p>
        </w:tc>
        <w:tc>
          <w:tcPr>
            <w:tcW w:w="100" w:type="dxa"/>
            <w:vAlign w:val="bottom"/>
            <w:tcBorders>
              <w:top w:val="single" w:sz="8" w:color="CCEEFF"/>
            </w:tcBorders>
            <w:shd w:val="clear" w:color="auto" w:fill="CCEEFF"/>
          </w:tcPr>
          <w:p>
            <w:pPr>
              <w:spacing w:after="0"/>
              <w:rPr>
                <w:sz w:val="20"/>
                <w:szCs w:val="20"/>
                <w:color w:val="auto"/>
              </w:rPr>
            </w:pPr>
          </w:p>
        </w:tc>
      </w:tr>
      <w:tr>
        <w:trPr>
          <w:trHeight w:val="239"/>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10:1</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2,599,800</w:t>
            </w:r>
          </w:p>
        </w:tc>
        <w:tc>
          <w:tcPr>
            <w:tcW w:w="2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522,909</w:t>
            </w:r>
          </w:p>
        </w:tc>
        <w:tc>
          <w:tcPr>
            <w:tcW w:w="100" w:type="dxa"/>
            <w:vAlign w:val="bottom"/>
          </w:tcPr>
          <w:p>
            <w:pPr>
              <w:spacing w:after="0"/>
              <w:rPr>
                <w:sz w:val="20"/>
                <w:szCs w:val="20"/>
                <w:color w:val="auto"/>
              </w:rPr>
            </w:pPr>
          </w:p>
        </w:tc>
      </w:tr>
      <w:tr>
        <w:trPr>
          <w:trHeight w:val="247"/>
        </w:trPr>
        <w:tc>
          <w:tcPr>
            <w:tcW w:w="3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2,363,500</w:t>
            </w:r>
          </w:p>
        </w:tc>
        <w:tc>
          <w:tcPr>
            <w:tcW w:w="22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475,380</w:t>
            </w:r>
          </w:p>
        </w:tc>
        <w:tc>
          <w:tcPr>
            <w:tcW w:w="100" w:type="dxa"/>
            <w:vAlign w:val="bottom"/>
            <w:shd w:val="clear" w:color="auto" w:fill="CCEEFF"/>
          </w:tcPr>
          <w:p>
            <w:pPr>
              <w:spacing w:after="0"/>
              <w:rPr>
                <w:sz w:val="21"/>
                <w:szCs w:val="21"/>
                <w:color w:val="auto"/>
              </w:rPr>
            </w:pPr>
          </w:p>
        </w:tc>
      </w:tr>
      <w:tr>
        <w:trPr>
          <w:trHeight w:val="239"/>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12:1</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2,166,583</w:t>
            </w:r>
          </w:p>
        </w:tc>
        <w:tc>
          <w:tcPr>
            <w:tcW w:w="2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435,767</w:t>
            </w:r>
          </w:p>
        </w:tc>
        <w:tc>
          <w:tcPr>
            <w:tcW w:w="100" w:type="dxa"/>
            <w:vAlign w:val="bottom"/>
          </w:tcPr>
          <w:p>
            <w:pPr>
              <w:spacing w:after="0"/>
              <w:rPr>
                <w:sz w:val="20"/>
                <w:szCs w:val="20"/>
                <w:color w:val="auto"/>
              </w:rPr>
            </w:pPr>
          </w:p>
        </w:tc>
      </w:tr>
      <w:tr>
        <w:trPr>
          <w:trHeight w:val="247"/>
        </w:trPr>
        <w:tc>
          <w:tcPr>
            <w:tcW w:w="3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Post-Reverse Stock Split 13:1</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1,999,962</w:t>
            </w:r>
          </w:p>
        </w:tc>
        <w:tc>
          <w:tcPr>
            <w:tcW w:w="22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403,249</w:t>
            </w:r>
          </w:p>
        </w:tc>
        <w:tc>
          <w:tcPr>
            <w:tcW w:w="100" w:type="dxa"/>
            <w:vAlign w:val="bottom"/>
            <w:shd w:val="clear" w:color="auto" w:fill="CCEEFF"/>
          </w:tcPr>
          <w:p>
            <w:pPr>
              <w:spacing w:after="0"/>
              <w:rPr>
                <w:sz w:val="21"/>
                <w:szCs w:val="21"/>
                <w:color w:val="auto"/>
              </w:rPr>
            </w:pPr>
          </w:p>
        </w:tc>
      </w:tr>
      <w:tr>
        <w:trPr>
          <w:trHeight w:val="239"/>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Post-Reverse Stock Split 14:1</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1,857,143</w:t>
            </w:r>
          </w:p>
        </w:tc>
        <w:tc>
          <w:tcPr>
            <w:tcW w:w="2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393,507</w:t>
            </w:r>
          </w:p>
        </w:tc>
        <w:tc>
          <w:tcPr>
            <w:tcW w:w="100" w:type="dxa"/>
            <w:vAlign w:val="bottom"/>
          </w:tcPr>
          <w:p>
            <w:pPr>
              <w:spacing w:after="0"/>
              <w:rPr>
                <w:sz w:val="20"/>
                <w:szCs w:val="20"/>
                <w:color w:val="auto"/>
              </w:rPr>
            </w:pPr>
          </w:p>
        </w:tc>
      </w:tr>
      <w:tr>
        <w:trPr>
          <w:trHeight w:val="247"/>
        </w:trPr>
        <w:tc>
          <w:tcPr>
            <w:tcW w:w="3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Post-Reverse Stock Split 15:1</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1,733,367</w:t>
            </w:r>
          </w:p>
        </w:tc>
        <w:tc>
          <w:tcPr>
            <w:tcW w:w="22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348,819</w:t>
            </w:r>
          </w:p>
        </w:tc>
        <w:tc>
          <w:tcPr>
            <w:tcW w:w="100" w:type="dxa"/>
            <w:vAlign w:val="bottom"/>
            <w:shd w:val="clear" w:color="auto" w:fill="CCEEFF"/>
          </w:tcPr>
          <w:p>
            <w:pPr>
              <w:spacing w:after="0"/>
              <w:rPr>
                <w:sz w:val="21"/>
                <w:szCs w:val="21"/>
                <w:color w:val="auto"/>
              </w:rPr>
            </w:pPr>
          </w:p>
        </w:tc>
      </w:tr>
    </w:tbl>
    <w:p>
      <w:pPr>
        <w:spacing w:after="0" w:line="238" w:lineRule="exact"/>
        <w:rPr>
          <w:sz w:val="20"/>
          <w:szCs w:val="20"/>
          <w:color w:val="auto"/>
        </w:rPr>
      </w:pPr>
    </w:p>
    <w:p>
      <w:pPr>
        <w:ind w:left="640" w:hanging="30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issuance of 500 shares in respect of fractional shares for round lots.</w:t>
      </w:r>
    </w:p>
    <w:p>
      <w:pPr>
        <w:spacing w:after="0" w:line="63" w:lineRule="exact"/>
        <w:rPr>
          <w:rFonts w:ascii="Times New Roman" w:cs="Times New Roman" w:eastAsia="Times New Roman" w:hAnsi="Times New Roman"/>
          <w:sz w:val="18"/>
          <w:szCs w:val="18"/>
          <w:color w:val="auto"/>
        </w:rPr>
      </w:pPr>
    </w:p>
    <w:p>
      <w:pPr>
        <w:ind w:left="640" w:right="80" w:hanging="305"/>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issuance of options to purchase 22 shares in respect of fractional share interests in options held by persons other than directors and officers.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Effective Time of the Reverse Stock Split that our Board of Directors elects to implement, our common stock would have a new CUSIP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Outstanding Equity Awards and Equity Plans</w:t>
      </w:r>
    </w:p>
    <w:p>
      <w:pPr>
        <w:spacing w:after="0" w:line="225"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the Reverse Stock Split is approved by our shareholders and our Board of Directors decides to implement the Reverse Stock Split, as of the Effective Time, based on the Reverse Stock Split ratio selected by the Board of Directors, proportionate adjustments will be made to all then-outstanding equity awards with respect to the number of shares of common stock subject to such award and the exercise price thereof. In addition, the number of shares of common stock available for issuance under our equity compensation plans will be proportionately adjusted for the Reverse Stock Split ratio selected by the Board of Directors, such that fewer shares will be subject to such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Stated Capital</w:t>
      </w:r>
    </w:p>
    <w:p>
      <w:pPr>
        <w:spacing w:after="0" w:line="225"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Reverse Stock Split, the par value of our common stock would remain $0.001 per share. As a result of the Reverse Stock Split, at the Effective Time, the stated capital on our balance sheet attributable to our common stock would be reduced in proportion to the size of the Reverse Stock Split, subject to a minor adjustment in respect of the treatment of fractional shares, and the additional paid-in capital account would be credited with the amount by which the stated capital is reduced. Our shareholders’ equity, in the aggregate, would remain unchanged.</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Shares Held in Book-Entry and Through a Broker, Bank or Other Holder of Record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combination of, and reduction in, the number of our outstanding shares of common stock as a result of the Reverse Stock Split will occur automatically at the Effective Time without any additional action on the part of our shareholders.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Reverse Stock Split, we intend to treat shareholders holding shares of our common stock in “street name” (that is, through a broker, bank or other holder of record) in the same manner as registered shareholders whose shares of our common stock are registered in their names. Brokers, banks or other holders of record will be instructed to effect the Reverse Stock Split for their beneficial holders holding shares of our common stock in “street name”; however, these brokers, banks or other holders of record may apply their own specific procedures for processing the Reverse Stock Split. If you hold your shares of our common stock with a broker, bank or other holder of record, and you have any questions in this regard, we encourage you to contact your holder of record.</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hold registered shares of our common stock in a book-entry form, you do not need to take any action to receive your post-Reverse Stock Split shares of our common stock in registered book-entry form. A transaction statement will automatically be sent to your address of record as soon as practicable after the Effective Time indicating the number of shares of our common stock you hold.</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hold any of your shares of our common stock in certificate form, you will receive a transmittal letter from our transfer agent as soon as practicable after the Effective Time. The transmittal letter will be accompanied by instructions specifying how you can exchange your certificate representing the pre-Reverse Stock Split shares of our common stock for either: (1) a certificate representing the post-Reverse Stock Split shares of our common stock or (2) post-Reverse Stock Split shares of our common stock in a book-entry form, evidenced by a transaction statement that will be sent to your address of record indicating the number of shares of our common stock you hold. Beginning at the Effective Time of the Reverse Stock Split, each certificate representing pre-Reverse Stock Split shares of our common stock will be deemed for all corporate purposes to evidence ownership of post-Reverse Stock Split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should not destroy any share certificate(s) and should not submit any share certificate(s) until requested to do so.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Certain Persons in Matters to be Acted Upon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officer or director has any substantial interest, direct or indirect, by security holdings or otherwise, in the Reverse Stock Split that is not shared by all of our other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Reservation of Right to Delay the Filing of the Amendment, or Abandon the Reverse Stock Split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reserves the right, notwithstanding shareholder approval of this Proposal No. 3 and without further action by the shareholders, to elect not to proceed with the Reverse Stock Split if the Board of Directors, in its sole discretion, determines that it is no longer in our best interests and the best interests of our shareholders to proceed with the Reverse Stock Split. Such determination will be based upon factors the Board of Directors deems appropriate, including our then current stock price, the existing and expected marketability and liquidity of our common stock, prevailing market conditions, rule changes and/or guidance by Nasdaq, and the likely effect on the market price of our common stock. If a certificate of amendment effecting the Reverse Stock Split has not been filed with the Secretary of State of the State of Delaware on or before June 2, 2025, the Board of Directors will be deemed to have abandoned the Reverse Stock Split.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Dissenters’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Delaware law, shareholders have no rights to exercise dissenters’ rights of appraisal with respect to 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Going Private Transaction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Material U.S. Federal Tax Consequences of the Reverse Stock Split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of an implemented Reverse Stock Split to U.S. Holders (as defined below). This summary is based upon the Internal Revenue Code of 1986, as amended (the “Code”), Treasury regulations promulgated thereunder, published rulings and administrative pronouncements of the Internal Revenue Service (“IRS”), and judicial decisions in each case in existence on the date hereof, all of which are subject to change. Any such change could apply retroactively and could adversely affect the tax consequences described below. No assurance can be given that the IRS will agree with the consequences described in this summary, or that a court will not sustain any challenge by the IRS in the event of litigation. No advance tax ruling has been or will be sought or obtained from the IRS regarding the tax consequences of the transactions described herein.</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shares of our common stock that is (a) an individual who is a citizen of the United States or who is resident in the United States for U.S. federal income tax purposes, (b) an entity that is classified for U.S. federal income tax purposes as a corporation and that is organized under the laws of the United States, any state thereof, or the District of Columbia, or is otherwise treated for U.S. federal income tax purposes as a domestic corporation, (c) an estate the income of which is subject to U.S. federal income taxation regardless of its source, or (d) a trust (i) whose administration is subject to the primary supervision of a court within the United States and all substantial decisions of which are subject to the control of one or more United States persons as described in Section 7701(a)(30) of the Code (“United States persons”), or (ii) that has a valid election in effect under applicable Treasury regulations to be treated as a United States person.</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summary does not discuss all U.S. federal income tax considerations that may be relevant to U.S. Holders in light of their particular circumstances or that may be relevant to certain beneficial owners that may be subject to special treatment under U.S. federal income tax law (for example, tax-exempt organizations, S corporations, partnership and other pass through entities (and investors therein), mutual funds, insurance companies, banks and other financial institutions, dealers in securities, brokers or traders in securities, commodities or currencies, that elect to use a mark-to-market method of accounting, real estate investment trusts, regulated investment companies, individual retirement accounts, qualified pension plans, persons who hold shares of our common stock as part of a straddle, hedging, constructive sale, conversion, or other integrated transaction, U.S. Holders that have a functional currency other than the U.S. dollar, and persons who acquired shares of our common stock as a result of the exercise of employee stock options or otherwise as compensation or through a tax-qualified retirement plan). Furthermore, this summary does not discuss any alternative minimum tax consequences or the Medicare contribution tax on net investment income and does not address any aspects of U.S. state or local or non-U.S. taxation. This summary only applies to those beneficial owners that hold shares of our common stock as “capital assets” within the meaning of Section 1221 of the Code (generally, property held for investment).</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entity classified for U.S. federal income tax purposes as a partnership owns shares of our common stock, the tax treatment of a member of the entity will depend on the status of the member and the activities of the entity and such member. The tax treatment of such an entity, and the tax treatment of any member of such an entity, are not addressed in this summary. Any entity that is classified for U.S. federal income tax purposes as a partnership and that owns shares of our common stock, and any members of such an entity, are encouraged to consult their tax advisors.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 OF SHARES OF OUR COMMON STOCK ARE ENCOURAGED TO SEEK ADVICE FROM THEIR OWN TAX ADVISORS REGARDING THE INCOME TAX CONSEQUENCES OF THE REVERSE STOCK SPLIT TAKING INTO ACCOUNT THEIR PARTICULAR SITUATIONS AS WELL AS ANY TAX CONSEQUENCES OF THE REVERSE STOCK SPLIT ARISING UNDER THE U.S. FEDERAL INCOME, ESTATE OR GIFT TAX LAWS OR UNDER THE LAWS OF ANY STATE, LOCAL OR NON-U.S. TAXING JURISDICTION OR UNDER ANY APPLICABLE INCOME TAX TREATY.</w:t>
      </w:r>
    </w:p>
    <w:p>
      <w:pPr>
        <w:spacing w:after="0" w:line="14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intend to take the position that the Reverse Stock Split constitutes a recapitalization for U.S. federal income tax purposes pursuant to Section 368(a)(1)(E) of the Code. Assuming the Reverse Stock Split qualifies as a recapitalization:</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will not recognize gain or loss on the Reverse Stock Split;</w:t>
      </w:r>
    </w:p>
    <w:p>
      <w:pPr>
        <w:spacing w:after="0" w:line="20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our common stock received by a U.S. Holder in the Reverse Stock Split will be equal to the aggregate tax basis of the shares exchanged therefor;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the shares of our common stock received by a U.S. Holder in the Reverse Stock Split will include the holding period of the shares exchanged therefor.</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U.S. Treasury regulations provide detailed rules for allocating the tax basis and holding period among shares of common stock which were acquired by a shareholder on different dates and at different prices. U.S. Holders that acquired shares of our common stock on different dates or at different prices should consult their tax advisors regarding the allocation of the tax basis and holding period among such shares. The tax treatment of the receipt of a full share of common stock in lieu of a fractional share is unclear. Shareholders should consult their own tax advisors to determine the consequences to them of receiving such a full share in lieu of a fractional share.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Appendix Relating to the Reverse Stock Split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form of the amendment to our Certificate of Incorporation relating to this Proposal No. 3, which we would file with the Secretary of State of the State of Delaware to effect the Reverse Stock Split, is attached to this proxy statement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Vote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shareholders that represent a majority of the shares of voting capital stock issued and outstanding is required to approve the Reverse Stock Split. Abstentions and broker non-votes will be treated as votes against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Recommendation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REVERSE STOCK SPLIT</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PROPOSAL NO. 4</w:t>
      </w:r>
    </w:p>
    <w:p>
      <w:pPr>
        <w:spacing w:after="0" w:line="225" w:lineRule="exact"/>
        <w:rPr>
          <w:sz w:val="20"/>
          <w:szCs w:val="20"/>
          <w:color w:val="auto"/>
        </w:rPr>
      </w:pPr>
    </w:p>
    <w:p>
      <w:pPr>
        <w:jc w:val="center"/>
        <w:spacing w:after="0" w:line="312" w:lineRule="auto"/>
        <w:rPr>
          <w:sz w:val="20"/>
          <w:szCs w:val="20"/>
          <w:color w:val="auto"/>
        </w:rPr>
      </w:pPr>
      <w:r>
        <w:rPr>
          <w:rFonts w:ascii="Times New Roman" w:cs="Times New Roman" w:eastAsia="Times New Roman" w:hAnsi="Times New Roman"/>
          <w:sz w:val="17"/>
          <w:szCs w:val="17"/>
          <w:color w:val="auto"/>
        </w:rPr>
        <w:t>APPROVAL OF AN AMENDMENT TO THE CERTIFICATE OF INCORPORATION TO ELIMINATE THE PROHIBITION AGAINST SHAREHOLDERS ACTING BY WRITTEN CONSENT AND EXPRESSLY AUTHORIZE SHAREHOLDERS TO ACT BY WRITTEN CONSENT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submitting for shareholder approval an amendment to our Certificate of Incorporation to remove the prohibition against shareholders taking action by written consent without holding a meeting. Our Board of Directors has unanimously approved, and recommends that all shareholders approve, the proposed amendment to Section (a) of Article VI of the Certificate of Incorporation to remove this prohibition by deleting Section (a) of Article VI in its entirety and expressly authorize shareholders to act by written consent. The discussion regarding this proposal is qualified in its entirety by reference to the complete text of Section (a) of Article VI of the Certificate of Incorporation, which is set forth below:</w:t>
      </w:r>
    </w:p>
    <w:p>
      <w:pPr>
        <w:spacing w:after="0" w:line="183" w:lineRule="exact"/>
        <w:rPr>
          <w:sz w:val="20"/>
          <w:szCs w:val="20"/>
          <w:color w:val="auto"/>
        </w:rPr>
      </w:pPr>
    </w:p>
    <w:p>
      <w:pPr>
        <w:jc w:val="both"/>
        <w:ind w:left="1000" w:right="40" w:hanging="47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by Written Consent. Any action required or permitted to be taken by the shareholders of the Corporation may be effected only at a duly called annual or special meeting of shareholders of the Corporation and may not be effected by any consent in writing by such shareholders.</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you approve Proposal No. 4, the above section will be deleted from our Certificate of Incorporation and the following text will be approved as new Section (a) of Article VI of the Certificate of Incorporation:</w:t>
      </w:r>
    </w:p>
    <w:p>
      <w:pPr>
        <w:spacing w:after="0" w:line="149" w:lineRule="exact"/>
        <w:rPr>
          <w:sz w:val="20"/>
          <w:szCs w:val="20"/>
          <w:color w:val="auto"/>
        </w:rPr>
      </w:pPr>
    </w:p>
    <w:p>
      <w:pPr>
        <w:jc w:val="both"/>
        <w:ind w:left="660" w:firstLine="644"/>
        <w:spacing w:after="0" w:line="256" w:lineRule="auto"/>
        <w:tabs>
          <w:tab w:leader="none" w:pos="15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Written Consent.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14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urge you to carefully read the section in its entirety and consider the implications of amending the Certificate of Incorporation to eliminate the prohibition against shareholders acting by written consent and expressly authorize shareholders to act by written consent because this summary may not contain all the information about this amendment that is important to you.</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Background and Reason for the Recommendation</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Board of Directors’ review of our corporate governance policies, the Board considered the advantages and disadvantages of prohibiting shareholder action by written consent similar to that currently found in Section (a) of Article VI of our Certificate of Incorporation. This type of prohibition generally is intended to facilitate corporate stability by requiring shareholder action to occur at a duly called and convened shareholder meeting. These voting limitations prohibiting shareholder action by written consent may also have the effect of providing anti-takeover protection to the Company. However, many investors and others view prohibitions against shareholder action by written consent as conflicting with principles of good corporate governance by preventing shareholders from fully exercising their voting rights as shareholders due to the need to convene at an annual or special meeting to effect change. Section 228 of the Delaware General Corporation Law (the “DGCL”) allows shareholders to act by written consent unless otherwise provided in the corporation’s certificate of incorporation.</w:t>
      </w:r>
    </w:p>
    <w:p>
      <w:pPr>
        <w:spacing w:after="0" w:line="1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considering the advantages and disadvantages of the prohibition on shareholder action by written consent set forth in Section (a) of Article VI of our Certificate of Incorporation, the Board of Directors has unanimously voted to propose to the shareholders that Section (a) of Article VI be amended to remove the prohibition, and instead allow shareholders to take actions as provided by Section 228 of the DGC. In reaching this determination to propose this amendment to our Certificate of Incorporation, the Board of Directors concluded that the benefits of prohibiting shareholder action by written consent were outweighed by the Board of Directors’ belief that removing the prohibition is a meaningful step towards achieving our goal of ensuring that our corporate governance policies conform to current best practices and maximizing the ability of our shareholders to appropriately participate in the affairs of the Company.</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reasons described above, our Board believes that this Proposal No. 4 to amend our Certificate of Incorporation by deleting Section (a) of Article VI is advisable and in the best interests of the Company and its shareholders, and to amend and restate Section (a), Article VI of the Certification of Incorporation as set forth above to expressly authorize shareholders to act by written consent.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Appendix Relating to the Elimination of the Prohibition on Against Shareholders Acting by Written Consent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form of the amendment to our Certificate of Incorporation relating to this Proposal No. 4, which we would file with the Secretary of State of the State of Delaware to eliminate the prohibition against shareholders acting by written consent and expressly authorize shareholders to act by written consent, is attached to this proxy statement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Amendment to our Bylaws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has conditionally approved an amendment to our bylaws, subject to shareholder approval of this Proposal No. 4, to eliminate related provisions set forth in Section 1.11 of Article I our Bylaws that prohibited shareholders from acting by written consent and adopt provisions in Section 1.11 to expressly authorize shareholders to act by written consent in lieu of a meeting. The form of this bylaw amendment is attached to this Proxy Statement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and will become effective upon filing of the amendment to the Certificate of Incorporation with the Secretary of State of the State of Delaware relating to .</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Vote</w:t>
      </w:r>
    </w:p>
    <w:p>
      <w:pPr>
        <w:spacing w:after="0" w:line="18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affirmative vote of shareholders that represent a sixty-six and two-thirds percent (66.66%) majority of the shares of voting capital stock issued and outstanding is required to approve the elimination of the prohibition against shareholders acting by written consent and to expressly authorize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to act by written consent in lieu of a meeting. Abstentions and broker non-votes will be treated as votes against the proposal.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Recommendation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RECOMMENDS THAT SHAREHOLDERS VOTE “FOR” THE ELIMINATION OF THE PROHIBITION AGAINST SHAREHOLDERS ACTING BY WRITTEN CONSENT AND EXPRESS AUTHORIZATION OF SHAREHOLDERS TO ACT BY WRITTEN CONSENT.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color w:val="auto"/>
        </w:rPr>
        <w:t>PROPOSAL NO. 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ELECTION OF DIRECTORS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four. The term of each of our directors expires at the Special Meeting. As previously disclosed in the Company’s Current Report on Form 8-K as filed with the SEC on November 25, 2024, Larry Hendricks advised the Board of Directors that he would not stand for re-election to the Board at the next annual or special meeting of stockholders at which directors are elected. Mr. Hendricks’ decision to not stand for re-election was not the result of any disagreement with the Company.</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nominated current directors Ms. Higley,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ELECTION OF THE DIRECTOR NOMINEES NAMED HEREIN.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Nominees for Director</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three nominees for election as directors at the Special Meeting, including our three current directors continuing in office.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09"/>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Chairman and Director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r>
      <w:tr>
        <w:trPr>
          <w:trHeight w:val="22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B. Higley</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98" w:lineRule="exact"/>
        <w:rPr>
          <w:sz w:val="20"/>
          <w:szCs w:val="20"/>
          <w:color w:val="auto"/>
        </w:rPr>
      </w:pPr>
    </w:p>
    <w:p>
      <w:pPr>
        <w:ind w:left="460" w:hanging="450"/>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 Compensation Committee and Nominating Committee.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Eric. L Robinson has served as a director of our company since July 2015 and was named Chairman of the Board in February 2022. Mr. Robinson 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OUR Rescue, Inc. and as a private attorney. At MicroPower, Mr. Robinson acted as General Counsel, Chief Financial Officer and a director. At OUR Rescue, Inc. he acts as VP of Legal Affairs. Mr. Robinson also maintains a law practice and serves as counsel to a number of companies in the fields of regenerative medicine and commercial construction.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Lisa B. Higley was appointed a director of our Company effective July 20, 2020. Ms. Higley has been self-employed as a CPA since June 2009. 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49.60% of our issued and outstanding common stock.</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Bruce Whaley was appointed a director of our Company effective April 16, 2019. Mr. Whaley has extensive experience as a stockbroker for nearly five decades. Mr. Whaley is currently a broker trading at Wilson &amp; Davis, a regional brokerage firm based in Salt Lake City, Utah. He has been with Wilson &amp; Davis since 1988. Until March 2023, Mr. Whaley also held a real estate license and worked as a real estate agent for Coldwell Banker. Mr. Whaley attended the University of Utah between 1968 and 1971 and studied many subjects including business administration, accounting and finance. He did not graduate with a degree.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Corporate Governance and the Board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Messrs. Hendricks, Robinson and Whaley are independent directors, as “independence” is defined by the listing standards of NASDAQ. This determination was made because Messrs. Hendricks, Robinson and Whaley have no relationship with us that would interfere with their exercise of independent judgment.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and a Nominating Committee, each consisting entirely of independent directors.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charters for the Audit and Compliance, Compensation and Nominating Committees describing the authority and responsibilities delegated to each committee by the Board. We post on our website at www.clearone.com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Leadership Structure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believes that there is no one best leadership structure model that is most effective in all circumstances. The Board adheres to a flexible approach to the question of whether to separate the positions of Chairman and Chief Executive Officer (“CEO”) and the necessity of a lead independent director, and will consider a variety of factors in making a decision, including, but not limited to, the current performance of the Company and the experience, knowledge and temperament of the Chief Executive Officer. The Board remains flexible and committed to a strong corporate governance structure and board independence. The Board is committed to adopting corporate management and governance policies and strategies that promote our effective and ethical management. In this regard, the Board strongly believes that it should have maximum flexibility in deciding whether the offices of Chairman and Chief Executive Officer are combined or separate and, if separate, whether the Chairman should be an independent director or an employee.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roles of Chairman and Chief Executive Officer were separated in February 2022 when Mr. Robinson was named Chairman of the Board in light of Mr. Robinson’s leadership, experience, and knowledge of the Company and its shareholders. The Board determined and continues to believe that it was in our best interests and our stockholders’ best interests to separate the roles of Chairman and Chief Executive Officer.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separation of Chief Executive Officer and Chairman together with a Board whose majority of directors are independent, provides the appropriate balance between independent oversight of management and the development of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Role in Risk Oversight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Committees of the Board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Audit and Compliance Committee. The Audit and Compliance Committee meets to review and discuss our accounting practices and procedures 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members of the Audit and Compliance Committee are Eric L. Robinson (Chairman), Larry R. Hendricks and Bruce Whaley.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Compensation Committee. The Compensation Committee is responsible for overseeing, reviewing, and approving our executive compensation 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Larry R. Hendricks and Eric L. Robinson.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objectives for executive officers are as follows:</w:t>
      </w:r>
    </w:p>
    <w:p>
      <w:pPr>
        <w:spacing w:after="0" w:line="225" w:lineRule="exact"/>
        <w:rPr>
          <w:sz w:val="20"/>
          <w:szCs w:val="20"/>
          <w:color w:val="auto"/>
        </w:rPr>
      </w:pPr>
    </w:p>
    <w:p>
      <w:pPr>
        <w:ind w:left="940" w:hanging="271"/>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highly qualified individuals capable of making significant contributions to the long-term success of our company;</w:t>
      </w:r>
    </w:p>
    <w:p>
      <w:pPr>
        <w:spacing w:after="0" w:line="225" w:lineRule="exact"/>
        <w:rPr>
          <w:rFonts w:ascii="Times New Roman" w:cs="Times New Roman" w:eastAsia="Times New Roman" w:hAnsi="Times New Roman"/>
          <w:sz w:val="18"/>
          <w:szCs w:val="18"/>
          <w:color w:val="auto"/>
        </w:rPr>
      </w:pPr>
    </w:p>
    <w:p>
      <w:pPr>
        <w:ind w:left="940" w:hanging="271"/>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incentive compensation to reinforce strategic performance objectives;</w:t>
      </w:r>
    </w:p>
    <w:p>
      <w:pPr>
        <w:spacing w:after="0" w:line="225" w:lineRule="exact"/>
        <w:rPr>
          <w:rFonts w:ascii="Times New Roman" w:cs="Times New Roman" w:eastAsia="Times New Roman" w:hAnsi="Times New Roman"/>
          <w:sz w:val="18"/>
          <w:szCs w:val="18"/>
          <w:color w:val="auto"/>
        </w:rPr>
      </w:pPr>
    </w:p>
    <w:p>
      <w:pPr>
        <w:ind w:left="940" w:hanging="271"/>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 of our executives with the interests of our shareholders such that the risks and rewards of strategic decisions are shared; and</w:t>
      </w:r>
    </w:p>
    <w:p>
      <w:pPr>
        <w:spacing w:after="0" w:line="161" w:lineRule="exact"/>
        <w:rPr>
          <w:rFonts w:ascii="Times New Roman" w:cs="Times New Roman" w:eastAsia="Times New Roman" w:hAnsi="Times New Roman"/>
          <w:sz w:val="18"/>
          <w:szCs w:val="18"/>
          <w:color w:val="auto"/>
        </w:rPr>
      </w:pPr>
    </w:p>
    <w:p>
      <w:pPr>
        <w:ind w:left="940" w:hanging="271"/>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value of each officer’s position in the marketplace and within our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Policies and Practices Related to ClearOne’s Compensation Program. We strive to 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Comparable Companies. In making compensation decisions, including assessing the competitiveness of the total compensation structure for each 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Equity Grant Practices. The Compensation Committee recognizes the importance of equity ownership in the alignment of shareholder and 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establishes the criteria, and directs the implementation, of all compensation program elements for the executive officers. The Compensation Committee considers the Chief Executive Officer’s appraisal of other executive officers’ general performance and looks especially to performance against predetermined goals before making its recommendation to the Board of Directors.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2022.</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Nominating Committee. The Nominating Committee is responsible for overseeing the nomination of our directors. The Nominating Committee selects, evaluates, and recommends to the full Board of Directors qualified candidates for election to the Board of Directors. The members of the Nominating Committee are Larry R. Hendricks (Chairman), Eric L. Robinson, and Bruce Whaley.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Special Transaction Committee. In November 2024, the Board of Directors formed a Special Transaction Committee, consisting of Larry R. Hendricks, Eric L. Robinson and Bruce Whaley as its members. to oversee the Board’s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 and Committee Meetings</w:t>
      </w:r>
    </w:p>
    <w:p>
      <w:pPr>
        <w:spacing w:after="0" w:line="2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held a total of 9 meetings in 2024.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2023 Annual Meeting of Shareholders.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2024, the Audit and Compliance Committee held 4 meetings, the Compensation Committee held 3 meetings, the Nominating Committee held no meetings and the Special Transaction Committee held no meetings.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Board Diversity</w:t>
      </w:r>
    </w:p>
    <w:p>
      <w:pPr>
        <w:spacing w:after="0" w:line="225" w:lineRule="exact"/>
        <w:rPr>
          <w:sz w:val="20"/>
          <w:szCs w:val="20"/>
          <w:color w:val="auto"/>
        </w:rPr>
      </w:pPr>
    </w:p>
    <w:p>
      <w:pPr>
        <w:jc w:val="both"/>
        <w:ind w:left="20" w:firstLine="643"/>
        <w:spacing w:after="0" w:line="258" w:lineRule="auto"/>
        <w:rPr>
          <w:sz w:val="20"/>
          <w:szCs w:val="20"/>
          <w:color w:val="auto"/>
        </w:rPr>
      </w:pPr>
      <w:r>
        <w:rPr>
          <w:rFonts w:ascii="Times New Roman" w:cs="Times New Roman" w:eastAsia="Times New Roman" w:hAnsi="Times New Roman"/>
          <w:sz w:val="18"/>
          <w:szCs w:val="18"/>
          <w:color w:val="auto"/>
        </w:rPr>
        <w:t>We believe that we and our Board benefit from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 when considering whether to recommend the nomination of any particular director candidate.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3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Board Diversity Matrix (as of April 25, 2025)</w:t>
            </w:r>
          </w:p>
        </w:tc>
        <w:tc>
          <w:tcPr>
            <w:tcW w:w="1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41"/>
        </w:trPr>
        <w:tc>
          <w:tcPr>
            <w:tcW w:w="3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ind w:left="1370"/>
              <w:spacing w:after="0"/>
              <w:rPr>
                <w:sz w:val="20"/>
                <w:szCs w:val="20"/>
                <w:color w:val="auto"/>
              </w:rPr>
            </w:pPr>
            <w:r>
              <w:rPr>
                <w:rFonts w:ascii="Times New Roman" w:cs="Times New Roman" w:eastAsia="Times New Roman" w:hAnsi="Times New Roman"/>
                <w:sz w:val="18"/>
                <w:szCs w:val="18"/>
                <w:color w:val="auto"/>
              </w:rPr>
              <w:t>Female</w:t>
            </w:r>
          </w:p>
        </w:tc>
        <w:tc>
          <w:tcPr>
            <w:tcW w:w="13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Male</w:t>
            </w: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Non-Binary</w:t>
            </w:r>
          </w:p>
        </w:tc>
        <w:tc>
          <w:tcPr>
            <w:tcW w:w="2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Did Not Disclose Gender</w:t>
            </w:r>
          </w:p>
        </w:tc>
      </w:tr>
      <w:tr>
        <w:trPr>
          <w:trHeight w:val="191"/>
        </w:trPr>
        <w:tc>
          <w:tcPr>
            <w:tcW w:w="37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Gender:</w:t>
            </w:r>
          </w:p>
        </w:tc>
        <w:tc>
          <w:tcPr>
            <w:tcW w:w="2240" w:type="dxa"/>
            <w:vAlign w:val="bottom"/>
          </w:tcPr>
          <w:p>
            <w:pPr>
              <w:jc w:val="center"/>
              <w:ind w:left="137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34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88"/>
              </w:rPr>
              <w:t>0</w:t>
            </w:r>
          </w:p>
        </w:tc>
      </w:tr>
      <w:tr>
        <w:trPr>
          <w:trHeight w:val="229"/>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Demographic Background:</w:t>
            </w:r>
          </w:p>
        </w:tc>
        <w:tc>
          <w:tcPr>
            <w:tcW w:w="2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Asian</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Hispanic or Latinx</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LGBTQ+</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2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w:t>
            </w:r>
          </w:p>
        </w:tc>
        <w:tc>
          <w:tcPr>
            <w:tcW w:w="2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16(a) Beneficial Ownership Reporting Compliance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2024, we believe that each person who, at any time during such fiscal year was a director, officer, or beneficial owner of more than 10% of our common stock complied with all Section 16(a) filing requirements during such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of Ethics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adopted a code of ethics that applies to our Board of Directors, executive officers, and employees. The Company's Code of Ethics is posted on our website at www.clearone.com.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Policies and Procedures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adopted a Statement of Policy Regarding Compliance with Insider Trading Laws (the "Insider Trading Policy) that establishes policies and procedures governing the purchase, sale, and/or other dispositions 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Interim Chief Financial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Nomination Procedures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changes have been made to the procedures by which our shareholders may recommend nominees to our Board of Directors.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Audit and Compliance Committee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Position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 Since</w:t>
            </w:r>
          </w:p>
        </w:tc>
      </w:tr>
      <w:tr>
        <w:trPr>
          <w:trHeight w:val="209"/>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L. Graham</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Derek L. Graham is our Chief Executive Officer. He was appointed as Interim CEO in May 2022 and was confirmed as the permanent CEO in 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Simon Brewer was appointed as Chief Financial Officer of ClearOne Inc. in April 2024, bringing over 25 years of experience in finance, operations, and leadership across technology, manufacturing, e-commerce, biotech, and non-profit sectors. He oversees the company’s finance and accounting functions, helping drive strategic initiatives to position ClearOne for scalable growth. Prior to ClearOne, Mr. Brewer was CFO and COO at an international non-profit dedicated to eradicating human trafficking (2021–2024), and CFO at Predictive Technology Group Inc. (2018–2021), leading its transition to a public company. He also held CFO roles at Norbest LLC (2016–2018) and senior finance and IT positions at Wilson Electronics (2013– 2016) and Backcountry.com (2009–2013), consistently achieving revenue growth and operational efficiencies. Mr. Brewer transitioned to a dedicated accounting career at KPMG LLP (2005–2009), managing audits and advisory for high-profile clients, after beginning his career in 1999 as a programmer and accountant at Prospect Planet Dotcom. He holds a Master of Accounting and a Bachelor of Arts in Accounting (Cum Laude) with a Minor in Russian from the University of Utah and is a Certified Public Accountant (CPA) in Utah and Nevada and a Chartered Global Management Accountant (CGMA).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000" w:type="dxa"/>
            <w:vAlign w:val="bottom"/>
            <w:gridSpan w:val="8"/>
          </w:tcPr>
          <w:p>
            <w:pPr>
              <w:ind w:left="54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Option</w:t>
            </w: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Non-Equity</w:t>
            </w:r>
          </w:p>
        </w:tc>
        <w:tc>
          <w:tcPr>
            <w:tcW w:w="140" w:type="dxa"/>
            <w:vAlign w:val="bottom"/>
          </w:tcPr>
          <w:p>
            <w:pPr>
              <w:spacing w:after="0"/>
              <w:rPr>
                <w:sz w:val="24"/>
                <w:szCs w:val="2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Incentive Plan</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Salary</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Awards</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Derek Graham, Chief Executive Officer </w:t>
            </w:r>
            <w:r>
              <w:rPr>
                <w:rFonts w:ascii="Times New Roman" w:cs="Times New Roman" w:eastAsia="Times New Roman" w:hAnsi="Times New Roman"/>
                <w:sz w:val="23"/>
                <w:szCs w:val="23"/>
                <w:color w:val="auto"/>
                <w:vertAlign w:val="superscript"/>
              </w:rPr>
              <w:t>(1)</w:t>
            </w: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238,621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line="216" w:lineRule="exact"/>
              <w:rPr>
                <w:sz w:val="20"/>
                <w:szCs w:val="20"/>
                <w:color w:val="auto"/>
              </w:rPr>
            </w:pPr>
            <w:r>
              <w:rPr>
                <w:rFonts w:ascii="Times New Roman" w:cs="Times New Roman" w:eastAsia="Times New Roman" w:hAnsi="Times New Roman"/>
                <w:sz w:val="18"/>
                <w:szCs w:val="18"/>
                <w:color w:val="auto"/>
              </w:rPr>
              <w:t>20,096</w:t>
            </w:r>
            <w:r>
              <w:rPr>
                <w:rFonts w:ascii="Times New Roman" w:cs="Times New Roman" w:eastAsia="Times New Roman" w:hAnsi="Times New Roman"/>
                <w:sz w:val="23"/>
                <w:szCs w:val="23"/>
                <w:color w:val="auto"/>
                <w:vertAlign w:val="superscript"/>
              </w:rPr>
              <w:t>(3)</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283,053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line="216"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366,047</w:t>
            </w:r>
          </w:p>
        </w:tc>
        <w:tc>
          <w:tcPr>
            <w:tcW w:w="0" w:type="dxa"/>
            <w:vAlign w:val="bottom"/>
          </w:tcPr>
          <w:p>
            <w:pPr>
              <w:spacing w:after="0"/>
              <w:rPr>
                <w:sz w:val="1"/>
                <w:szCs w:val="1"/>
                <w:color w:val="auto"/>
              </w:rPr>
            </w:pP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Simon Brewer - Chief Financial Officer </w:t>
            </w:r>
            <w:r>
              <w:rPr>
                <w:rFonts w:ascii="Times New Roman" w:cs="Times New Roman" w:eastAsia="Times New Roman" w:hAnsi="Times New Roman"/>
                <w:sz w:val="23"/>
                <w:szCs w:val="23"/>
                <w:color w:val="auto"/>
                <w:vertAlign w:val="superscript"/>
              </w:rPr>
              <w:t>(2)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193,846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234,406</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Derek L. Graham was appointed as Interim CEO on May 24, 2022 and became permanent CEO on Jan 26, 2023.</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Brewer was appointed Chief Financial Officer on April 15,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reflect achievement of specific performance metrics approved by the Compensation Committee.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OUTSTANDING EQUITY AWARDS AT FISCAL YEAR-END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Number of Securities Underlying</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Unexercised Options</w:t>
            </w:r>
          </w:p>
        </w:tc>
        <w:tc>
          <w:tcPr>
            <w:tcW w:w="2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Option Exercise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Option Grant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Option</w:t>
            </w:r>
          </w:p>
        </w:tc>
      </w:tr>
      <w:tr>
        <w:trPr>
          <w:trHeight w:val="20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Exercisable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Unexercisable</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 ($)</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Date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10"/>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Derek Graham</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06-15-2023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06-15-2029</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60,000</w:t>
            </w:r>
            <w:r>
              <w:rPr>
                <w:rFonts w:ascii="Times New Roman" w:cs="Times New Roman" w:eastAsia="Times New Roman" w:hAnsi="Times New Roman"/>
                <w:sz w:val="23"/>
                <w:szCs w:val="23"/>
                <w:color w:val="auto"/>
                <w:vertAlign w:val="superscript"/>
              </w:rPr>
              <w:t>(2)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11-27-2024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11-26-2030</w:t>
            </w:r>
          </w:p>
        </w:tc>
        <w:tc>
          <w:tcPr>
            <w:tcW w:w="100" w:type="dxa"/>
            <w:vAlign w:val="bottom"/>
            <w:shd w:val="clear" w:color="auto" w:fill="CCEEFF"/>
          </w:tcPr>
          <w:p>
            <w:pPr>
              <w:spacing w:after="0"/>
              <w:rPr>
                <w:sz w:val="18"/>
                <w:szCs w:val="18"/>
                <w:color w:val="auto"/>
              </w:rPr>
            </w:pPr>
          </w:p>
        </w:tc>
      </w:tr>
      <w:tr>
        <w:trPr>
          <w:trHeight w:val="31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3"/>
                <w:szCs w:val="23"/>
                <w:color w:val="auto"/>
                <w:vertAlign w:val="superscript"/>
              </w:rPr>
              <w:t>(2)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0.490</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11-27-2024</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11-26-2030</w:t>
            </w:r>
          </w:p>
        </w:tc>
        <w:tc>
          <w:tcPr>
            <w:tcW w:w="100" w:type="dxa"/>
            <w:vAlign w:val="bottom"/>
          </w:tcPr>
          <w:p>
            <w:pPr>
              <w:spacing w:after="0"/>
              <w:rPr>
                <w:sz w:val="24"/>
                <w:szCs w:val="24"/>
                <w:color w:val="auto"/>
              </w:rPr>
            </w:pPr>
          </w:p>
        </w:tc>
      </w:tr>
    </w:tbl>
    <w:p>
      <w:pPr>
        <w:spacing w:after="0" w:line="99" w:lineRule="exact"/>
        <w:rPr>
          <w:sz w:val="20"/>
          <w:szCs w:val="20"/>
          <w:color w:val="auto"/>
        </w:rPr>
      </w:pPr>
    </w:p>
    <w:p>
      <w:pPr>
        <w:ind w:left="360" w:right="20" w:hanging="343"/>
        <w:spacing w:after="0" w:line="261"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ind w:left="360" w:hanging="343"/>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underlying each stock option vest on the first anniversary of the grant date or upon a change of control; whichever occurs first.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ind w:left="3900"/>
        <w:spacing w:after="0"/>
        <w:rPr>
          <w:sz w:val="20"/>
          <w:szCs w:val="20"/>
          <w:color w:val="auto"/>
        </w:rPr>
      </w:pPr>
      <w:r>
        <w:rPr>
          <w:rFonts w:ascii="Times New Roman" w:cs="Times New Roman" w:eastAsia="Times New Roman" w:hAnsi="Times New Roman"/>
          <w:sz w:val="18"/>
          <w:szCs w:val="18"/>
          <w:color w:val="auto"/>
        </w:rPr>
        <w:t>OPTION EXERCISES AND STOCK VESTED</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Payments Upon Termination or Change in Control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Employment Agreements. As of the year ended December 31, 2024, none of our named executive officers was party to an employment or severance agreement with us, and each named executive officer’s employment was on an “at-will” basis, permitting either us or the executive to terminate his or her employment for any reason or for no reason.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Accelerated Stock Option Vesting Upon a Change in Control. For certain option grants to executive officers and directors, in the event of a change in control, all of such optionee’s unvested stock options will vest and become exercisable immediately prior to the event or the closing of the transaction causing the change in control.</w:t>
      </w:r>
    </w:p>
    <w:p>
      <w:pPr>
        <w:spacing w:after="0" w:line="176" w:lineRule="exact"/>
        <w:rPr>
          <w:sz w:val="20"/>
          <w:szCs w:val="20"/>
          <w:color w:val="auto"/>
        </w:rPr>
      </w:pPr>
    </w:p>
    <w:p>
      <w:pPr>
        <w:jc w:val="both"/>
        <w:ind w:firstLine="693"/>
        <w:spacing w:after="0" w:line="282" w:lineRule="auto"/>
        <w:rPr>
          <w:sz w:val="20"/>
          <w:szCs w:val="20"/>
          <w:color w:val="auto"/>
        </w:rPr>
      </w:pPr>
      <w:r>
        <w:rPr>
          <w:rFonts w:ascii="Times New Roman" w:cs="Times New Roman" w:eastAsia="Times New Roman" w:hAnsi="Times New Roman"/>
          <w:sz w:val="18"/>
          <w:szCs w:val="18"/>
          <w:color w:val="auto"/>
        </w:rPr>
        <w:t>Under the option grants, a “Change in Control” means a change in ownership or control of the Company effected through either of the following transactions:</w:t>
      </w:r>
    </w:p>
    <w:p>
      <w:pPr>
        <w:spacing w:after="0" w:line="162" w:lineRule="exact"/>
        <w:rPr>
          <w:sz w:val="20"/>
          <w:szCs w:val="20"/>
          <w:color w:val="auto"/>
        </w:rPr>
      </w:pPr>
    </w:p>
    <w:p>
      <w:pPr>
        <w:jc w:val="both"/>
        <w:ind w:left="660" w:hanging="4"/>
        <w:spacing w:after="0" w:line="261" w:lineRule="auto"/>
        <w:tabs>
          <w:tab w:leader="none" w:pos="8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our stock price of about $[0.5325] per share on April 25, 2025, none of our named executive officers would benefit from any potential accelerated vesting of unvested stock options.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900" w:type="dxa"/>
            <w:vAlign w:val="bottom"/>
            <w:gridSpan w:val="5"/>
          </w:tcPr>
          <w:p>
            <w:pPr>
              <w:ind w:left="1520"/>
              <w:spacing w:after="0"/>
              <w:rPr>
                <w:sz w:val="20"/>
                <w:szCs w:val="20"/>
                <w:color w:val="auto"/>
              </w:rPr>
            </w:pPr>
            <w:r>
              <w:rPr>
                <w:rFonts w:ascii="Times New Roman" w:cs="Times New Roman" w:eastAsia="Times New Roman" w:hAnsi="Times New Roman"/>
                <w:sz w:val="18"/>
                <w:szCs w:val="18"/>
                <w:color w:val="auto"/>
              </w:rPr>
              <w:t>DIRECTOR COMPENSATION</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non-employee directors for the year ended December 31, 2024.</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Fees Earned or</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Paid in Cash</w:t>
            </w:r>
          </w:p>
        </w:tc>
        <w:tc>
          <w:tcPr>
            <w:tcW w:w="1600" w:type="dxa"/>
            <w:vAlign w:val="bottom"/>
            <w:gridSpan w:val="4"/>
          </w:tcPr>
          <w:p>
            <w:pPr>
              <w:jc w:val="right"/>
              <w:ind w:right="336"/>
              <w:spacing w:after="0"/>
              <w:rPr>
                <w:sz w:val="20"/>
                <w:szCs w:val="20"/>
                <w:color w:val="auto"/>
              </w:rPr>
            </w:pPr>
            <w:r>
              <w:rPr>
                <w:rFonts w:ascii="Times New Roman" w:cs="Times New Roman" w:eastAsia="Times New Roman" w:hAnsi="Times New Roman"/>
                <w:sz w:val="18"/>
                <w:szCs w:val="18"/>
                <w:color w:val="auto"/>
              </w:rPr>
              <w:t>Option Awards</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40" w:type="dxa"/>
            <w:vAlign w:val="bottom"/>
          </w:tcPr>
          <w:p>
            <w:pPr>
              <w:spacing w:after="0"/>
              <w:rPr>
                <w:sz w:val="18"/>
                <w:szCs w:val="18"/>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140" w:type="dxa"/>
            <w:vAlign w:val="bottom"/>
            <w:shd w:val="clear" w:color="auto" w:fill="CCEEFF"/>
          </w:tcPr>
          <w:p>
            <w:pPr>
              <w:spacing w:after="0"/>
              <w:rPr>
                <w:sz w:val="18"/>
                <w:szCs w:val="18"/>
                <w:color w:val="auto"/>
              </w:rPr>
            </w:pP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40" w:type="dxa"/>
            <w:vAlign w:val="bottom"/>
          </w:tcPr>
          <w:p>
            <w:pPr>
              <w:spacing w:after="0"/>
              <w:rPr>
                <w:sz w:val="18"/>
                <w:szCs w:val="18"/>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 Bagley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directors are reimbursed by the Company for their out-of-pocket travel and related expenses, if any, incurred in attending all Board of Directors and committee meetings. However, during 2024 no expenses were reimbursed to any director.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Transactions: Consulting Agreement with Edward D. Bagley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2024, he was paid $65,000 as consulting fees. During 2024, he did not receive any grant of 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Independence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and Compliance Committee, a Compensation Committee, a Nominating Committee, and a Special Transaction Committee, each consisting entirely of independent directors.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AUDIT AND COMPLIANCE COMMITTEE REPORT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and Compliance Committee of the Board of Directors is comprised of three directors, all of whom are independent as defined in NASDAQ and SEC rules and regulations. The members of the Audit and Compliance Committee are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an opinion on the conformity of the Company’s 2024 audited financial statements to accounting principles generally accepted in the United States of America.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context, the Audit and Compliance Committee hereby reports as follows:</w:t>
      </w:r>
    </w:p>
    <w:p>
      <w:pPr>
        <w:spacing w:after="0" w:line="225" w:lineRule="exact"/>
        <w:rPr>
          <w:sz w:val="20"/>
          <w:szCs w:val="20"/>
          <w:color w:val="auto"/>
        </w:rPr>
      </w:pPr>
    </w:p>
    <w:p>
      <w:pPr>
        <w:jc w:val="both"/>
        <w:ind w:firstLine="656"/>
        <w:spacing w:after="0" w:line="266" w:lineRule="auto"/>
        <w:tabs>
          <w:tab w:leader="none" w:pos="9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reviewed and discussed the 2024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Company's independent registered public accountants the matters required to be discussed by the applicable requirements of the Public Company Accounting Oversight Board and the Securities and Exchange Commission;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66" w:lineRule="exact"/>
        <w:rPr>
          <w:rFonts w:ascii="Times New Roman" w:cs="Times New Roman" w:eastAsia="Times New Roman" w:hAnsi="Times New Roman"/>
          <w:sz w:val="18"/>
          <w:szCs w:val="18"/>
          <w:color w:val="auto"/>
        </w:rPr>
      </w:pPr>
    </w:p>
    <w:p>
      <w:pPr>
        <w:jc w:val="both"/>
        <w:ind w:firstLine="656"/>
        <w:spacing w:after="0" w:line="266" w:lineRule="auto"/>
        <w:tabs>
          <w:tab w:leader="none" w:pos="9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year ended December 31, 2024, which were filed with the Securities and Exchange Commission on March 28,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Eric L. Robinson (Chair), Larry R. Hendricks and Bruce Whaley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PAY VERSUS PERFORMANCE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953(a) of the Dodd-Frank Act and Item 402(v) of SEC Regulation S-K, we are providing the following information about the relationship between executive “compensation actually paid” (or “CAP”), as defined by SEC rules, to the Company’s principal executive officer (“PEO”) and non-PEO named executive officer (the “Non-PEO NEOs”) and certain aspects of the financial performance of the Company. The Compensation Committee does not utilize CAP as the basis for making compensation decisions.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sets forth certain information regarding pay </w:t>
      </w:r>
      <w:r>
        <w:rPr>
          <w:rFonts w:ascii="Times New Roman" w:cs="Times New Roman" w:eastAsia="Times New Roman" w:hAnsi="Times New Roman"/>
          <w:sz w:val="18"/>
          <w:szCs w:val="18"/>
          <w:color w:val="252525"/>
        </w:rPr>
        <w:t>versus performance</w:t>
      </w:r>
      <w:r>
        <w:rPr>
          <w:rFonts w:ascii="Times New Roman" w:cs="Times New Roman" w:eastAsia="Times New Roman" w:hAnsi="Times New Roman"/>
          <w:sz w:val="18"/>
          <w:szCs w:val="18"/>
          <w:color w:val="auto"/>
        </w:rPr>
        <w:t xml:space="preserve"> as of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Summary</w:t>
            </w:r>
          </w:p>
        </w:tc>
        <w:tc>
          <w:tcPr>
            <w:tcW w:w="140" w:type="dxa"/>
            <w:vAlign w:val="bottom"/>
          </w:tcPr>
          <w:p>
            <w:pPr>
              <w:spacing w:after="0"/>
              <w:rPr>
                <w:sz w:val="17"/>
                <w:szCs w:val="17"/>
                <w:color w:val="auto"/>
              </w:rPr>
            </w:pP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Compensation</w:t>
            </w:r>
          </w:p>
        </w:tc>
        <w:tc>
          <w:tcPr>
            <w:tcW w:w="14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60" w:type="dxa"/>
            <w:vAlign w:val="bottom"/>
          </w:tcPr>
          <w:p>
            <w:pPr>
              <w:spacing w:after="0"/>
              <w:rPr>
                <w:sz w:val="17"/>
                <w:szCs w:val="17"/>
                <w:color w:val="auto"/>
              </w:rPr>
            </w:pPr>
          </w:p>
        </w:tc>
        <w:tc>
          <w:tcPr>
            <w:tcW w:w="1280" w:type="dxa"/>
            <w:vAlign w:val="bottom"/>
            <w:gridSpan w:val="2"/>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auto"/>
              </w:rPr>
              <w:t>ClearOne</w:t>
            </w:r>
          </w:p>
        </w:tc>
        <w:tc>
          <w:tcPr>
            <w:tcW w:w="240" w:type="dxa"/>
            <w:vAlign w:val="bottom"/>
          </w:tcPr>
          <w:p>
            <w:pPr>
              <w:spacing w:after="0"/>
              <w:rPr>
                <w:sz w:val="17"/>
                <w:szCs w:val="17"/>
                <w:color w:val="auto"/>
              </w:rPr>
            </w:pPr>
          </w:p>
        </w:tc>
        <w:tc>
          <w:tcPr>
            <w:tcW w:w="1200" w:type="dxa"/>
            <w:vAlign w:val="bottom"/>
            <w:gridSpan w:val="2"/>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9"/>
              </w:rPr>
              <w:t>Compensation</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14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Actually Paid to</w:t>
            </w:r>
          </w:p>
        </w:tc>
        <w:tc>
          <w:tcPr>
            <w:tcW w:w="160" w:type="dxa"/>
            <w:vAlign w:val="bottom"/>
          </w:tcPr>
          <w:p>
            <w:pPr>
              <w:spacing w:after="0"/>
              <w:rPr>
                <w:sz w:val="17"/>
                <w:szCs w:val="17"/>
                <w:color w:val="auto"/>
              </w:rPr>
            </w:pPr>
          </w:p>
        </w:tc>
        <w:tc>
          <w:tcPr>
            <w:tcW w:w="128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tcPr>
          <w:p>
            <w:pPr>
              <w:spacing w:after="0"/>
              <w:rPr>
                <w:sz w:val="17"/>
                <w:szCs w:val="17"/>
                <w:color w:val="auto"/>
              </w:rPr>
            </w:pPr>
          </w:p>
        </w:tc>
        <w:tc>
          <w:tcPr>
            <w:tcW w:w="120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01"/>
        </w:trPr>
        <w:tc>
          <w:tcPr>
            <w:tcW w:w="250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color w:val="auto"/>
                <w:w w:val="95"/>
              </w:rPr>
              <w:t>Table Total</w:t>
            </w:r>
          </w:p>
        </w:tc>
        <w:tc>
          <w:tcPr>
            <w:tcW w:w="140" w:type="dxa"/>
            <w:vAlign w:val="bottom"/>
          </w:tcPr>
          <w:p>
            <w:pPr>
              <w:spacing w:after="0"/>
              <w:rPr>
                <w:sz w:val="17"/>
                <w:szCs w:val="17"/>
                <w:color w:val="auto"/>
              </w:rPr>
            </w:pPr>
          </w:p>
        </w:tc>
        <w:tc>
          <w:tcPr>
            <w:tcW w:w="132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color w:val="auto"/>
                <w:w w:val="99"/>
              </w:rPr>
              <w:t>Actually Paid</w:t>
            </w:r>
          </w:p>
        </w:tc>
        <w:tc>
          <w:tcPr>
            <w:tcW w:w="14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Non-PEO NEO</w:t>
            </w:r>
          </w:p>
        </w:tc>
        <w:tc>
          <w:tcPr>
            <w:tcW w:w="14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Non-PEO NEO</w:t>
            </w:r>
          </w:p>
        </w:tc>
        <w:tc>
          <w:tcPr>
            <w:tcW w:w="160" w:type="dxa"/>
            <w:vAlign w:val="bottom"/>
          </w:tcPr>
          <w:p>
            <w:pPr>
              <w:spacing w:after="0"/>
              <w:rPr>
                <w:sz w:val="17"/>
                <w:szCs w:val="17"/>
                <w:color w:val="auto"/>
              </w:rPr>
            </w:pPr>
          </w:p>
        </w:tc>
        <w:tc>
          <w:tcPr>
            <w:tcW w:w="128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rPr>
              <w:t>Shareholder</w:t>
            </w:r>
          </w:p>
        </w:tc>
        <w:tc>
          <w:tcPr>
            <w:tcW w:w="240" w:type="dxa"/>
            <w:vAlign w:val="bottom"/>
          </w:tcPr>
          <w:p>
            <w:pPr>
              <w:spacing w:after="0"/>
              <w:rPr>
                <w:sz w:val="17"/>
                <w:szCs w:val="17"/>
                <w:color w:val="auto"/>
              </w:rPr>
            </w:pPr>
          </w:p>
        </w:tc>
        <w:tc>
          <w:tcPr>
            <w:tcW w:w="120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color w:val="auto"/>
                <w:w w:val="99"/>
              </w:rPr>
              <w:t>(Loss)</w:t>
            </w:r>
          </w:p>
        </w:tc>
        <w:tc>
          <w:tcPr>
            <w:tcW w:w="0" w:type="dxa"/>
            <w:vAlign w:val="bottom"/>
          </w:tcPr>
          <w:p>
            <w:pPr>
              <w:spacing w:after="0"/>
              <w:rPr>
                <w:sz w:val="1"/>
                <w:szCs w:val="1"/>
                <w:color w:val="auto"/>
              </w:rPr>
            </w:pPr>
          </w:p>
        </w:tc>
      </w:tr>
      <w:tr>
        <w:trPr>
          <w:trHeight w:val="231"/>
        </w:trPr>
        <w:tc>
          <w:tcPr>
            <w:tcW w:w="2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20"/>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for PEO ($) </w:t>
            </w:r>
            <w:r>
              <w:rPr>
                <w:rFonts w:ascii="Times New Roman" w:cs="Times New Roman" w:eastAsia="Times New Roman" w:hAnsi="Times New Roman"/>
                <w:sz w:val="23"/>
                <w:szCs w:val="23"/>
                <w:b w:val="1"/>
                <w:bCs w:val="1"/>
                <w:color w:val="auto"/>
                <w:vertAlign w:val="superscript"/>
              </w:rPr>
              <w:t>(2)</w:t>
            </w:r>
          </w:p>
        </w:tc>
        <w:tc>
          <w:tcPr>
            <w:tcW w:w="140" w:type="dxa"/>
            <w:vAlign w:val="bottom"/>
          </w:tcPr>
          <w:p>
            <w:pPr>
              <w:spacing w:after="0"/>
              <w:rPr>
                <w:sz w:val="20"/>
                <w:szCs w:val="20"/>
                <w:color w:val="auto"/>
              </w:rPr>
            </w:pPr>
          </w:p>
        </w:tc>
        <w:tc>
          <w:tcPr>
            <w:tcW w:w="132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to PEO ($) </w:t>
            </w:r>
            <w:r>
              <w:rPr>
                <w:rFonts w:ascii="Times New Roman" w:cs="Times New Roman" w:eastAsia="Times New Roman" w:hAnsi="Times New Roman"/>
                <w:sz w:val="23"/>
                <w:szCs w:val="23"/>
                <w:b w:val="1"/>
                <w:bCs w:val="1"/>
                <w:color w:val="auto"/>
                <w:vertAlign w:val="superscript"/>
              </w:rPr>
              <w:t>(3)</w:t>
            </w:r>
          </w:p>
        </w:tc>
        <w:tc>
          <w:tcPr>
            <w:tcW w:w="140" w:type="dxa"/>
            <w:vAlign w:val="bottom"/>
          </w:tcPr>
          <w:p>
            <w:pPr>
              <w:spacing w:after="0"/>
              <w:rPr>
                <w:sz w:val="20"/>
                <w:szCs w:val="20"/>
                <w:color w:val="auto"/>
              </w:rPr>
            </w:pPr>
          </w:p>
        </w:tc>
        <w:tc>
          <w:tcPr>
            <w:tcW w:w="1200" w:type="dxa"/>
            <w:vAlign w:val="bottom"/>
          </w:tcPr>
          <w:p>
            <w:pPr>
              <w:jc w:val="center"/>
              <w:spacing w:after="0" w:line="231" w:lineRule="exact"/>
              <w:rPr>
                <w:sz w:val="20"/>
                <w:szCs w:val="20"/>
                <w:color w:val="auto"/>
              </w:rPr>
            </w:pPr>
            <w:r>
              <w:rPr>
                <w:rFonts w:ascii="Times New Roman" w:cs="Times New Roman" w:eastAsia="Times New Roman" w:hAnsi="Times New Roman"/>
                <w:sz w:val="16"/>
                <w:szCs w:val="16"/>
                <w:b w:val="1"/>
                <w:bCs w:val="1"/>
                <w:color w:val="auto"/>
                <w:w w:val="88"/>
              </w:rPr>
              <w:t xml:space="preserve">($) </w:t>
            </w:r>
            <w:r>
              <w:rPr>
                <w:rFonts w:ascii="Times New Roman" w:cs="Times New Roman" w:eastAsia="Times New Roman" w:hAnsi="Times New Roman"/>
                <w:sz w:val="23"/>
                <w:szCs w:val="23"/>
                <w:b w:val="1"/>
                <w:bCs w:val="1"/>
                <w:color w:val="auto"/>
                <w:w w:val="88"/>
                <w:vertAlign w:val="superscript"/>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spacing w:after="0" w:line="231" w:lineRule="exact"/>
              <w:rPr>
                <w:sz w:val="20"/>
                <w:szCs w:val="20"/>
                <w:color w:val="auto"/>
              </w:rPr>
            </w:pPr>
            <w:r>
              <w:rPr>
                <w:rFonts w:ascii="Times New Roman" w:cs="Times New Roman" w:eastAsia="Times New Roman" w:hAnsi="Times New Roman"/>
                <w:sz w:val="16"/>
                <w:szCs w:val="16"/>
                <w:b w:val="1"/>
                <w:bCs w:val="1"/>
                <w:color w:val="auto"/>
                <w:w w:val="93"/>
              </w:rPr>
              <w:t xml:space="preserve">($) </w:t>
            </w:r>
            <w:r>
              <w:rPr>
                <w:rFonts w:ascii="Times New Roman" w:cs="Times New Roman" w:eastAsia="Times New Roman" w:hAnsi="Times New Roman"/>
                <w:sz w:val="23"/>
                <w:szCs w:val="23"/>
                <w:b w:val="1"/>
                <w:bCs w:val="1"/>
                <w:color w:val="auto"/>
                <w:w w:val="93"/>
                <w:vertAlign w:val="superscript"/>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180"/>
              <w:spacing w:after="0" w:line="231" w:lineRule="exact"/>
              <w:rPr>
                <w:sz w:val="20"/>
                <w:szCs w:val="20"/>
                <w:color w:val="auto"/>
              </w:rPr>
            </w:pPr>
            <w:r>
              <w:rPr>
                <w:rFonts w:ascii="Times New Roman" w:cs="Times New Roman" w:eastAsia="Times New Roman" w:hAnsi="Times New Roman"/>
                <w:sz w:val="16"/>
                <w:szCs w:val="16"/>
                <w:b w:val="1"/>
                <w:bCs w:val="1"/>
                <w:color w:val="auto"/>
                <w:w w:val="96"/>
              </w:rPr>
              <w:t xml:space="preserve">Return ($) </w:t>
            </w:r>
            <w:r>
              <w:rPr>
                <w:rFonts w:ascii="Times New Roman" w:cs="Times New Roman" w:eastAsia="Times New Roman" w:hAnsi="Times New Roman"/>
                <w:sz w:val="23"/>
                <w:szCs w:val="23"/>
                <w:b w:val="1"/>
                <w:bCs w:val="1"/>
                <w:color w:val="auto"/>
                <w:w w:val="96"/>
                <w:vertAlign w:val="superscript"/>
              </w:rPr>
              <w:t>(4)</w:t>
            </w:r>
          </w:p>
        </w:tc>
        <w:tc>
          <w:tcPr>
            <w:tcW w:w="240" w:type="dxa"/>
            <w:vAlign w:val="bottom"/>
          </w:tcPr>
          <w:p>
            <w:pPr>
              <w:spacing w:after="0"/>
              <w:rPr>
                <w:sz w:val="20"/>
                <w:szCs w:val="20"/>
                <w:color w:val="auto"/>
              </w:rPr>
            </w:pPr>
          </w:p>
        </w:tc>
        <w:tc>
          <w:tcPr>
            <w:tcW w:w="1100" w:type="dxa"/>
            <w:vAlign w:val="bottom"/>
          </w:tcPr>
          <w:p>
            <w:pPr>
              <w:jc w:val="center"/>
              <w:ind w:right="51"/>
              <w:spacing w:after="0" w:line="231" w:lineRule="exact"/>
              <w:rPr>
                <w:sz w:val="20"/>
                <w:szCs w:val="20"/>
                <w:color w:val="auto"/>
              </w:rPr>
            </w:pPr>
            <w:r>
              <w:rPr>
                <w:rFonts w:ascii="Times New Roman" w:cs="Times New Roman" w:eastAsia="Times New Roman" w:hAnsi="Times New Roman"/>
                <w:sz w:val="16"/>
                <w:szCs w:val="16"/>
                <w:b w:val="1"/>
                <w:bCs w:val="1"/>
                <w:color w:val="auto"/>
                <w:w w:val="92"/>
              </w:rPr>
              <w:t xml:space="preserve">($000) </w:t>
            </w:r>
            <w:r>
              <w:rPr>
                <w:rFonts w:ascii="Times New Roman" w:cs="Times New Roman" w:eastAsia="Times New Roman" w:hAnsi="Times New Roman"/>
                <w:sz w:val="23"/>
                <w:szCs w:val="23"/>
                <w:b w:val="1"/>
                <w:bCs w:val="1"/>
                <w:color w:val="auto"/>
                <w:w w:val="92"/>
                <w:vertAlign w:val="superscript"/>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283,053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96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366,047</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366,476</w:t>
            </w: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364,940</w:t>
            </w: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324,129</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557,277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532,457</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222,409</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20,556</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auto"/>
            </w:tcBorders>
          </w:tcPr>
          <w:p>
            <w:pPr>
              <w:jc w:val="right"/>
              <w:ind w:right="2050"/>
              <w:spacing w:after="0"/>
              <w:rPr>
                <w:sz w:val="20"/>
                <w:szCs w:val="20"/>
                <w:color w:val="auto"/>
              </w:rPr>
            </w:pPr>
            <w:r>
              <w:rPr>
                <w:rFonts w:ascii="Times New Roman" w:cs="Times New Roman" w:eastAsia="Times New Roman" w:hAnsi="Times New Roman"/>
                <w:sz w:val="18"/>
                <w:szCs w:val="18"/>
                <w:color w:val="auto"/>
                <w:w w:val="94"/>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418,750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378,848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251,625</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227,684</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80" w:right="20" w:hanging="454"/>
        <w:spacing w:after="0" w:line="260"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Zeynep Hakimoglu served as PEO in and in 2022 till May 24, 2022, when her employment with ClearOne was terminated. Derek L. Graham served as PEO for the remaining part of 2022 and continued in the role for 2023 and 2024. Narsi Narayanan was our only Non-PEO NEO for 2021, 2022, 2023, and 2024 until his resignation effective March 1, 2024. Simon Brewer served as the Non-PEO NEO starting April 17, 2024.</w:t>
      </w:r>
    </w:p>
    <w:p>
      <w:pPr>
        <w:spacing w:after="0" w:line="2" w:lineRule="exact"/>
        <w:rPr>
          <w:rFonts w:ascii="Times New Roman" w:cs="Times New Roman" w:eastAsia="Times New Roman" w:hAnsi="Times New Roman"/>
          <w:sz w:val="18"/>
          <w:szCs w:val="18"/>
          <w:color w:val="auto"/>
        </w:rPr>
      </w:pPr>
    </w:p>
    <w:p>
      <w:pPr>
        <w:jc w:val="both"/>
        <w:ind w:left="440" w:right="20" w:hanging="414"/>
        <w:spacing w:after="0" w:line="260"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(i) the total compensation reported in the Summary Compensation Table (“SCT”) for the applicable years in the case of our PEOs, Zeynep Hakimoglu and Derek Graham, and (ii) total compensation reported in the SCT for the applicable years for Narsi Narayana and Simon Brewer, our only Non-PEO NEOs for the applicable years.</w:t>
      </w:r>
    </w:p>
    <w:p>
      <w:pPr>
        <w:spacing w:after="0" w:line="2" w:lineRule="exact"/>
        <w:rPr>
          <w:rFonts w:ascii="Times New Roman" w:cs="Times New Roman" w:eastAsia="Times New Roman" w:hAnsi="Times New Roman"/>
          <w:sz w:val="18"/>
          <w:szCs w:val="18"/>
          <w:color w:val="auto"/>
        </w:rPr>
      </w:pPr>
    </w:p>
    <w:p>
      <w:pPr>
        <w:ind w:left="440" w:right="20" w:hanging="414"/>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compensation actually paid; adjustments were made to the amounts reported in the SCT for the applicable year.</w:t>
      </w:r>
    </w:p>
    <w:p>
      <w:pPr>
        <w:ind w:left="440" w:right="40" w:hanging="414"/>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cumulative for the measurement periods beginning on December 31, 2020 and ending on December 31 of each of 2024, 2023, 2022 and 2021, respectively, calculated in accordance with Item 201(e) of Regulation S-K.</w:t>
      </w:r>
    </w:p>
    <w:p>
      <w:pPr>
        <w:ind w:left="440" w:right="40" w:hanging="414"/>
        <w:spacing w:after="0" w:line="282"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a2021mount of net income (loss) attributable to common stockholders reflected in our audited Consolidated Financial Statements included in our 2024 and 2022 Annual Reports on Form 10-K, respectively.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the adjustments for PEOs (Zeynep Hakimoglu and Derek L. Graham) and for Non-PEO NEOs (Narsi Narayanan and Simon Brewer) is set forth in the following table, which describes the adjustments, each of which is prescribed by the SEC rules, to calculate the CAP from SCT amounts. Equity values are calculated in accordance with FASB ASC 718.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1"/>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Non-PEO</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Non-PEO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Non-PEO</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Non-PEO</w:t>
            </w:r>
          </w:p>
        </w:tc>
      </w:tr>
      <w:tr>
        <w:trPr>
          <w:trHeight w:val="238"/>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PEO</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NEO</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PEO</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NEO</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PEO</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NEO</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NEO</w:t>
            </w: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Summary Compensation Table Total</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313,016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557,277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418,750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251,625</w:t>
            </w: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Grant Date Fair Value of Option Awards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Fiscal Year</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Fair Value at Fiscal Year End of</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Option Awards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in Fiscal Year</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 in Fair Value of Outstanding and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Option Awards Granted in Prior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Years</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r>
      <w:tr>
        <w:trPr>
          <w:trHeight w:val="21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Fair Value at Vesting of Option Awards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in Fiscal Year that Vested During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Change in Fair Value as of Vesting Date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Option Awards Granted in Prior Fiscal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For Which Applicable Vesting</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Were Satisfied During Fiscal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r>
      <w:tr>
        <w:trPr>
          <w:trHeight w:val="21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Fair Value as of Prior Fiscal Year End of</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Option Awards Granted in Prior Fiscal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That Failed to Meet Applicable Vesting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Conditions During Fiscal Year</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Value of Dividends or other Earnings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on Stock or Option Awards Not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Otherwise Reflected in Fair Value or Total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for the Fiscal Year</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301,654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346,567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366,476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532,457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378,848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227,684</w:t>
            </w:r>
          </w:p>
        </w:tc>
      </w:tr>
    </w:tbl>
    <w:p>
      <w:pPr>
        <w:spacing w:after="0" w:line="211" w:lineRule="exact"/>
        <w:rPr>
          <w:sz w:val="20"/>
          <w:szCs w:val="20"/>
          <w:color w:val="auto"/>
        </w:rPr>
      </w:pPr>
    </w:p>
    <w:p>
      <w:pPr>
        <w:ind w:left="480" w:hanging="454"/>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equity values are computed in accordance with the methodology used for financial reporting purposes.</w:t>
      </w:r>
    </w:p>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402(v) of SEC Regulation S-K, we are providing the following graphic descriptions of the relationships between information presented in the pay versus performance table provided above.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Relationship Between CAP and Total Shareholder Return (“TSR”)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 below reflects the relationship between the PEO and Non-PEO NEO CAP and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154305</wp:posOffset>
            </wp:positionV>
            <wp:extent cx="5743575" cy="267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35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Between CAP and Net Income (Loss)</w:t>
      </w:r>
    </w:p>
    <w:p>
      <w:pPr>
        <w:spacing w:after="0" w:line="2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9"/>
          <w:szCs w:val="9"/>
          <w:color w:val="auto"/>
        </w:rPr>
        <w:t>1</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 below reflects the relationship between the PEO and Non-PEO NEO CAP and Net Income (Loss)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154305</wp:posOffset>
            </wp:positionV>
            <wp:extent cx="5743575" cy="2606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435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40" w:right="839" w:hanging="5514"/>
        <w:spacing w:after="0" w:line="579" w:lineRule="auto"/>
        <w:tabs>
          <w:tab w:leader="none" w:pos="4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net income (loss) reported in the Company’s audited financial statements for the applicable year.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March 28, 2025, except as otherwise stated, by</w:t>
      </w:r>
    </w:p>
    <w:p>
      <w:pPr>
        <w:spacing w:after="0" w:line="27" w:lineRule="exact"/>
        <w:rPr>
          <w:sz w:val="20"/>
          <w:szCs w:val="20"/>
          <w:color w:val="auto"/>
        </w:rPr>
      </w:pPr>
    </w:p>
    <w:p>
      <w:pPr>
        <w:ind w:firstLine="8"/>
        <w:spacing w:after="0" w:line="260" w:lineRule="auto"/>
        <w:tabs>
          <w:tab w:leader="none" w:pos="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Shares Beneficially Owned</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Shares that</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Currently</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could be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Currently</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Owned Percent</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acquired within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4"/>
            <w:vMerge w:val="restart"/>
          </w:tcPr>
          <w:p>
            <w:pPr>
              <w:ind w:left="900"/>
              <w:spacing w:after="0"/>
              <w:rPr>
                <w:sz w:val="20"/>
                <w:szCs w:val="20"/>
                <w:color w:val="auto"/>
              </w:rPr>
            </w:pPr>
            <w:r>
              <w:rPr>
                <w:rFonts w:ascii="Times New Roman" w:cs="Times New Roman" w:eastAsia="Times New Roman" w:hAnsi="Times New Roman"/>
                <w:sz w:val="18"/>
                <w:szCs w:val="18"/>
                <w:color w:val="auto"/>
              </w:rPr>
              <w:t xml:space="preserve">Name of Beneficial Owner </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26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60 days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29"/>
        </w:trPr>
        <w:tc>
          <w:tcPr>
            <w:tcW w:w="4020" w:type="dxa"/>
            <w:vAlign w:val="bottom"/>
            <w:gridSpan w:val="4"/>
            <w:vMerge w:val="continue"/>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(A)</w:t>
            </w: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(B)</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89"/>
        </w:trPr>
        <w:tc>
          <w:tcPr>
            <w:tcW w:w="39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Directors and Executive Officers:</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Derek L. Graham</w:t>
            </w:r>
          </w:p>
        </w:tc>
        <w:tc>
          <w:tcPr>
            <w:tcW w:w="1600" w:type="dxa"/>
            <w:vAlign w:val="bottom"/>
            <w:tcBorders>
              <w:top w:val="single" w:sz="8" w:color="CCEEFF"/>
            </w:tcBorders>
            <w:gridSpan w:val="2"/>
          </w:tcPr>
          <w:p>
            <w:pPr>
              <w:spacing w:after="0"/>
              <w:rPr>
                <w:sz w:val="19"/>
                <w:szCs w:val="19"/>
                <w:color w:val="auto"/>
              </w:rPr>
            </w:pPr>
          </w:p>
        </w:tc>
        <w:tc>
          <w:tcPr>
            <w:tcW w:w="14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5,260</w:t>
            </w:r>
          </w:p>
        </w:tc>
        <w:tc>
          <w:tcPr>
            <w:tcW w:w="15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14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w:t>
            </w:r>
          </w:p>
        </w:tc>
        <w:tc>
          <w:tcPr>
            <w:tcW w:w="14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32,760</w:t>
            </w:r>
          </w:p>
        </w:tc>
        <w:tc>
          <w:tcPr>
            <w:tcW w:w="14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9"/>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13,048</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53,048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4020" w:type="dxa"/>
            <w:vAlign w:val="bottom"/>
            <w:gridSpan w:val="4"/>
          </w:tcPr>
          <w:p>
            <w:pPr>
              <w:spacing w:after="0" w:line="216" w:lineRule="exact"/>
              <w:rPr>
                <w:sz w:val="20"/>
                <w:szCs w:val="20"/>
                <w:color w:val="auto"/>
              </w:rPr>
            </w:pPr>
            <w:r>
              <w:rPr>
                <w:rFonts w:ascii="Times New Roman" w:cs="Times New Roman" w:eastAsia="Times New Roman" w:hAnsi="Times New Roman"/>
                <w:sz w:val="18"/>
                <w:szCs w:val="18"/>
                <w:color w:val="auto"/>
              </w:rPr>
              <w:t>Lisa B. Higley</w:t>
            </w:r>
            <w:r>
              <w:rPr>
                <w:rFonts w:ascii="Times New Roman" w:cs="Times New Roman" w:eastAsia="Times New Roman" w:hAnsi="Times New Roman"/>
                <w:sz w:val="23"/>
                <w:szCs w:val="23"/>
                <w:color w:val="auto"/>
                <w:vertAlign w:val="superscript"/>
              </w:rPr>
              <w:t>(3)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24,051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38,333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38,398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9"/>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3"/>
        </w:trPr>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Brewer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44,424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125,833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170,257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189"/>
        </w:trPr>
        <w:tc>
          <w:tcPr>
            <w:tcW w:w="4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5% Shareholders:</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Edward D. Bagley </w:t>
            </w:r>
            <w:r>
              <w:rPr>
                <w:rFonts w:ascii="Times New Roman" w:cs="Times New Roman" w:eastAsia="Times New Roman" w:hAnsi="Times New Roman"/>
                <w:sz w:val="23"/>
                <w:szCs w:val="23"/>
                <w:color w:val="auto"/>
                <w:vertAlign w:val="superscript"/>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12,590,528</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723,628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13,314,156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40" w:hanging="330"/>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94" w:lineRule="exact"/>
        <w:rPr>
          <w:rFonts w:ascii="Times New Roman" w:cs="Times New Roman" w:eastAsia="Times New Roman" w:hAnsi="Times New Roman"/>
          <w:sz w:val="18"/>
          <w:szCs w:val="18"/>
          <w:color w:val="auto"/>
        </w:rPr>
      </w:pPr>
    </w:p>
    <w:p>
      <w:pPr>
        <w:jc w:val="both"/>
        <w:ind w:left="340" w:hanging="330"/>
        <w:spacing w:after="0" w:line="25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shares of common stock outstanding on March 27, 2025. The numbers shown in Column (D) and percentages shown in Column (E) include the shares of common stock actually owned as of March 27, 2025 and the shares of common stock that the identified person or group had the right to acquire within 60 days of such date. In calculating the percentage of ownership, all shares of common stock that each identified person or group had the right to acquire within 60 days of March 27, 2025 upon the exercise of the stock options and warrants shown in Column (C) are deemed to be outstanding for the purpose of computing the percentage of the shares of common stock owned by the persons or groups listed above.</w:t>
      </w:r>
    </w:p>
    <w:p>
      <w:pPr>
        <w:spacing w:after="0" w:line="106" w:lineRule="exact"/>
        <w:rPr>
          <w:rFonts w:ascii="Times New Roman" w:cs="Times New Roman" w:eastAsia="Times New Roman" w:hAnsi="Times New Roman"/>
          <w:sz w:val="18"/>
          <w:szCs w:val="18"/>
          <w:color w:val="auto"/>
        </w:rPr>
      </w:pPr>
    </w:p>
    <w:p>
      <w:pPr>
        <w:jc w:val="both"/>
        <w:ind w:left="340" w:hanging="330"/>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the Form 4 filed with the SEC as of June 2, 2023.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98" w:lineRule="exact"/>
        <w:rPr>
          <w:rFonts w:ascii="Times New Roman" w:cs="Times New Roman" w:eastAsia="Times New Roman" w:hAnsi="Times New Roman"/>
          <w:sz w:val="18"/>
          <w:szCs w:val="18"/>
          <w:color w:val="auto"/>
        </w:rPr>
      </w:pPr>
    </w:p>
    <w:p>
      <w:pPr>
        <w:jc w:val="both"/>
        <w:ind w:left="340" w:hanging="330"/>
        <w:spacing w:after="0" w:line="253"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13,314,156 shares (including the shares that may be acquired pursuant to exercise of options to purchase 38,333 shares of common stock, and warrants to purchase 685,295 shares of common stock). This information is based upon a Form 4 as filed by Mr. Bagley with the SEC on February 28, 2025 and a Schedule 13D Amendment filed by Mr. Bagley with the SEC on February 28, 2025.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2024, relating to equity compensation plans of the Company (including individual compensation arrangements) pursuant to which equity securities of the Company are authorized for issuance.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Number of securities</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2"/>
          </w:tcPr>
          <w:p>
            <w:pPr>
              <w:jc w:val="center"/>
              <w:ind w:right="240"/>
              <w:spacing w:after="0" w:line="195" w:lineRule="exact"/>
              <w:rPr>
                <w:sz w:val="20"/>
                <w:szCs w:val="20"/>
                <w:color w:val="auto"/>
              </w:rPr>
            </w:pPr>
            <w:r>
              <w:rPr>
                <w:rFonts w:ascii="Times New Roman" w:cs="Times New Roman" w:eastAsia="Times New Roman" w:hAnsi="Times New Roman"/>
                <w:sz w:val="18"/>
                <w:szCs w:val="18"/>
                <w:color w:val="auto"/>
                <w:w w:val="99"/>
              </w:rPr>
              <w:t>(a)</w:t>
            </w:r>
          </w:p>
        </w:tc>
        <w:tc>
          <w:tcPr>
            <w:tcW w:w="246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color w:val="auto"/>
                <w:w w:val="95"/>
              </w:rPr>
              <w:t>(b)</w:t>
            </w:r>
          </w:p>
        </w:tc>
        <w:tc>
          <w:tcPr>
            <w:tcW w:w="2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 securities to be</w:t>
            </w:r>
          </w:p>
        </w:tc>
        <w:tc>
          <w:tcPr>
            <w:tcW w:w="2460" w:type="dxa"/>
            <w:vAlign w:val="bottom"/>
            <w:gridSpan w:val="2"/>
          </w:tcPr>
          <w:p>
            <w:pPr>
              <w:jc w:val="center"/>
              <w:ind w:right="200"/>
              <w:spacing w:after="0" w:line="207" w:lineRule="exact"/>
              <w:rPr>
                <w:sz w:val="20"/>
                <w:szCs w:val="20"/>
                <w:color w:val="auto"/>
              </w:rPr>
            </w:pPr>
            <w:r>
              <w:rPr>
                <w:rFonts w:ascii="Times New Roman" w:cs="Times New Roman" w:eastAsia="Times New Roman" w:hAnsi="Times New Roman"/>
                <w:sz w:val="18"/>
                <w:szCs w:val="18"/>
                <w:color w:val="auto"/>
                <w:w w:val="99"/>
              </w:rPr>
              <w:t>Weighted</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Average Exercise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 under</w:t>
            </w:r>
          </w:p>
        </w:tc>
        <w:tc>
          <w:tcPr>
            <w:tcW w:w="0" w:type="dxa"/>
            <w:vAlign w:val="bottom"/>
          </w:tcPr>
          <w:p>
            <w:pPr>
              <w:spacing w:after="0"/>
              <w:rPr>
                <w:sz w:val="1"/>
                <w:szCs w:val="1"/>
                <w:color w:val="auto"/>
              </w:rPr>
            </w:pPr>
          </w:p>
        </w:tc>
      </w:tr>
      <w:tr>
        <w:trPr>
          <w:trHeight w:val="103"/>
        </w:trPr>
        <w:tc>
          <w:tcPr>
            <w:tcW w:w="3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issued upon exercise of</w:t>
            </w:r>
          </w:p>
        </w:tc>
        <w:tc>
          <w:tcPr>
            <w:tcW w:w="2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 of Outstanding</w:t>
            </w:r>
          </w:p>
        </w:tc>
        <w:tc>
          <w:tcPr>
            <w:tcW w:w="22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rPr>
              <w:t>equity compensation plans</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24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(excluding securities reflected</w:t>
            </w:r>
          </w:p>
        </w:tc>
        <w:tc>
          <w:tcPr>
            <w:tcW w:w="0" w:type="dxa"/>
            <w:vAlign w:val="bottom"/>
          </w:tcPr>
          <w:p>
            <w:pPr>
              <w:spacing w:after="0"/>
              <w:rPr>
                <w:sz w:val="1"/>
                <w:szCs w:val="1"/>
                <w:color w:val="auto"/>
              </w:rPr>
            </w:pPr>
          </w:p>
        </w:tc>
      </w:tr>
      <w:tr>
        <w:trPr>
          <w:trHeight w:val="32"/>
        </w:trPr>
        <w:tc>
          <w:tcPr>
            <w:tcW w:w="4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Plan Category</w:t>
            </w:r>
          </w:p>
        </w:tc>
        <w:tc>
          <w:tcPr>
            <w:tcW w:w="2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outstanding options and rights</w:t>
            </w:r>
          </w:p>
        </w:tc>
        <w:tc>
          <w:tcPr>
            <w:tcW w:w="2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Options and Rights</w:t>
            </w:r>
          </w:p>
        </w:tc>
        <w:tc>
          <w:tcPr>
            <w:tcW w:w="2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in column(a))</w:t>
            </w:r>
          </w:p>
        </w:tc>
        <w:tc>
          <w:tcPr>
            <w:tcW w:w="0" w:type="dxa"/>
            <w:vAlign w:val="bottom"/>
          </w:tcPr>
          <w:p>
            <w:pPr>
              <w:spacing w:after="0"/>
              <w:rPr>
                <w:sz w:val="1"/>
                <w:szCs w:val="1"/>
                <w:color w:val="auto"/>
              </w:rPr>
            </w:pPr>
          </w:p>
        </w:tc>
      </w:tr>
      <w:tr>
        <w:trPr>
          <w:trHeight w:val="191"/>
        </w:trPr>
        <w:tc>
          <w:tcPr>
            <w:tcW w:w="3820" w:type="dxa"/>
            <w:vAlign w:val="bottom"/>
            <w:tcBorders>
              <w:top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4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569,016</w:t>
            </w: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1,015,171</w:t>
            </w:r>
          </w:p>
        </w:tc>
        <w:tc>
          <w:tcPr>
            <w:tcW w:w="0" w:type="dxa"/>
            <w:vAlign w:val="bottom"/>
          </w:tcPr>
          <w:p>
            <w:pPr>
              <w:spacing w:after="0"/>
              <w:rPr>
                <w:sz w:val="1"/>
                <w:szCs w:val="1"/>
                <w:color w:val="auto"/>
              </w:rPr>
            </w:pPr>
          </w:p>
        </w:tc>
      </w:tr>
      <w:tr>
        <w:trPr>
          <w:trHeight w:val="198"/>
        </w:trPr>
        <w:tc>
          <w:tcPr>
            <w:tcW w:w="40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569,016</w:t>
            </w: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1,015,171</w:t>
            </w:r>
          </w:p>
        </w:tc>
        <w:tc>
          <w:tcPr>
            <w:tcW w:w="0" w:type="dxa"/>
            <w:vAlign w:val="bottom"/>
          </w:tcPr>
          <w:p>
            <w:pPr>
              <w:spacing w:after="0"/>
              <w:rPr>
                <w:sz w:val="1"/>
                <w:szCs w:val="1"/>
                <w:color w:val="auto"/>
              </w:rPr>
            </w:pP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PROPOSALS</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Annual Meeting of Shareholders in 2025 will be held in November 2025. Any shareholder that wishes to present any proposal for shareholder action at our Annual Meeting of Shareholders to be held during calendar year 2025 must notify us at our principal executive offices no later than August 24, 2025 in order for the proposal to be included in our proxy statement and form of proxy relating to that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14a-8 under the Exchange Act, we intend to retain discretionary authority to vote proxies with respect to shareholder proposals for which the proponent does not seek inclusion of the proposed matter in our proxy statement for the annual meeting to be held during calendar 2024, except in circumstances where (i) we receive notice of the proposed matter no later than August 24, 2025; and (ii) the proponent complies with the other requirements set forth in Rule 14a-8.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“Company”),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firstLine="656"/>
        <w:spacing w:after="0" w:line="282" w:lineRule="auto"/>
        <w:tabs>
          <w:tab w:leader="none" w:pos="8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ClearOne, Inc. The Company’s Certificate of Incorporation was originally filed with the Secretary of State of the State of Delaware on October 25, 2018.</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ClearOne, Inc. (the “Corporation”) as currently in effect is hereby amended by deleting therefrom in its entirety sections (a) and (b) of Article III and inserting in lieu thereof the following:</w:t>
      </w:r>
    </w:p>
    <w:p>
      <w:pPr>
        <w:spacing w:after="0" w:line="175" w:lineRule="exact"/>
        <w:rPr>
          <w:sz w:val="20"/>
          <w:szCs w:val="20"/>
          <w:color w:val="auto"/>
        </w:rPr>
      </w:pPr>
    </w:p>
    <w:p>
      <w:pPr>
        <w:ind w:left="1100" w:hanging="43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157" w:lineRule="exact"/>
        <w:rPr>
          <w:rFonts w:ascii="Times New Roman" w:cs="Times New Roman" w:eastAsia="Times New Roman" w:hAnsi="Times New Roman"/>
          <w:sz w:val="18"/>
          <w:szCs w:val="18"/>
          <w:color w:val="auto"/>
        </w:rPr>
      </w:pPr>
    </w:p>
    <w:p>
      <w:pPr>
        <w:jc w:val="both"/>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which the Corporation shall have the authority to issue is 200,000,000 shares, such shares being divided into 150,000,000 shares of common stock, par value $0.001 per share (the “Common Stock”), and 50,000,000 shares of preferred stock, par value $0.001 per share (the “Preferred Stock”).</w:t>
      </w:r>
    </w:p>
    <w:p>
      <w:pPr>
        <w:spacing w:after="0" w:line="108"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57" w:lineRule="exact"/>
        <w:rPr>
          <w:rFonts w:ascii="Times New Roman" w:cs="Times New Roman" w:eastAsia="Times New Roman" w:hAnsi="Times New Roman"/>
          <w:sz w:val="18"/>
          <w:szCs w:val="18"/>
          <w:color w:val="auto"/>
        </w:rPr>
      </w:pPr>
    </w:p>
    <w:p>
      <w:pPr>
        <w:jc w:val="both"/>
        <w:ind w:left="11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Certificate of Incorporation, the Board of Directors is authorized to provide for the issuance from time to time of shares of Preferred Stock in one or more series and, by filing a certificate pursuant to the applicable provisions of the Delaware General Corporation Law (a “Preferred Stock Certificate of Designation”), to establish from time to time the number of shares to be included in each such series, with such voting powers, full or limited, or no voting powers, and such designations, preferences, privileges and relative, participating, optional or other special rights and qualifications, limitations or restrictions thereof, as are stated and expressed in the resolution or resolutions providing for the issue thereof adopted by the Board of Directors, including, but not limited to, determination of any of the following:</w:t>
      </w:r>
    </w:p>
    <w:p>
      <w:pPr>
        <w:spacing w:after="0" w:line="215" w:lineRule="exact"/>
        <w:rPr>
          <w:rFonts w:ascii="Times New Roman" w:cs="Times New Roman" w:eastAsia="Times New Roman" w:hAnsi="Times New Roman"/>
          <w:sz w:val="18"/>
          <w:szCs w:val="18"/>
          <w:color w:val="auto"/>
        </w:rPr>
      </w:pPr>
    </w:p>
    <w:p>
      <w:pPr>
        <w:jc w:val="both"/>
        <w:ind w:left="1740" w:right="20" w:hanging="639"/>
        <w:spacing w:after="0" w:line="287" w:lineRule="auto"/>
        <w:tabs>
          <w:tab w:leader="none" w:pos="17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distinctive designation of the series, whether by number, letter or title, and the number of shares which will constitute the series, which number may be increased or decreased (but not below the number of shares then outstanding and except where otherwise provided in the applicable Preferred Stock Certificate of Designation) from time to time by action of the Board of Directors;</w:t>
      </w:r>
    </w:p>
    <w:p>
      <w:pPr>
        <w:jc w:val="both"/>
        <w:ind w:left="1740" w:right="20" w:hanging="639"/>
        <w:spacing w:after="0" w:line="266" w:lineRule="auto"/>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if any, and the times of payment of dividends, if any, on the shares of the series, whether such dividends will be cumulative, and if so, from what date or dates, and the relative rights of priority, if any, of payment of dividends on shares of that series;</w:t>
      </w:r>
    </w:p>
    <w:p>
      <w:pPr>
        <w:spacing w:after="0" w:line="13" w:lineRule="exact"/>
        <w:rPr>
          <w:rFonts w:ascii="Times New Roman" w:cs="Times New Roman" w:eastAsia="Times New Roman" w:hAnsi="Times New Roman"/>
          <w:sz w:val="18"/>
          <w:szCs w:val="18"/>
          <w:color w:val="auto"/>
        </w:rPr>
      </w:pPr>
    </w:p>
    <w:p>
      <w:pPr>
        <w:jc w:val="both"/>
        <w:ind w:left="1740" w:right="20" w:hanging="639"/>
        <w:spacing w:after="0" w:line="266" w:lineRule="auto"/>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3" w:lineRule="exact"/>
        <w:rPr>
          <w:rFonts w:ascii="Times New Roman" w:cs="Times New Roman" w:eastAsia="Times New Roman" w:hAnsi="Times New Roman"/>
          <w:sz w:val="18"/>
          <w:szCs w:val="18"/>
          <w:color w:val="auto"/>
        </w:rPr>
      </w:pPr>
    </w:p>
    <w:p>
      <w:pPr>
        <w:jc w:val="both"/>
        <w:ind w:left="1740" w:right="20" w:hanging="639"/>
        <w:spacing w:after="0" w:line="266" w:lineRule="auto"/>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entitled to the benefit of a retirement or sinking fund to be applied to the purchase or redemption of such shares and, if so entitled, the amount of such fund and the terms and provisions relative to the operation thereof;</w:t>
      </w:r>
    </w:p>
    <w:p>
      <w:pPr>
        <w:spacing w:after="0" w:line="13" w:lineRule="exact"/>
        <w:rPr>
          <w:rFonts w:ascii="Times New Roman" w:cs="Times New Roman" w:eastAsia="Times New Roman" w:hAnsi="Times New Roman"/>
          <w:sz w:val="18"/>
          <w:szCs w:val="18"/>
          <w:color w:val="auto"/>
        </w:rPr>
      </w:pPr>
    </w:p>
    <w:p>
      <w:pPr>
        <w:ind w:left="1740" w:right="120" w:hanging="639"/>
        <w:spacing w:after="0" w:line="281" w:lineRule="auto"/>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1" w:lineRule="exact"/>
        <w:rPr>
          <w:rFonts w:ascii="Times New Roman" w:cs="Times New Roman" w:eastAsia="Times New Roman" w:hAnsi="Times New Roman"/>
          <w:sz w:val="18"/>
          <w:szCs w:val="18"/>
          <w:color w:val="auto"/>
        </w:rPr>
      </w:pPr>
    </w:p>
    <w:p>
      <w:pPr>
        <w:jc w:val="both"/>
        <w:ind w:left="1740" w:right="20" w:hanging="639"/>
        <w:spacing w:after="0" w:line="266" w:lineRule="auto"/>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any other shares of stock of the Corporation or other securities, and if so convertible or exchangeable, the conversion price or prices, or the rates of exchange, and any adjustments thereof, at which such conversion or exchange may be made, and any other terms and conditions of such conversion or exchange;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left="1740" w:right="160" w:hanging="639"/>
        <w:spacing w:after="0" w:line="281" w:lineRule="auto"/>
        <w:tabs>
          <w:tab w:leader="none" w:pos="1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the series in the event of voluntary or involuntary liquidation, dissolution or winding up of the affairs of the Corporation;</w:t>
      </w:r>
    </w:p>
    <w:p>
      <w:pPr>
        <w:spacing w:after="0" w:line="1" w:lineRule="exact"/>
        <w:rPr>
          <w:rFonts w:ascii="Times New Roman" w:cs="Times New Roman" w:eastAsia="Times New Roman" w:hAnsi="Times New Roman"/>
          <w:sz w:val="18"/>
          <w:szCs w:val="18"/>
          <w:color w:val="auto"/>
        </w:rPr>
      </w:pPr>
    </w:p>
    <w:p>
      <w:pPr>
        <w:jc w:val="both"/>
        <w:ind w:left="1740" w:right="20" w:hanging="639"/>
        <w:spacing w:after="0" w:line="258" w:lineRule="auto"/>
        <w:tabs>
          <w:tab w:leader="none" w:pos="1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have priority over or be on a parity with or be junior to the shares of any other series or class of stock in any respect, or will be entitled to the benefit of limitations restricting the issuance of shares of any other series or class of stock, restricting the payment of dividends on or the making of other distributions in respect of shares of any other series or class of stock ranking junior to the shares of the series as to dividends or assets, or restricting the purchase or redemption of the shares of any such junior series or class, and the terms of any such restriction;</w:t>
      </w:r>
    </w:p>
    <w:p>
      <w:pPr>
        <w:spacing w:after="0" w:line="21" w:lineRule="exact"/>
        <w:rPr>
          <w:rFonts w:ascii="Times New Roman" w:cs="Times New Roman" w:eastAsia="Times New Roman" w:hAnsi="Times New Roman"/>
          <w:sz w:val="18"/>
          <w:szCs w:val="18"/>
          <w:color w:val="auto"/>
        </w:rPr>
      </w:pPr>
    </w:p>
    <w:p>
      <w:pPr>
        <w:ind w:left="1740" w:right="440" w:hanging="639"/>
        <w:spacing w:after="0" w:line="266" w:lineRule="auto"/>
        <w:tabs>
          <w:tab w:leader="none" w:pos="1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will have voting rights, in addition to any voting rights provided by law, and, if so, the terms of such voting rights; and</w:t>
      </w:r>
    </w:p>
    <w:p>
      <w:pPr>
        <w:ind w:left="1740" w:right="540" w:hanging="639"/>
        <w:spacing w:after="0" w:line="282" w:lineRule="auto"/>
        <w:tabs>
          <w:tab w:leader="none" w:pos="1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designations, preferences and relative, participating, optional and other special rights of that series and the qualifications, limitations or restrictions of such preferences and/or rights.</w:t>
      </w:r>
    </w:p>
    <w:p>
      <w:pPr>
        <w:spacing w:after="0" w:line="94" w:lineRule="exact"/>
        <w:rPr>
          <w:sz w:val="20"/>
          <w:szCs w:val="20"/>
          <w:color w:val="auto"/>
        </w:rPr>
      </w:pPr>
    </w:p>
    <w:p>
      <w:pPr>
        <w:jc w:val="both"/>
        <w:ind w:left="1100" w:right="20"/>
        <w:spacing w:after="0" w:line="256" w:lineRule="auto"/>
        <w:rPr>
          <w:sz w:val="20"/>
          <w:szCs w:val="20"/>
          <w:color w:val="auto"/>
        </w:rPr>
      </w:pPr>
      <w:r>
        <w:rPr>
          <w:rFonts w:ascii="Times New Roman" w:cs="Times New Roman" w:eastAsia="Times New Roman" w:hAnsi="Times New Roman"/>
          <w:sz w:val="18"/>
          <w:szCs w:val="18"/>
          <w:color w:val="auto"/>
        </w:rPr>
        <w:t>Except as otherwise required by law, as otherwise provided herein or as otherwise determined by the Board of Directors in the applicable Preferred Stock Certificate of Designation as to the shares of any series of Preferred Stock prior to the issuance of any such shares, the holders of Preferred Stock shall have no voting rights and shall not be entitled to any notice of any meeting of stockholders. In addition, except as otherwise expressly provided in the applicable Preferred Stock Certificate of Designation,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214" w:lineRule="exact"/>
        <w:rPr>
          <w:sz w:val="20"/>
          <w:szCs w:val="20"/>
          <w:color w:val="auto"/>
        </w:rPr>
      </w:pPr>
    </w:p>
    <w:p>
      <w:pPr>
        <w:ind w:left="1100" w:hanging="429"/>
        <w:spacing w:after="0"/>
        <w:tabs>
          <w:tab w:leader="none" w:pos="11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57" w:lineRule="exact"/>
        <w:rPr>
          <w:rFonts w:ascii="Times New Roman" w:cs="Times New Roman" w:eastAsia="Times New Roman" w:hAnsi="Times New Roman"/>
          <w:sz w:val="18"/>
          <w:szCs w:val="18"/>
          <w:color w:val="auto"/>
        </w:rPr>
      </w:pPr>
    </w:p>
    <w:p>
      <w:pPr>
        <w:jc w:val="both"/>
        <w:ind w:left="110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of the holders of the Preferred Stock of any series as may be designated by the Board of Directors upon any issuance of the Preferred Stock or any series thereof. Except as otherwise provided in this Certificate of Incorporation or as otherwise required by applicable law, all shares of Common Stock shall be identical in all respects and shall entitle the holders thereof to the same rights, powers, preferences and privileges, subject to the same qualifications, limitations and restrictions. The terms of the Common Stock shall be subject to the express terms of any series of Preferred Stock.</w:t>
      </w:r>
    </w:p>
    <w:p>
      <w:pPr>
        <w:spacing w:after="0" w:line="200"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2" w:lineRule="exact"/>
        <w:rPr>
          <w:sz w:val="20"/>
          <w:szCs w:val="20"/>
          <w:color w:val="auto"/>
        </w:rPr>
      </w:pPr>
    </w:p>
    <w:p>
      <w:pPr>
        <w:ind w:firstLine="656"/>
        <w:spacing w:after="0" w:line="282" w:lineRule="auto"/>
        <w:tabs>
          <w:tab w:leader="none" w:pos="8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__ day of 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CLEARONE, INC.</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12776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Chief Executive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Officer</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“Company”),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firstLine="656"/>
        <w:spacing w:after="0" w:line="282" w:lineRule="auto"/>
        <w:tabs>
          <w:tab w:leader="none" w:pos="8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ClearOne, Inc. The Company’s Certificate of Incorporation was originally filed with the Secretary of State of the State of Delaware on October 25, 2018.</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ClearOne, Inc. (the “Corporation”) as currently in effect is hereby amended to add the following after the first paragraph of Section (a) of Article III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filing and effectiveness (the "Effective Time") pursuant to the Delaware General Corporation Law of this Certificate of Amendment to</w:t>
      </w:r>
    </w:p>
    <w:p>
      <w:pPr>
        <w:spacing w:after="0" w:line="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of the Corporation, each [ ] shares of Common Stock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Stockholders who otherwise would be entitled to receive fractional share interests of Common Stock as a result of the Reverse Stock Split shall be entitled to receive in lieu of such fractional share interests, upon the Effective Time, one whole share of Common Stock in lieu of such fractional share interests.</w:t>
      </w:r>
    </w:p>
    <w:p>
      <w:pPr>
        <w:spacing w:after="0" w:line="200" w:lineRule="exact"/>
        <w:rPr>
          <w:sz w:val="20"/>
          <w:szCs w:val="20"/>
          <w:color w:val="auto"/>
        </w:rPr>
      </w:pPr>
    </w:p>
    <w:p>
      <w:pPr>
        <w:spacing w:after="0" w:line="203" w:lineRule="exact"/>
        <w:rPr>
          <w:sz w:val="20"/>
          <w:szCs w:val="20"/>
          <w:color w:val="auto"/>
        </w:rPr>
      </w:pPr>
    </w:p>
    <w:p>
      <w:pPr>
        <w:ind w:firstLine="656"/>
        <w:spacing w:after="0" w:line="282" w:lineRule="auto"/>
        <w:tabs>
          <w:tab w:leader="none" w:pos="9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2" w:lineRule="exact"/>
        <w:rPr>
          <w:sz w:val="20"/>
          <w:szCs w:val="20"/>
          <w:color w:val="auto"/>
        </w:rPr>
      </w:pPr>
    </w:p>
    <w:p>
      <w:pPr>
        <w:ind w:firstLine="656"/>
        <w:spacing w:after="0" w:line="282" w:lineRule="auto"/>
        <w:tabs>
          <w:tab w:leader="none" w:pos="8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__ day of 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CLEARONE, INC.</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1277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Chief Executive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Officer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u w:val="single" w:color="auto"/>
          <w:color w:val="auto"/>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ClearOne, Inc. (the “Company”),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hereby certifies that:</w:t>
      </w:r>
    </w:p>
    <w:p>
      <w:pPr>
        <w:spacing w:after="0" w:line="207" w:lineRule="exact"/>
        <w:rPr>
          <w:sz w:val="20"/>
          <w:szCs w:val="20"/>
          <w:color w:val="auto"/>
        </w:rPr>
      </w:pPr>
    </w:p>
    <w:p>
      <w:pPr>
        <w:ind w:firstLine="656"/>
        <w:spacing w:after="0" w:line="282" w:lineRule="auto"/>
        <w:tabs>
          <w:tab w:leader="none" w:pos="8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ClearOne, Inc. The Company’s Certificate of Incorporation was originally filed with the Secretary of State of the State of Delaware on October 25, 2018.</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acting in accordance with the provisions of Sections 141 and 242 of the DGCL, duly adopted resolutions amending the Certificate of Incorporation as follows: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of ClearOne, Inc. (the “Corporation”) as currently in effect is hereby amended by deleting therefrom in its entirety sections (a) of Article VI and inserting in lieu thereof the following:</w:t>
      </w:r>
    </w:p>
    <w:p>
      <w:pPr>
        <w:spacing w:after="0" w:line="160" w:lineRule="exact"/>
        <w:rPr>
          <w:sz w:val="20"/>
          <w:szCs w:val="20"/>
          <w:color w:val="auto"/>
        </w:rPr>
      </w:pPr>
    </w:p>
    <w:p>
      <w:pPr>
        <w:jc w:val="both"/>
        <w:ind w:left="660" w:hanging="4"/>
        <w:spacing w:after="0" w:line="257" w:lineRule="auto"/>
        <w:tabs>
          <w:tab w:leader="none" w:pos="9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Written Consent</w:t>
      </w:r>
      <w:r>
        <w:rPr>
          <w:rFonts w:ascii="Times New Roman" w:cs="Times New Roman" w:eastAsia="Times New Roman" w:hAnsi="Times New Roman"/>
          <w:sz w:val="18"/>
          <w:szCs w:val="18"/>
          <w:color w:val="auto"/>
        </w:rPr>
        <w:t>. Any action required or permitted to be taken at any annual or special meeting of stockholders of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184" w:lineRule="exact"/>
        <w:rPr>
          <w:sz w:val="20"/>
          <w:szCs w:val="20"/>
          <w:color w:val="auto"/>
        </w:rPr>
      </w:pPr>
    </w:p>
    <w:p>
      <w:pPr>
        <w:ind w:firstLine="656"/>
        <w:spacing w:after="0" w:line="282" w:lineRule="auto"/>
        <w:tabs>
          <w:tab w:leader="none" w:pos="9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this Certificate of Amendment to the Certificate of Incorporation was submitted to the stockholders of the Company for their approval and was duly adopted in accordance with Section 242 of the DGCL.</w:t>
      </w:r>
    </w:p>
    <w:p>
      <w:pPr>
        <w:spacing w:after="0" w:line="162" w:lineRule="exact"/>
        <w:rPr>
          <w:sz w:val="20"/>
          <w:szCs w:val="20"/>
          <w:color w:val="auto"/>
        </w:rPr>
      </w:pPr>
    </w:p>
    <w:p>
      <w:pPr>
        <w:ind w:firstLine="656"/>
        <w:spacing w:after="0" w:line="282" w:lineRule="auto"/>
        <w:tabs>
          <w:tab w:leader="none" w:pos="8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be signed by its Chief Executive Officer this __ day of 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CLEARONE, INC.</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1277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Chief Executive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Officer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u w:val="single" w:color="auto"/>
          <w:color w:val="auto"/>
        </w:rPr>
        <w:t>APPENDIX D</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PROPOSED BYLAW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of ClearOne, Inc. as currently in effect are hereby amended as follows:</w:t>
      </w:r>
    </w:p>
    <w:p>
      <w:pPr>
        <w:spacing w:after="0" w:line="221" w:lineRule="exact"/>
        <w:rPr>
          <w:sz w:val="20"/>
          <w:szCs w:val="20"/>
          <w:color w:val="auto"/>
        </w:rPr>
      </w:pPr>
    </w:p>
    <w:p>
      <w:pPr>
        <w:ind w:left="680" w:hanging="672"/>
        <w:spacing w:after="0"/>
        <w:tabs>
          <w:tab w:leader="none" w:pos="6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1.11 of Article I is hereby deleted in its entirety and amended and inserting in lieu thereof the following: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SECTION 1.11 Action by Written Consent.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of the Corporation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t>CLEARONE,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SPECIAL MEETING IN LIEU OF ANNUAL MEETING OF STOCKHOLDERS</w:t>
      </w:r>
    </w:p>
    <w:p>
      <w:pPr>
        <w:sectPr>
          <w:pgSz w:w="11900" w:h="16838" w:orient="portrait"/>
          <w:cols w:equalWidth="0" w:num="1">
            <w:col w:w="11240"/>
          </w:cols>
          <w:pgMar w:left="320" w:top="337" w:right="339" w:bottom="1440" w:gutter="0" w:footer="0" w:header="0"/>
        </w:sectPr>
      </w:pP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color w:val="auto"/>
        </w:rPr>
        <w:t>PLACE: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5225 Wiley Post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Salt Lake City, UT 84116</w:t>
      </w:r>
    </w:p>
    <w:p>
      <w:pPr>
        <w:spacing w:after="0" w:line="200" w:lineRule="exact"/>
        <w:rPr>
          <w:sz w:val="20"/>
          <w:szCs w:val="20"/>
          <w:color w:val="auto"/>
        </w:rPr>
      </w:pPr>
    </w:p>
    <w:p>
      <w:pPr>
        <w:sectPr>
          <w:pgSz w:w="11900" w:h="16838" w:orient="portrait"/>
          <w:cols w:equalWidth="0" w:num="2">
            <w:col w:w="4140" w:space="720"/>
            <w:col w:w="6380"/>
          </w:cols>
          <w:pgMar w:left="320" w:top="337" w:right="339" w:bottom="1440" w:gutter="0" w:footer="0" w:header="0"/>
          <w:type w:val="continuous"/>
        </w:sectPr>
      </w:pPr>
    </w:p>
    <w:p>
      <w:pPr>
        <w:spacing w:after="0" w:line="1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IN LIEU OF ANNUAL MEETING OF STOCKHOLDERS TO BE HELD ON MAY 30, 2025</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proxy statement, form of proxy card, and Annual Report on Form 10-K for the year ended December 31, 2024 (the “2024 Annual Report”) are available online at </w:t>
      </w:r>
      <w:r>
        <w:rPr>
          <w:rFonts w:ascii="Times New Roman" w:cs="Times New Roman" w:eastAsia="Times New Roman" w:hAnsi="Times New Roman"/>
          <w:sz w:val="18"/>
          <w:szCs w:val="18"/>
          <w:b w:val="1"/>
          <w:bCs w:val="1"/>
          <w:u w:val="single" w:color="auto"/>
          <w:color w:val="0000FF"/>
        </w:rPr>
        <w:t>www.colonialstock.com/clro2024</w:t>
      </w:r>
    </w:p>
    <w:p>
      <w:pPr>
        <w:spacing w:after="0" w:line="15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Voting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vote by Internet or Telephone! Instead of mailing your proxy, you may choose one of the three voting options outlined below:</w:t>
      </w:r>
    </w:p>
    <w:p>
      <w:pPr>
        <w:spacing w:after="0" w:line="16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[GRAPHIC]</w:t>
      </w:r>
      <w:r>
        <w:rPr>
          <w:sz w:val="20"/>
          <w:szCs w:val="20"/>
          <w:color w:val="auto"/>
        </w:rPr>
        <w:tab/>
      </w:r>
      <w:r>
        <w:rPr>
          <w:rFonts w:ascii="Times New Roman" w:cs="Times New Roman" w:eastAsia="Times New Roman" w:hAnsi="Times New Roman"/>
          <w:sz w:val="18"/>
          <w:szCs w:val="18"/>
          <w:b w:val="1"/>
          <w:bCs w:val="1"/>
          <w:color w:val="auto"/>
        </w:rPr>
        <w:t xml:space="preserve">VOTE BY INTERNET – </w:t>
      </w:r>
      <w:r>
        <w:rPr>
          <w:rFonts w:ascii="Times New Roman" w:cs="Times New Roman" w:eastAsia="Times New Roman" w:hAnsi="Times New Roman"/>
          <w:sz w:val="18"/>
          <w:szCs w:val="18"/>
          <w:b w:val="1"/>
          <w:bCs w:val="1"/>
          <w:u w:val="single" w:color="auto"/>
          <w:color w:val="0000FF"/>
        </w:rPr>
        <w:t>www.colonialstock.com/clro2025</w:t>
      </w:r>
    </w:p>
    <w:p>
      <w:pPr>
        <w:spacing w:after="0" w:line="189" w:lineRule="exact"/>
        <w:rPr>
          <w:sz w:val="20"/>
          <w:szCs w:val="20"/>
          <w:color w:val="auto"/>
        </w:rPr>
      </w:pPr>
    </w:p>
    <w:p>
      <w:pPr>
        <w:ind w:left="2500" w:right="180"/>
        <w:spacing w:after="0" w:line="282" w:lineRule="auto"/>
        <w:rPr>
          <w:sz w:val="20"/>
          <w:szCs w:val="20"/>
          <w:color w:val="auto"/>
        </w:rPr>
      </w:pPr>
      <w:r>
        <w:rPr>
          <w:rFonts w:ascii="Times New Roman" w:cs="Times New Roman" w:eastAsia="Times New Roman" w:hAnsi="Times New Roman"/>
          <w:sz w:val="18"/>
          <w:szCs w:val="18"/>
          <w:color w:val="auto"/>
        </w:rPr>
        <w:t>You can view the ClearOne 2024 Annual Report and Proxy Statement and submit your vote online at the website listed above up until 5:00 PM MT on May 29, 2025. You will need the control number at the left in order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-257810</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Follow the instructions on the secure website to complete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-80645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[GRAPHIC]</w:t>
      </w:r>
      <w:r>
        <w:rPr>
          <w:sz w:val="20"/>
          <w:szCs w:val="20"/>
          <w:color w:val="auto"/>
        </w:rPr>
        <w:tab/>
      </w:r>
      <w:r>
        <w:rPr>
          <w:rFonts w:ascii="Times New Roman" w:cs="Times New Roman" w:eastAsia="Times New Roman" w:hAnsi="Times New Roman"/>
          <w:sz w:val="18"/>
          <w:szCs w:val="18"/>
          <w:b w:val="1"/>
          <w:bCs w:val="1"/>
          <w:color w:val="auto"/>
        </w:rPr>
        <w:t>VOTE BY PHONE – 877-285-8605</w:t>
      </w:r>
    </w:p>
    <w:p>
      <w:pPr>
        <w:spacing w:after="0" w:line="1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You may vote by phone until 5:00 PM MT on May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-80645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Please have your notice and proxy card in hand when you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-80645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[GRAPHIC]</w:t>
      </w:r>
      <w:r>
        <w:rPr>
          <w:sz w:val="20"/>
          <w:szCs w:val="20"/>
          <w:color w:val="auto"/>
        </w:rPr>
        <w:tab/>
      </w:r>
      <w:r>
        <w:rPr>
          <w:rFonts w:ascii="Times New Roman" w:cs="Times New Roman" w:eastAsia="Times New Roman" w:hAnsi="Times New Roman"/>
          <w:sz w:val="18"/>
          <w:szCs w:val="18"/>
          <w:b w:val="1"/>
          <w:bCs w:val="1"/>
          <w:color w:val="auto"/>
        </w:rPr>
        <w:t>VOTE BY MAIL</w:t>
      </w:r>
    </w:p>
    <w:p>
      <w:pPr>
        <w:spacing w:after="0" w:line="189" w:lineRule="exact"/>
        <w:rPr>
          <w:sz w:val="20"/>
          <w:szCs w:val="20"/>
          <w:color w:val="auto"/>
        </w:rPr>
      </w:pPr>
    </w:p>
    <w:p>
      <w:pPr>
        <w:ind w:left="2500" w:right="120"/>
        <w:spacing w:after="0" w:line="282" w:lineRule="auto"/>
        <w:rPr>
          <w:sz w:val="20"/>
          <w:szCs w:val="20"/>
          <w:color w:val="auto"/>
        </w:rPr>
      </w:pPr>
      <w:r>
        <w:rPr>
          <w:rFonts w:ascii="Times New Roman" w:cs="Times New Roman" w:eastAsia="Times New Roman" w:hAnsi="Times New Roman"/>
          <w:sz w:val="18"/>
          <w:szCs w:val="18"/>
          <w:color w:val="auto"/>
        </w:rPr>
        <w:t>If you have not voted via the internet or telephone, mark, sign and return your proxy ballot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-257810</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Votes by mail must be received by May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-80645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MARK BLOCKS BELOW IN BLUE OR BLACK INK AS FOLLOWS: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t>THIS PROXY BALLOT IS VALID ONLY WHEN SIGNED AND DATED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PROXY IS SOLICITED BY THE BOARD OF DIRECTORS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Derek Graham and Simon Brewer, and each or either of them, lawful attorneys and proxies of the undersigned, with full power of substitution, for and in the name, place and stead of the undersigned to attend the Special Meeting in Lieu of Annual Meeting of Stockholders (the “Special Meeting”) of ClearOne, Inc. (the “Company”) to be held at the 5225 Wiley Post Way, Suite 500, Salt Lake City, UT 84116, on Friday, May 30, 2025, at 9:30 a.m., local time, and any adjournment(s) or postponement(s) thereof, with all powers the undersigned would possess if personally present, and to vote all shares of the Company’s common stock which the undersigned would be entitled to vote if personally present as indicated below:</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360" w:right="220" w:hanging="339"/>
        <w:spacing w:after="0" w:line="282"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increase the authorized shares of common stock From 50,000,000 shares to 150,000,000 shares</w:t>
      </w:r>
    </w:p>
    <w:p>
      <w:pPr>
        <w:spacing w:after="0" w:line="215" w:lineRule="exact"/>
        <w:rPr>
          <w:rFonts w:ascii="Times New Roman" w:cs="Times New Roman" w:eastAsia="Times New Roman" w:hAnsi="Times New Roman"/>
          <w:sz w:val="18"/>
          <w:szCs w:val="18"/>
          <w:color w:val="auto"/>
        </w:rPr>
      </w:pPr>
    </w:p>
    <w:p>
      <w:pPr>
        <w:ind w:left="360" w:right="360" w:hanging="339"/>
        <w:spacing w:after="0" w:line="282"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authorize 50,000,000 shares of “Blank Check” Preferred Stock.</w:t>
      </w:r>
    </w:p>
    <w:p>
      <w:pPr>
        <w:spacing w:after="0" w:line="215" w:lineRule="exact"/>
        <w:rPr>
          <w:rFonts w:ascii="Times New Roman" w:cs="Times New Roman" w:eastAsia="Times New Roman" w:hAnsi="Times New Roman"/>
          <w:sz w:val="18"/>
          <w:szCs w:val="18"/>
          <w:color w:val="auto"/>
        </w:rPr>
      </w:pPr>
    </w:p>
    <w:p>
      <w:pPr>
        <w:ind w:left="360" w:hanging="339"/>
        <w:spacing w:after="0" w:line="266"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on or before June 2, 2025, at the discretion of the Board of Directors, to effect a reverse stock split of the Company’s outstanding shares of common stock by a ratio of between 1-for-10 to 1-for-15.</w:t>
      </w:r>
    </w:p>
    <w:p>
      <w:pPr>
        <w:spacing w:after="0" w:line="229" w:lineRule="exact"/>
        <w:rPr>
          <w:rFonts w:ascii="Times New Roman" w:cs="Times New Roman" w:eastAsia="Times New Roman" w:hAnsi="Times New Roman"/>
          <w:sz w:val="18"/>
          <w:szCs w:val="18"/>
          <w:color w:val="auto"/>
        </w:rPr>
      </w:pPr>
    </w:p>
    <w:p>
      <w:pPr>
        <w:ind w:left="360" w:right="100" w:hanging="339"/>
        <w:spacing w:after="0" w:line="266"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Certificate of Incorporation to eliminate the prohibition against shareholders acting by written consent and expressly authorize shareholders to act by written consent.</w:t>
      </w:r>
    </w:p>
    <w:p>
      <w:pPr>
        <w:spacing w:after="0" w:line="229" w:lineRule="exact"/>
        <w:rPr>
          <w:rFonts w:ascii="Times New Roman" w:cs="Times New Roman" w:eastAsia="Times New Roman" w:hAnsi="Times New Roman"/>
          <w:sz w:val="18"/>
          <w:szCs w:val="18"/>
          <w:color w:val="auto"/>
        </w:rPr>
      </w:pPr>
    </w:p>
    <w:p>
      <w:pPr>
        <w:ind w:left="360" w:right="100" w:hanging="339"/>
        <w:spacing w:after="0" w:line="422"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Incorporation to authorize 50,000,000 shares of “Blank Check” Preferred Stock. Nominees:</w:t>
      </w:r>
    </w:p>
    <w:p>
      <w:pPr>
        <w:spacing w:after="0" w:line="1"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B. Higley</w:t>
      </w:r>
    </w:p>
    <w:p>
      <w:pPr>
        <w:spacing w:after="0" w:line="36"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 Robinson</w:t>
      </w:r>
    </w:p>
    <w:p>
      <w:pPr>
        <w:spacing w:after="0" w:line="36"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Bruce Whaley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360" w:hanging="339"/>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of the advisory vote on the compensation of Named executive officers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60"/>
        <w:spacing w:after="0"/>
        <w:tabs>
          <w:tab w:leader="none" w:pos="1240" w:val="left"/>
          <w:tab w:leader="none" w:pos="23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7"/>
          <w:szCs w:val="17"/>
          <w:color w:val="auto"/>
        </w:rPr>
        <w:t>ABSTAIN</w:t>
      </w:r>
    </w:p>
    <w:p>
      <w:pPr>
        <w:spacing w:after="0" w:line="53" w:lineRule="exact"/>
        <w:rPr>
          <w:sz w:val="20"/>
          <w:szCs w:val="20"/>
          <w:color w:val="auto"/>
        </w:rPr>
      </w:pPr>
    </w:p>
    <w:p>
      <w:pPr>
        <w:ind w:left="460"/>
        <w:spacing w:after="0"/>
        <w:tabs>
          <w:tab w:leader="none" w:pos="1560" w:val="left"/>
          <w:tab w:leader="none" w:pos="2680" w:val="left"/>
        </w:tabs>
        <w:rPr>
          <w:sz w:val="20"/>
          <w:szCs w:val="20"/>
          <w:color w:val="auto"/>
        </w:rPr>
      </w:pP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7"/>
          <w:szCs w:val="17"/>
          <w:b w:val="1"/>
          <w:bCs w:val="1"/>
          <w:color w:val="auto"/>
        </w:rPr>
        <w:t></w:t>
      </w:r>
    </w:p>
    <w:p>
      <w:pPr>
        <w:spacing w:after="0" w:line="243" w:lineRule="exact"/>
        <w:rPr>
          <w:sz w:val="20"/>
          <w:szCs w:val="20"/>
          <w:color w:val="auto"/>
        </w:rPr>
      </w:pPr>
    </w:p>
    <w:p>
      <w:pPr>
        <w:ind w:left="360"/>
        <w:spacing w:after="0"/>
        <w:tabs>
          <w:tab w:leader="none" w:pos="1240" w:val="left"/>
          <w:tab w:leader="none" w:pos="23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7"/>
          <w:szCs w:val="17"/>
          <w:color w:val="auto"/>
        </w:rPr>
        <w:t>ABSTAIN</w:t>
      </w:r>
    </w:p>
    <w:p>
      <w:pPr>
        <w:spacing w:after="0" w:line="53" w:lineRule="exact"/>
        <w:rPr>
          <w:sz w:val="20"/>
          <w:szCs w:val="20"/>
          <w:color w:val="auto"/>
        </w:rPr>
      </w:pPr>
    </w:p>
    <w:p>
      <w:pPr>
        <w:ind w:left="460"/>
        <w:spacing w:after="0"/>
        <w:tabs>
          <w:tab w:leader="none" w:pos="1560" w:val="left"/>
          <w:tab w:leader="none" w:pos="2680" w:val="left"/>
        </w:tabs>
        <w:rPr>
          <w:sz w:val="20"/>
          <w:szCs w:val="20"/>
          <w:color w:val="auto"/>
        </w:rPr>
      </w:pP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7"/>
          <w:szCs w:val="17"/>
          <w:b w:val="1"/>
          <w:bCs w:val="1"/>
          <w:color w:val="auto"/>
        </w:rPr>
        <w:t></w:t>
      </w:r>
    </w:p>
    <w:p>
      <w:pPr>
        <w:spacing w:after="0" w:line="243" w:lineRule="exact"/>
        <w:rPr>
          <w:sz w:val="20"/>
          <w:szCs w:val="20"/>
          <w:color w:val="auto"/>
        </w:rPr>
      </w:pPr>
    </w:p>
    <w:p>
      <w:pPr>
        <w:ind w:left="360"/>
        <w:spacing w:after="0"/>
        <w:tabs>
          <w:tab w:leader="none" w:pos="1240" w:val="left"/>
          <w:tab w:leader="none" w:pos="23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7"/>
          <w:szCs w:val="17"/>
          <w:color w:val="auto"/>
        </w:rPr>
        <w:t>ABSTAIN</w:t>
      </w:r>
    </w:p>
    <w:p>
      <w:pPr>
        <w:spacing w:after="0" w:line="53" w:lineRule="exact"/>
        <w:rPr>
          <w:sz w:val="20"/>
          <w:szCs w:val="20"/>
          <w:color w:val="auto"/>
        </w:rPr>
      </w:pPr>
    </w:p>
    <w:p>
      <w:pPr>
        <w:ind w:left="460"/>
        <w:spacing w:after="0"/>
        <w:tabs>
          <w:tab w:leader="none" w:pos="1560" w:val="left"/>
          <w:tab w:leader="none" w:pos="2680" w:val="left"/>
        </w:tabs>
        <w:rPr>
          <w:sz w:val="20"/>
          <w:szCs w:val="20"/>
          <w:color w:val="auto"/>
        </w:rPr>
      </w:pP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7"/>
          <w:szCs w:val="17"/>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1240" w:val="left"/>
          <w:tab w:leader="none" w:pos="23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7"/>
          <w:szCs w:val="17"/>
          <w:color w:val="auto"/>
        </w:rPr>
        <w:t>ABSTAIN</w:t>
      </w:r>
    </w:p>
    <w:p>
      <w:pPr>
        <w:spacing w:after="0" w:line="53" w:lineRule="exact"/>
        <w:rPr>
          <w:sz w:val="20"/>
          <w:szCs w:val="20"/>
          <w:color w:val="auto"/>
        </w:rPr>
      </w:pPr>
    </w:p>
    <w:p>
      <w:pPr>
        <w:ind w:left="460"/>
        <w:spacing w:after="0"/>
        <w:tabs>
          <w:tab w:leader="none" w:pos="1560" w:val="left"/>
          <w:tab w:leader="none" w:pos="2680" w:val="left"/>
        </w:tabs>
        <w:rPr>
          <w:sz w:val="20"/>
          <w:szCs w:val="20"/>
          <w:color w:val="auto"/>
        </w:rPr>
      </w:pP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withhold authority to vote for any individual nominee(s), mark “FOR ALL EXCEPT” and write the number(s) of the nominee(s) on the line below:</w:t>
      </w:r>
    </w:p>
    <w:p>
      <w:pPr>
        <w:spacing w:after="0" w:line="72" w:lineRule="exact"/>
        <w:rPr>
          <w:sz w:val="20"/>
          <w:szCs w:val="20"/>
          <w:color w:val="auto"/>
        </w:rPr>
      </w:pPr>
    </w:p>
    <w:p>
      <w:pPr>
        <w:ind w:left="340"/>
        <w:spacing w:after="0"/>
        <w:tabs>
          <w:tab w:leader="none" w:pos="1340" w:val="left"/>
          <w:tab w:leader="none" w:pos="2460" w:val="left"/>
        </w:tabs>
        <w:rPr>
          <w:sz w:val="20"/>
          <w:szCs w:val="20"/>
          <w:color w:val="auto"/>
        </w:rPr>
      </w:pPr>
      <w:r>
        <w:rPr>
          <w:rFonts w:ascii="Times New Roman" w:cs="Times New Roman" w:eastAsia="Times New Roman" w:hAnsi="Times New Roman"/>
          <w:sz w:val="18"/>
          <w:szCs w:val="18"/>
          <w:color w:val="auto"/>
        </w:rPr>
        <w:t>EVERY</w:t>
      </w:r>
      <w:r>
        <w:rPr>
          <w:sz w:val="20"/>
          <w:szCs w:val="20"/>
          <w:color w:val="auto"/>
        </w:rPr>
        <w:tab/>
      </w:r>
      <w:r>
        <w:rPr>
          <w:rFonts w:ascii="Times New Roman" w:cs="Times New Roman" w:eastAsia="Times New Roman" w:hAnsi="Times New Roman"/>
          <w:sz w:val="18"/>
          <w:szCs w:val="18"/>
          <w:color w:val="auto"/>
        </w:rPr>
        <w:t>EVERY</w:t>
      </w:r>
      <w:r>
        <w:rPr>
          <w:sz w:val="20"/>
          <w:szCs w:val="20"/>
          <w:color w:val="auto"/>
        </w:rPr>
        <w:tab/>
      </w:r>
      <w:r>
        <w:rPr>
          <w:rFonts w:ascii="Times New Roman" w:cs="Times New Roman" w:eastAsia="Times New Roman" w:hAnsi="Times New Roman"/>
          <w:sz w:val="18"/>
          <w:szCs w:val="18"/>
          <w:color w:val="auto"/>
        </w:rPr>
        <w:t>EVERY</w:t>
      </w:r>
    </w:p>
    <w:p>
      <w:pPr>
        <w:spacing w:after="0" w:line="27" w:lineRule="exact"/>
        <w:rPr>
          <w:sz w:val="20"/>
          <w:szCs w:val="20"/>
          <w:color w:val="auto"/>
        </w:rPr>
      </w:pPr>
    </w:p>
    <w:p>
      <w:pPr>
        <w:ind w:left="540"/>
        <w:spacing w:after="0"/>
        <w:tabs>
          <w:tab w:leader="none" w:pos="1440" w:val="left"/>
          <w:tab w:leader="none" w:pos="2480" w:val="left"/>
        </w:tabs>
        <w:rPr>
          <w:sz w:val="20"/>
          <w:szCs w:val="20"/>
          <w:color w:val="auto"/>
        </w:rPr>
      </w:pPr>
      <w:r>
        <w:rPr>
          <w:rFonts w:ascii="Times New Roman" w:cs="Times New Roman" w:eastAsia="Times New Roman" w:hAnsi="Times New Roman"/>
          <w:sz w:val="18"/>
          <w:szCs w:val="18"/>
          <w:color w:val="auto"/>
        </w:rPr>
        <w:t>ONE</w:t>
      </w:r>
      <w:r>
        <w:rPr>
          <w:sz w:val="20"/>
          <w:szCs w:val="20"/>
          <w:color w:val="auto"/>
        </w:rPr>
        <w:tab/>
      </w:r>
      <w:r>
        <w:rPr>
          <w:rFonts w:ascii="Times New Roman" w:cs="Times New Roman" w:eastAsia="Times New Roman" w:hAnsi="Times New Roman"/>
          <w:sz w:val="18"/>
          <w:szCs w:val="18"/>
          <w:color w:val="auto"/>
        </w:rPr>
        <w:t>TWO</w:t>
      </w:r>
      <w:r>
        <w:rPr>
          <w:sz w:val="20"/>
          <w:szCs w:val="20"/>
          <w:color w:val="auto"/>
        </w:rPr>
        <w:tab/>
      </w:r>
      <w:r>
        <w:rPr>
          <w:rFonts w:ascii="Times New Roman" w:cs="Times New Roman" w:eastAsia="Times New Roman" w:hAnsi="Times New Roman"/>
          <w:sz w:val="17"/>
          <w:szCs w:val="17"/>
          <w:color w:val="auto"/>
        </w:rPr>
        <w:t>THREE</w:t>
      </w:r>
    </w:p>
    <w:p>
      <w:pPr>
        <w:spacing w:after="0" w:line="9" w:lineRule="exact"/>
        <w:rPr>
          <w:sz w:val="20"/>
          <w:szCs w:val="20"/>
          <w:color w:val="auto"/>
        </w:rPr>
      </w:pPr>
    </w:p>
    <w:p>
      <w:pPr>
        <w:ind w:left="380"/>
        <w:spacing w:after="0"/>
        <w:tabs>
          <w:tab w:leader="none" w:pos="1340" w:val="left"/>
          <w:tab w:leader="none" w:pos="2460" w:val="left"/>
        </w:tabs>
        <w:rPr>
          <w:sz w:val="20"/>
          <w:szCs w:val="20"/>
          <w:color w:val="auto"/>
        </w:rPr>
      </w:pP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YEARS</w:t>
      </w:r>
      <w:r>
        <w:rPr>
          <w:sz w:val="20"/>
          <w:szCs w:val="20"/>
          <w:color w:val="auto"/>
        </w:rPr>
        <w:tab/>
      </w:r>
      <w:r>
        <w:rPr>
          <w:rFonts w:ascii="Times New Roman" w:cs="Times New Roman" w:eastAsia="Times New Roman" w:hAnsi="Times New Roman"/>
          <w:sz w:val="18"/>
          <w:szCs w:val="18"/>
          <w:color w:val="auto"/>
        </w:rPr>
        <w:t>YEARS</w:t>
      </w:r>
    </w:p>
    <w:p>
      <w:pPr>
        <w:spacing w:after="0" w:line="34" w:lineRule="exact"/>
        <w:rPr>
          <w:sz w:val="20"/>
          <w:szCs w:val="20"/>
          <w:color w:val="auto"/>
        </w:rPr>
      </w:pPr>
    </w:p>
    <w:p>
      <w:pPr>
        <w:ind w:left="460"/>
        <w:spacing w:after="0"/>
        <w:tabs>
          <w:tab w:leader="none" w:pos="1560" w:val="left"/>
          <w:tab w:leader="none" w:pos="2680" w:val="left"/>
        </w:tabs>
        <w:rPr>
          <w:sz w:val="20"/>
          <w:szCs w:val="20"/>
          <w:color w:val="auto"/>
        </w:rPr>
      </w:pP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8"/>
          <w:szCs w:val="18"/>
          <w:b w:val="1"/>
          <w:bCs w:val="1"/>
          <w:color w:val="auto"/>
        </w:rPr>
        <w:t></w:t>
      </w:r>
      <w:r>
        <w:rPr>
          <w:sz w:val="20"/>
          <w:szCs w:val="20"/>
          <w:color w:val="auto"/>
        </w:rPr>
        <w:tab/>
      </w:r>
      <w:r>
        <w:rPr>
          <w:rFonts w:ascii="Wingdings" w:cs="Wingdings" w:eastAsia="Wingdings" w:hAnsi="Wingdings"/>
          <w:sz w:val="17"/>
          <w:szCs w:val="17"/>
          <w:b w:val="1"/>
          <w:bCs w:val="1"/>
          <w:color w:val="auto"/>
        </w:rPr>
        <w:t></w:t>
      </w:r>
    </w:p>
    <w:p>
      <w:pPr>
        <w:spacing w:after="0" w:line="200" w:lineRule="exact"/>
        <w:rPr>
          <w:sz w:val="20"/>
          <w:szCs w:val="20"/>
          <w:color w:val="auto"/>
        </w:rPr>
      </w:pPr>
    </w:p>
    <w:p>
      <w:pPr>
        <w:sectPr>
          <w:pgSz w:w="11900" w:h="16838" w:orient="portrait"/>
          <w:cols w:equalWidth="0" w:num="2">
            <w:col w:w="7780" w:space="120"/>
            <w:col w:w="3340"/>
          </w:cols>
          <w:pgMar w:left="320" w:top="553" w:right="339" w:bottom="1440" w:gutter="0" w:footer="0" w:header="0"/>
          <w:type w:val="continuous"/>
        </w:sectPr>
      </w:pPr>
    </w:p>
    <w:p>
      <w:pPr>
        <w:spacing w:after="0" w:line="2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Proposals 1, 2, 3 and 4, “FOR” all three director nominees and EVERY THREE YEARS” for the frequency of the advisory vote on executive compensation. This Proxy, when properly executed, will be voted in the manner directed herein by the undersigned stockholder. If no direction is given, this Proxy will be voted “FOR” Proposals 1, 2, 3 and 4, “FOR” all three director nominees and EVERY THREE YEARS” for the frequency of the advisory vote on executive compensation.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their direction, the proxies are authorized to vote upon such other business as may properly come before the Special Meeting or any adjournment thereof.</w:t>
      </w:r>
    </w:p>
    <w:p>
      <w:pPr>
        <w:spacing w:after="0" w:line="225" w:lineRule="exact"/>
        <w:rPr>
          <w:sz w:val="20"/>
          <w:szCs w:val="20"/>
          <w:color w:val="auto"/>
        </w:rPr>
      </w:pPr>
    </w:p>
    <w:p>
      <w:pPr>
        <w:spacing w:after="0"/>
        <w:tabs>
          <w:tab w:leader="none" w:pos="4160" w:val="left"/>
          <w:tab w:leader="none" w:pos="5260" w:val="left"/>
        </w:tabs>
        <w:rPr>
          <w:sz w:val="20"/>
          <w:szCs w:val="20"/>
          <w:color w:val="auto"/>
        </w:rPr>
      </w:pPr>
      <w:r>
        <w:rPr>
          <w:rFonts w:ascii="Times New Roman" w:cs="Times New Roman" w:eastAsia="Times New Roman" w:hAnsi="Times New Roman"/>
          <w:sz w:val="18"/>
          <w:szCs w:val="18"/>
          <w:color w:val="auto"/>
        </w:rPr>
        <w:t>Please indicate if you plan to attend this meeting.</w:t>
      </w:r>
      <w:r>
        <w:rPr>
          <w:sz w:val="20"/>
          <w:szCs w:val="20"/>
          <w:color w:val="auto"/>
        </w:rPr>
        <w:tab/>
      </w: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Sign exactly as name appears hereon. For joint accounts, all co-owners should sign. Executors, administrators, custodians, trustees, etc. should so indicate when signing.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23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02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38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59"/>
        </w:trPr>
        <w:tc>
          <w:tcPr>
            <w:tcW w:w="2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45</w:t>
            </w:r>
          </w:p>
        </w:tc>
        <w:tc>
          <w:tcPr>
            <w:tcW w:w="3860" w:type="dxa"/>
            <w:vAlign w:val="bottom"/>
          </w:tcPr>
          <w:p>
            <w:pPr>
              <w:spacing w:after="0"/>
              <w:rPr>
                <w:sz w:val="24"/>
                <w:szCs w:val="24"/>
                <w:color w:val="auto"/>
              </w:rPr>
            </w:pPr>
          </w:p>
        </w:tc>
      </w:tr>
      <w:tr>
        <w:trPr>
          <w:trHeight w:val="129"/>
        </w:trPr>
        <w:tc>
          <w:tcPr>
            <w:tcW w:w="206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5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upperLetter"/>
      <w:start w:val="24"/>
    </w:lvl>
  </w:abstractNum>
  <w:abstractNum w:abstractNumId="3">
    <w:nsid w:val="333AB105"/>
    <w:multiLevelType w:val="hybridMultilevel"/>
    <w:lvl w:ilvl="0">
      <w:lvlJc w:val="left"/>
      <w:lvlText w:val="["/>
      <w:numFmt w:val="bullet"/>
      <w:start w:val="1"/>
    </w:lvl>
    <w:lvl w:ilvl="1">
      <w:lvlJc w:val="left"/>
      <w:lvlText w:val="%2)"/>
      <w:numFmt w:val="decimal"/>
      <w:start w:val="1"/>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lowerRoman"/>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Roman"/>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lowerLetter"/>
      <w:start w:val="1"/>
    </w:lvl>
    <w:lvl w:ilvl="1">
      <w:lvlJc w:val="left"/>
      <w:lvlText w:val="(%2)"/>
      <w:numFmt w:val="decimal"/>
      <w:start w:val="1"/>
    </w:lvl>
  </w:abstractNum>
  <w:abstractNum w:abstractNumId="26">
    <w:nsid w:val="4516DDE9"/>
    <w:multiLevelType w:val="hybridMultilevel"/>
    <w:lvl w:ilvl="0">
      <w:lvlJc w:val="left"/>
      <w:lvlText w:val="(%1)"/>
      <w:numFmt w:val="decimal"/>
      <w:start w:val="7"/>
    </w:lvl>
  </w:abstractNum>
  <w:abstractNum w:abstractNumId="27">
    <w:nsid w:val="3006C83E"/>
    <w:multiLevelType w:val="hybridMultilevel"/>
    <w:lvl w:ilvl="0">
      <w:lvlJc w:val="left"/>
      <w:lvlText w:val="%1"/>
      <w:numFmt w:val="decimal"/>
      <w:start w:val="1"/>
    </w:lvl>
    <w:lvl w:ilvl="1">
      <w:lvlJc w:val="left"/>
      <w:lvlText w:val="(%2)"/>
      <w:numFmt w:val="lowerLetter"/>
      <w:start w:val="3"/>
    </w:lvl>
  </w:abstractNum>
  <w:abstractNum w:abstractNumId="28">
    <w:nsid w:val="614FD4A1"/>
    <w:multiLevelType w:val="hybridMultilevel"/>
    <w:lvl w:ilvl="0">
      <w:lvlJc w:val="left"/>
      <w:lvlText w:val="%1."/>
      <w:numFmt w:val="decimal"/>
      <w:start w:val="3"/>
    </w:lvl>
    <w:lvl w:ilvl="1">
      <w:lvlJc w:val="left"/>
      <w:lvlText w:val="%2"/>
      <w:numFmt w:val="lowerLetter"/>
      <w:start w:val="1"/>
    </w:lvl>
  </w:abstractNum>
  <w:abstractNum w:abstractNumId="29">
    <w:nsid w:val="419AC241"/>
    <w:multiLevelType w:val="hybridMultilevel"/>
    <w:lvl w:ilvl="0">
      <w:lvlJc w:val="left"/>
      <w:lvlText w:val="%1."/>
      <w:numFmt w:val="decimal"/>
      <w:start w:val="5"/>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3"/>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3"/>
    </w:lvl>
  </w:abstractNum>
  <w:abstractNum w:abstractNumId="36">
    <w:nsid w:val="5C482A97"/>
    <w:multiLevelType w:val="hybridMultilevel"/>
    <w:lvl w:ilvl="0">
      <w:lvlJc w:val="left"/>
      <w:lvlText w:val="%1."/>
      <w:numFmt w:val="decimal"/>
      <w:start w:val="5"/>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2025-05-01T16:14:11Z</dcterms:created>
  <dcterms:modified xsi:type="dcterms:W3CDTF">2025-05-01T16:14:11Z</dcterms:modified>
</cp:coreProperties>
</file>