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(Rule 14a-101)</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SCHEDULE 14A INFORMATION</w:t>
      </w:r>
    </w:p>
    <w:p>
      <w:pPr>
        <w:spacing w:after="0" w:line="256"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180"/>
          </w:cols>
          <w:pgMar w:left="240" w:top="553" w:right="47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Preliminary Proxy Statement.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31" w:lineRule="exact"/>
        <w:rPr>
          <w:sz w:val="24"/>
          <w:szCs w:val="24"/>
          <w:color w:val="auto"/>
        </w:rPr>
      </w:pPr>
    </w:p>
    <w:p>
      <w:pPr>
        <w:sectPr>
          <w:pgSz w:w="11900" w:h="16838" w:orient="portrait"/>
          <w:cols w:equalWidth="0" w:num="2">
            <w:col w:w="260" w:space="400"/>
            <w:col w:w="10520"/>
          </w:cols>
          <w:pgMar w:left="240" w:top="553" w:right="479" w:bottom="1440" w:gutter="0" w:footer="0" w:header="0"/>
          <w:type w:val="continuous"/>
        </w:sectPr>
      </w:pPr>
    </w:p>
    <w:p>
      <w:pPr>
        <w:ind w:left="660" w:hanging="652"/>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Definitive Proxy Statement.</w:t>
      </w:r>
    </w:p>
    <w:p>
      <w:pPr>
        <w:sectPr>
          <w:pgSz w:w="11900" w:h="16838" w:orient="portrait"/>
          <w:cols w:equalWidth="0" w:num="1">
            <w:col w:w="11180"/>
          </w:cols>
          <w:pgMar w:left="240" w:top="553" w:right="47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Pursuant to §240.14a-12.</w:t>
      </w:r>
    </w:p>
    <w:p>
      <w:pPr>
        <w:spacing w:after="0" w:line="222" w:lineRule="exact"/>
        <w:rPr>
          <w:sz w:val="24"/>
          <w:szCs w:val="24"/>
          <w:color w:val="auto"/>
        </w:rPr>
      </w:pPr>
    </w:p>
    <w:p>
      <w:pPr>
        <w:sectPr>
          <w:pgSz w:w="11900" w:h="16838" w:orient="portrait"/>
          <w:cols w:equalWidth="0" w:num="2">
            <w:col w:w="260" w:space="400"/>
            <w:col w:w="10520"/>
          </w:cols>
          <w:pgMar w:left="240" w:top="553" w:right="479" w:bottom="1440" w:gutter="0" w:footer="0" w:header="0"/>
          <w:type w:val="continuous"/>
        </w:sectPr>
      </w:pPr>
    </w:p>
    <w:p>
      <w:pPr>
        <w:spacing w:after="0" w:line="29"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u w:val="single" w:color="auto"/>
          <w:color w:val="auto"/>
        </w:rPr>
        <w:t>ClearOne Communications, Inc.</w:t>
      </w:r>
    </w:p>
    <w:p>
      <w:pPr>
        <w:spacing w:after="0" w:line="26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Person(s) Filing Proxy Statement, if other than Registrant)</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3" w:lineRule="exact"/>
        <w:rPr>
          <w:sz w:val="24"/>
          <w:szCs w:val="24"/>
          <w:color w:val="auto"/>
        </w:rPr>
      </w:pPr>
    </w:p>
    <w:p>
      <w:pPr>
        <w:ind w:left="200" w:hanging="192"/>
        <w:spacing w:after="0"/>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Fee computed on table below per Exchange Act Rules 14a-6(i)(4) and 0-11.</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w:t>
      </w:r>
    </w:p>
    <w:p>
      <w:pPr>
        <w:spacing w:after="0" w:line="9" w:lineRule="exact"/>
        <w:rPr>
          <w:rFonts w:ascii="Arial" w:cs="Arial" w:eastAsia="Arial" w:hAnsi="Arial"/>
          <w:sz w:val="18"/>
          <w:szCs w:val="18"/>
          <w:color w:val="auto"/>
        </w:rPr>
      </w:pPr>
    </w:p>
    <w:p>
      <w:pPr>
        <w:ind w:left="1300" w:right="60" w:hanging="644"/>
        <w:spacing w:after="0" w:line="250"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9" w:lineRule="exact"/>
        <w:rPr>
          <w:sz w:val="24"/>
          <w:szCs w:val="24"/>
          <w:color w:val="auto"/>
        </w:rPr>
      </w:pPr>
    </w:p>
    <w:p>
      <w:pPr>
        <w:ind w:left="660" w:hanging="652"/>
        <w:spacing w:after="0" w:line="290" w:lineRule="auto"/>
        <w:tabs>
          <w:tab w:leader="none" w:pos="207"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180"/>
          </w:cols>
          <w:pgMar w:left="240" w:top="553" w:right="47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3"/>
          <w:szCs w:val="23"/>
          <w:b w:val="1"/>
          <w:bCs w:val="1"/>
          <w:color w:val="auto"/>
        </w:rPr>
        <w:t>CLEARONE COMMUNICATIONS, INC.</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15, 2010</w:t>
      </w:r>
    </w:p>
    <w:p>
      <w:pPr>
        <w:spacing w:after="0" w:line="25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Annual Meeting of Shareholders of ClearOne Communications, Inc., a Utah corporation, will be held at 9:00 a.m., local time, on Wednesday, December 15, 2010, at our corporate offices, 5225 Wiley Post Way, Suite 500, Salt Lake City, Utah 84116.</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purpose of the Annual Meeting:</w:t>
      </w:r>
    </w:p>
    <w:p>
      <w:pPr>
        <w:spacing w:after="0" w:line="252" w:lineRule="exact"/>
        <w:rPr>
          <w:sz w:val="20"/>
          <w:szCs w:val="20"/>
          <w:color w:val="auto"/>
        </w:rPr>
      </w:pPr>
    </w:p>
    <w:p>
      <w:pPr>
        <w:ind w:left="1280" w:hanging="62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elect five members of our Board of Directors; and</w:t>
      </w:r>
    </w:p>
    <w:p>
      <w:pPr>
        <w:spacing w:after="0" w:line="252" w:lineRule="exact"/>
        <w:rPr>
          <w:rFonts w:ascii="Arial" w:cs="Arial" w:eastAsia="Arial" w:hAnsi="Arial"/>
          <w:sz w:val="18"/>
          <w:szCs w:val="18"/>
          <w:color w:val="auto"/>
        </w:rPr>
      </w:pPr>
    </w:p>
    <w:p>
      <w:pPr>
        <w:ind w:left="1280" w:hanging="624"/>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foregoing items of business are more fully described in the proxy statement accompanying this notice. Our Board of Directors recommends that an affirmative vote be cast in favor of all nominees listed in the proxy statement.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Only shareholders of record at the close of business on October 25, 2010 are entitled to notice of and to vote at the meeting.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Notice of Internet Availability of Proxy Materials:</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accordance with rules and regulations adopted by the Securities and Exchange Commission, we are mailing to our shareholders a Notice of Internet Availability of Proxy Materials instead of a printed copy of the proxy materials, including our Annual Report to shareholders. The Notice of Internet Availability of Proxy Materials contains instructions on how to access this proxy statement and our Annual Report and vote online. If you received the notice by mail, you will not automatically receive a printed copy of our proxy materials or Annual Report. Instead, the notice instructs you how to access and review all of the important information contained in the proxy materials. The notice also instructs you how to submit your proxy on the Internet or by telephone. If you received the noti ce by mail and would like to receive paper copies of our proxy materials, you should follow the instructions for requesting such materials included in the notice. All shareholders are cordially invited to attend the meeting and vote in person. To assure your representation at the meeting, however, you are urged to vote by proxy as soon as possible over the Internet or by phone as instructed in the Notice of Internet Availability of Proxy Materials or, if you receive paper copies of the proxy materials by mail, you can also vote by mail by following the instructions on the proxy card. You may also vote in person at the meeting, even if you have previously returned a proxy.</w:t>
      </w:r>
    </w:p>
    <w:p>
      <w:pPr>
        <w:spacing w:after="0" w:line="2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All shareholders are cordially invited to attend the meeting and vote in person. However, to ensure your representation at the meeting, you are urged to vote as promptly as possible, whether via the Internet, by telephone, or, if you received a paper copy of the proxy card, by marking, signing, dating, and returning the enclosed proxy in the postage-prepaid envelope enclosed for that purpose. Any shareholder attending the meeting may vote in person even if such shareholder has previously submitted a proxy.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995045" cy="506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504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Secretary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5, 2010</w:t>
      </w:r>
    </w:p>
    <w:p>
      <w:pPr>
        <w:sectPr>
          <w:pgSz w:w="11900" w:h="16838" w:orient="portrait"/>
          <w:cols w:equalWidth="0" w:num="1">
            <w:col w:w="11380"/>
          </w:cols>
          <w:pgMar w:left="240" w:top="1053" w:right="2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auto"/>
        </w:rPr>
        <w:t>CLEARONE COMMUNICATIONS, INC.</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5225 Wiley Post Way, Suite 500</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1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SHAREHOLDERS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15, 2010</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accompanying proxy is solicited on behalf of ClearOne Communications, Inc., a Utah corporation, by the Board of Directors for use at our 2010 Annual Meeting of Shareholders to be held December 15, 2010 at 9:00 a.m., local time, or at any postponement or adjournment thereof, for the purposes set forth herein and in the accompanying notice.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proxy solicitation materials will be distributed on or about November 5, 2010 to all shareholders entitled to vote at the meeting.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and Shares Outstanding</w:t>
      </w:r>
    </w:p>
    <w:p>
      <w:pPr>
        <w:spacing w:after="0" w:line="25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Shareholders of record at the close of business on October 25, 2010 are entitled to notice of, and to vote at, the meeting. On the record date, 8,929,421 shares of common stock were issued and outstanding. Each holder of common stock will be entitled to one vote for each share of common stock held on the record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56"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By completing and submitting the proxy (whether over the internet, by telephone, or by signing, dating and mailing a proxy card), the shareholder authorizes Zeynep Hakimoglu, Chairman and Chief Executive Officer, and Narsi Narayanan, Corporate Secretary, as designated on the face of the proxy, to vote all shares for the shareholder. All proxies that are properly completed and submitted will be voted as the shareholder directs. If no direction is given, executed proxies will be voted FOR the election of each of the nominees set forth in this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56"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A quorum must be present at the meeting in order for the shareholders to take official action. Under Utah law and our Articles of Incorporation and Bylaws, a quorum will exist if a majority of the total number of shares entitled to vote are present, in person or by proxy. Abstentions will be considered present and entitled to vote at the meeting and will be counted for purposes of determining the presence of a quorum, but as unvoted for purposes of determining the approval of any matter currently proposed for action at the meeting. If a broker indicates on the proxy that as to certain shares it does not have discretionary authority to vote on a particular matter, those shares will not be considered as present and entitled to vote with respect to that matter. The election of directors is a non-r outine matter on which brokers are not allowed to vote unless they have received voting instructions from their</w:t>
      </w:r>
    </w:p>
    <w:p>
      <w:pPr>
        <w:spacing w:after="0" w:line="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customers. Assuming that a quorum is present, the election of directors will be determined by plurality vote. The Board of Directors recommends that an affirmative vote be cast in favor of all nominees listed in the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56" w:lineRule="exact"/>
        <w:rPr>
          <w:sz w:val="20"/>
          <w:szCs w:val="20"/>
          <w:color w:val="auto"/>
        </w:rPr>
      </w:pPr>
    </w:p>
    <w:p>
      <w:pPr>
        <w:ind w:right="480" w:firstLine="648"/>
        <w:spacing w:after="0" w:line="342" w:lineRule="auto"/>
        <w:rPr>
          <w:sz w:val="20"/>
          <w:szCs w:val="20"/>
          <w:color w:val="auto"/>
        </w:rPr>
      </w:pPr>
      <w:r>
        <w:rPr>
          <w:rFonts w:ascii="Arial" w:cs="Arial" w:eastAsia="Arial" w:hAnsi="Arial"/>
          <w:sz w:val="16"/>
          <w:szCs w:val="16"/>
          <w:color w:val="auto"/>
        </w:rPr>
        <w:t>Any proxy given pursuant to this solicitation may be revoked by the person giving it at any time prior to its use by delivering to our Corporate Secretary a written notice of revocation or a duly executed proxy bearing a later date, or by attending the meeting and voting in person.</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- 1 -</w:t>
      </w:r>
    </w:p>
    <w:p>
      <w:pPr>
        <w:sectPr>
          <w:pgSz w:w="11900" w:h="16838" w:orient="portrait"/>
          <w:cols w:equalWidth="0" w:num="1">
            <w:col w:w="11380"/>
          </w:cols>
          <w:pgMar w:left="240" w:top="50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Solicitation</w:t>
      </w:r>
    </w:p>
    <w:p>
      <w:pPr>
        <w:spacing w:after="0" w:line="25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will pay the cost of this solicitation. In addition, we may reimburse brokerage firms and other persons representing beneficial owners of shares for their expenses in forwarding solicitation material to such beneficial owners. Proxies may also be solicited by certain of our directors, officers, and employees, without additional compensation, personally or by telephone, facsimile, or e-mail.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 and Other Matters</w:t>
      </w:r>
    </w:p>
    <w:p>
      <w:pPr>
        <w:spacing w:after="0" w:line="256"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Our Transition Report on Form 10-KT for the transition period from July 1, 2009 to December 31, 2009, which was made available to shareholders with or preceding this proxy statement, contains financial and other information about our company, but is not incorporated into this proxy statement and is not to be considered a part of these proxy soliciting materials or subject to Regulations 14A or 14C or to the liabilities of Section 18 of the Securities Exchange Act of 1934, as amended. The information contained in the “Audit and Compliance Committee Report” shall not be deemed “filed” with the Securities and Exchange Commission or subject to Regulations 14A or 14C or to the liabilities of Section 18 of the Exchange Act.</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We will provide, without charge, a printed copy of our transition report on Form 10-KT for the transition period from July 1, 2009 to December 31, 2009, as filed with the Securities and Exchange Commission, to each shareholder of record as of the record date that requests a copy in writing. Any such requests should be directed to our Corporate Secretary at our corporate offices set forth in this proxy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5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articles of incorporation and bylaws provide that our Board of Directors shall consist of not less than three nor more than nine members as the Board of Directors or our shareholders shall determine from time to time. The Board of Directors has currently fixed the number of directors at five. The term of each of our directors expires at the 2010 Annual Meeting. We have nominated all five existing directors for election at the meeting to serve until the next Annual Meeting of Shareholders or until their respective successors are duly elected and qualified. In the event any nominee is unable to serve, the proxies will be voted for a substitute nominee, if any, to be designated by our Board of Directors. The Board of Directors has no reason to believe any nominee will be unable or w ill decline to serve as a director.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unanimously recommends a vote “for” election of the nominees named herein.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 forth certain information regarding our directors and nominees for directors.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4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Name</w:t>
            </w:r>
          </w:p>
        </w:tc>
        <w:tc>
          <w:tcPr>
            <w:tcW w:w="146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88"/>
              </w:rPr>
              <w:t>Age</w:t>
            </w:r>
          </w:p>
        </w:tc>
        <w:tc>
          <w:tcPr>
            <w:tcW w:w="4560" w:type="dxa"/>
            <w:vAlign w:val="bottom"/>
            <w:tcBorders>
              <w:bottom w:val="single" w:sz="8" w:color="auto"/>
            </w:tcBorders>
          </w:tcPr>
          <w:p>
            <w:pPr>
              <w:ind w:left="2120"/>
              <w:spacing w:after="0"/>
              <w:rPr>
                <w:sz w:val="20"/>
                <w:szCs w:val="20"/>
                <w:color w:val="auto"/>
              </w:rPr>
            </w:pPr>
            <w:r>
              <w:rPr>
                <w:rFonts w:ascii="Arial" w:cs="Arial" w:eastAsia="Arial" w:hAnsi="Arial"/>
                <w:sz w:val="18"/>
                <w:szCs w:val="18"/>
                <w:b w:val="1"/>
                <w:bCs w:val="1"/>
                <w:color w:val="auto"/>
              </w:rPr>
              <w:t>Position</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Director Since</w:t>
            </w:r>
          </w:p>
        </w:tc>
      </w:tr>
      <w:tr>
        <w:trPr>
          <w:trHeight w:val="202"/>
        </w:trPr>
        <w:tc>
          <w:tcPr>
            <w:tcW w:w="20" w:type="dxa"/>
            <w:vAlign w:val="bottom"/>
          </w:tcPr>
          <w:p>
            <w:pPr>
              <w:spacing w:after="0"/>
              <w:rPr>
                <w:sz w:val="17"/>
                <w:szCs w:val="17"/>
                <w:color w:val="auto"/>
              </w:rPr>
            </w:pPr>
          </w:p>
        </w:tc>
        <w:tc>
          <w:tcPr>
            <w:tcW w:w="2940" w:type="dxa"/>
            <w:vAlign w:val="bottom"/>
          </w:tcPr>
          <w:p>
            <w:pPr>
              <w:spacing w:after="0" w:line="201" w:lineRule="exact"/>
              <w:rPr>
                <w:sz w:val="20"/>
                <w:szCs w:val="20"/>
                <w:color w:val="auto"/>
              </w:rPr>
            </w:pPr>
            <w:r>
              <w:rPr>
                <w:rFonts w:ascii="Arial" w:cs="Arial" w:eastAsia="Arial" w:hAnsi="Arial"/>
                <w:sz w:val="18"/>
                <w:szCs w:val="18"/>
                <w:color w:val="auto"/>
              </w:rPr>
              <w:t>Zeynep “Zee” Hakimoglu</w:t>
            </w:r>
          </w:p>
        </w:tc>
        <w:tc>
          <w:tcPr>
            <w:tcW w:w="1460" w:type="dxa"/>
            <w:vAlign w:val="bottom"/>
          </w:tcPr>
          <w:p>
            <w:pPr>
              <w:jc w:val="center"/>
              <w:ind w:left="550"/>
              <w:spacing w:after="0" w:line="201" w:lineRule="exact"/>
              <w:rPr>
                <w:sz w:val="20"/>
                <w:szCs w:val="20"/>
                <w:color w:val="auto"/>
              </w:rPr>
            </w:pPr>
            <w:r>
              <w:rPr>
                <w:rFonts w:ascii="Arial" w:cs="Arial" w:eastAsia="Arial" w:hAnsi="Arial"/>
                <w:sz w:val="18"/>
                <w:szCs w:val="18"/>
                <w:color w:val="auto"/>
                <w:w w:val="89"/>
              </w:rPr>
              <w:t>57</w:t>
            </w:r>
          </w:p>
        </w:tc>
        <w:tc>
          <w:tcPr>
            <w:tcW w:w="4560" w:type="dxa"/>
            <w:vAlign w:val="bottom"/>
          </w:tcPr>
          <w:p>
            <w:pPr>
              <w:ind w:left="280"/>
              <w:spacing w:after="0" w:line="201" w:lineRule="exact"/>
              <w:rPr>
                <w:sz w:val="20"/>
                <w:szCs w:val="20"/>
                <w:color w:val="auto"/>
              </w:rPr>
            </w:pPr>
            <w:r>
              <w:rPr>
                <w:rFonts w:ascii="Arial" w:cs="Arial" w:eastAsia="Arial" w:hAnsi="Arial"/>
                <w:sz w:val="18"/>
                <w:szCs w:val="18"/>
                <w:color w:val="auto"/>
              </w:rPr>
              <w:t>Chairman, Chief Executive Officer, and President</w:t>
            </w:r>
          </w:p>
        </w:tc>
        <w:tc>
          <w:tcPr>
            <w:tcW w:w="2440" w:type="dxa"/>
            <w:vAlign w:val="bottom"/>
          </w:tcPr>
          <w:p>
            <w:pPr>
              <w:jc w:val="center"/>
              <w:spacing w:after="0" w:line="201" w:lineRule="exact"/>
              <w:rPr>
                <w:sz w:val="20"/>
                <w:szCs w:val="20"/>
                <w:color w:val="auto"/>
              </w:rPr>
            </w:pPr>
            <w:r>
              <w:rPr>
                <w:rFonts w:ascii="Arial" w:cs="Arial" w:eastAsia="Arial" w:hAnsi="Arial"/>
                <w:sz w:val="18"/>
                <w:szCs w:val="18"/>
                <w:color w:val="auto"/>
                <w:w w:val="89"/>
              </w:rPr>
              <w:t>2006</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Brad R. Baldwin</w:t>
            </w:r>
          </w:p>
        </w:tc>
        <w:tc>
          <w:tcPr>
            <w:tcW w:w="1460" w:type="dxa"/>
            <w:vAlign w:val="bottom"/>
          </w:tcPr>
          <w:p>
            <w:pPr>
              <w:jc w:val="center"/>
              <w:ind w:left="550"/>
              <w:spacing w:after="0"/>
              <w:rPr>
                <w:sz w:val="20"/>
                <w:szCs w:val="20"/>
                <w:color w:val="auto"/>
              </w:rPr>
            </w:pPr>
            <w:r>
              <w:rPr>
                <w:rFonts w:ascii="Arial" w:cs="Arial" w:eastAsia="Arial" w:hAnsi="Arial"/>
                <w:sz w:val="18"/>
                <w:szCs w:val="18"/>
                <w:color w:val="auto"/>
                <w:w w:val="89"/>
              </w:rPr>
              <w:t>55</w:t>
            </w:r>
          </w:p>
        </w:tc>
        <w:tc>
          <w:tcPr>
            <w:tcW w:w="4560" w:type="dxa"/>
            <w:vAlign w:val="bottom"/>
          </w:tcPr>
          <w:p>
            <w:pPr>
              <w:ind w:left="280"/>
              <w:spacing w:after="0" w:line="216" w:lineRule="exact"/>
              <w:rPr>
                <w:sz w:val="20"/>
                <w:szCs w:val="20"/>
                <w:color w:val="auto"/>
              </w:rPr>
            </w:pPr>
            <w:r>
              <w:rPr>
                <w:rFonts w:ascii="Arial" w:cs="Arial" w:eastAsia="Arial" w:hAnsi="Arial"/>
                <w:sz w:val="25"/>
                <w:szCs w:val="25"/>
                <w:color w:val="auto"/>
                <w:vertAlign w:val="subscript"/>
              </w:rPr>
              <w:t>Director</w:t>
            </w:r>
            <w:r>
              <w:rPr>
                <w:rFonts w:ascii="Arial" w:cs="Arial" w:eastAsia="Arial" w:hAnsi="Arial"/>
                <w:sz w:val="11"/>
                <w:szCs w:val="11"/>
                <w:color w:val="auto"/>
              </w:rPr>
              <w:t xml:space="preserve"> (1)(2)(3)</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1988</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Larry R. Hendricks</w:t>
            </w:r>
          </w:p>
        </w:tc>
        <w:tc>
          <w:tcPr>
            <w:tcW w:w="1460" w:type="dxa"/>
            <w:vAlign w:val="bottom"/>
          </w:tcPr>
          <w:p>
            <w:pPr>
              <w:jc w:val="center"/>
              <w:ind w:left="550"/>
              <w:spacing w:after="0"/>
              <w:rPr>
                <w:sz w:val="20"/>
                <w:szCs w:val="20"/>
                <w:color w:val="auto"/>
              </w:rPr>
            </w:pPr>
            <w:r>
              <w:rPr>
                <w:rFonts w:ascii="Arial" w:cs="Arial" w:eastAsia="Arial" w:hAnsi="Arial"/>
                <w:sz w:val="18"/>
                <w:szCs w:val="18"/>
                <w:color w:val="auto"/>
                <w:w w:val="89"/>
              </w:rPr>
              <w:t>67</w:t>
            </w:r>
          </w:p>
        </w:tc>
        <w:tc>
          <w:tcPr>
            <w:tcW w:w="4560" w:type="dxa"/>
            <w:vAlign w:val="bottom"/>
          </w:tcPr>
          <w:p>
            <w:pPr>
              <w:ind w:left="280"/>
              <w:spacing w:after="0" w:line="216" w:lineRule="exact"/>
              <w:rPr>
                <w:sz w:val="20"/>
                <w:szCs w:val="20"/>
                <w:color w:val="auto"/>
              </w:rPr>
            </w:pPr>
            <w:r>
              <w:rPr>
                <w:rFonts w:ascii="Arial" w:cs="Arial" w:eastAsia="Arial" w:hAnsi="Arial"/>
                <w:sz w:val="25"/>
                <w:szCs w:val="25"/>
                <w:color w:val="auto"/>
                <w:vertAlign w:val="subscript"/>
              </w:rPr>
              <w:t>Director</w:t>
            </w:r>
            <w:r>
              <w:rPr>
                <w:rFonts w:ascii="Arial" w:cs="Arial" w:eastAsia="Arial" w:hAnsi="Arial"/>
                <w:sz w:val="11"/>
                <w:szCs w:val="11"/>
                <w:color w:val="auto"/>
              </w:rPr>
              <w:t xml:space="preserve"> (1)(2)(3)</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Scott M. Huntsman</w:t>
            </w:r>
          </w:p>
        </w:tc>
        <w:tc>
          <w:tcPr>
            <w:tcW w:w="1460" w:type="dxa"/>
            <w:vAlign w:val="bottom"/>
          </w:tcPr>
          <w:p>
            <w:pPr>
              <w:jc w:val="center"/>
              <w:ind w:left="550"/>
              <w:spacing w:after="0"/>
              <w:rPr>
                <w:sz w:val="20"/>
                <w:szCs w:val="20"/>
                <w:color w:val="auto"/>
              </w:rPr>
            </w:pPr>
            <w:r>
              <w:rPr>
                <w:rFonts w:ascii="Arial" w:cs="Arial" w:eastAsia="Arial" w:hAnsi="Arial"/>
                <w:sz w:val="18"/>
                <w:szCs w:val="18"/>
                <w:color w:val="auto"/>
                <w:w w:val="89"/>
              </w:rPr>
              <w:t>45</w:t>
            </w:r>
          </w:p>
        </w:tc>
        <w:tc>
          <w:tcPr>
            <w:tcW w:w="4560" w:type="dxa"/>
            <w:vAlign w:val="bottom"/>
          </w:tcPr>
          <w:p>
            <w:pPr>
              <w:ind w:left="280"/>
              <w:spacing w:after="0" w:line="216" w:lineRule="exact"/>
              <w:rPr>
                <w:sz w:val="20"/>
                <w:szCs w:val="20"/>
                <w:color w:val="auto"/>
              </w:rPr>
            </w:pPr>
            <w:r>
              <w:rPr>
                <w:rFonts w:ascii="Arial" w:cs="Arial" w:eastAsia="Arial" w:hAnsi="Arial"/>
                <w:sz w:val="25"/>
                <w:szCs w:val="25"/>
                <w:color w:val="auto"/>
                <w:vertAlign w:val="subscript"/>
              </w:rPr>
              <w:t>Director</w:t>
            </w:r>
            <w:r>
              <w:rPr>
                <w:rFonts w:ascii="Arial" w:cs="Arial" w:eastAsia="Arial" w:hAnsi="Arial"/>
                <w:sz w:val="11"/>
                <w:szCs w:val="11"/>
                <w:color w:val="auto"/>
              </w:rPr>
              <w:t xml:space="preserve"> (1)(2)(3)</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E. Bryan Bagley</w:t>
            </w:r>
          </w:p>
        </w:tc>
        <w:tc>
          <w:tcPr>
            <w:tcW w:w="1460" w:type="dxa"/>
            <w:vAlign w:val="bottom"/>
          </w:tcPr>
          <w:p>
            <w:pPr>
              <w:jc w:val="center"/>
              <w:ind w:left="550"/>
              <w:spacing w:after="0"/>
              <w:rPr>
                <w:sz w:val="20"/>
                <w:szCs w:val="20"/>
                <w:color w:val="auto"/>
              </w:rPr>
            </w:pPr>
            <w:r>
              <w:rPr>
                <w:rFonts w:ascii="Arial" w:cs="Arial" w:eastAsia="Arial" w:hAnsi="Arial"/>
                <w:sz w:val="18"/>
                <w:szCs w:val="18"/>
                <w:color w:val="auto"/>
                <w:w w:val="89"/>
              </w:rPr>
              <w:t>46</w:t>
            </w:r>
          </w:p>
        </w:tc>
        <w:tc>
          <w:tcPr>
            <w:tcW w:w="4560" w:type="dxa"/>
            <w:vAlign w:val="bottom"/>
          </w:tcPr>
          <w:p>
            <w:pPr>
              <w:ind w:left="280"/>
              <w:spacing w:after="0"/>
              <w:rPr>
                <w:sz w:val="20"/>
                <w:szCs w:val="20"/>
                <w:color w:val="auto"/>
              </w:rPr>
            </w:pPr>
            <w:r>
              <w:rPr>
                <w:rFonts w:ascii="Arial" w:cs="Arial" w:eastAsia="Arial" w:hAnsi="Arial"/>
                <w:sz w:val="18"/>
                <w:szCs w:val="18"/>
                <w:color w:val="auto"/>
              </w:rPr>
              <w:t>Director</w:t>
            </w:r>
          </w:p>
        </w:tc>
        <w:tc>
          <w:tcPr>
            <w:tcW w:w="2440" w:type="dxa"/>
            <w:vAlign w:val="bottom"/>
          </w:tcPr>
          <w:p>
            <w:pPr>
              <w:jc w:val="center"/>
              <w:spacing w:after="0"/>
              <w:rPr>
                <w:sz w:val="20"/>
                <w:szCs w:val="20"/>
                <w:color w:val="auto"/>
              </w:rPr>
            </w:pPr>
            <w:r>
              <w:rPr>
                <w:rFonts w:ascii="Arial" w:cs="Arial" w:eastAsia="Arial" w:hAnsi="Arial"/>
                <w:sz w:val="18"/>
                <w:szCs w:val="18"/>
                <w:color w:val="auto"/>
                <w:w w:val="89"/>
              </w:rPr>
              <w:t>2009</w:t>
            </w: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_______________________</w:t>
            </w:r>
          </w:p>
        </w:tc>
        <w:tc>
          <w:tcPr>
            <w:tcW w:w="14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Member of the Audit and Compliance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Member of the Nominating Committee</w:t>
      </w:r>
    </w:p>
    <w:p>
      <w:pPr>
        <w:spacing w:after="0" w:line="234"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b w:val="1"/>
          <w:bCs w:val="1"/>
          <w:color w:val="auto"/>
        </w:rPr>
        <w:t xml:space="preserve">Zee Hakimoglu </w:t>
      </w:r>
      <w:r>
        <w:rPr>
          <w:rFonts w:ascii="Arial" w:cs="Arial" w:eastAsia="Arial" w:hAnsi="Arial"/>
          <w:sz w:val="18"/>
          <w:szCs w:val="18"/>
          <w:color w:val="auto"/>
        </w:rPr>
        <w:t>has served as a director of our company since April 2006. Ms. Hakimoglu joined our company in December 2003 with more than</w:t>
      </w:r>
      <w:r>
        <w:rPr>
          <w:rFonts w:ascii="Arial" w:cs="Arial" w:eastAsia="Arial" w:hAnsi="Arial"/>
          <w:sz w:val="18"/>
          <w:szCs w:val="18"/>
          <w:b w:val="1"/>
          <w:bCs w:val="1"/>
          <w:color w:val="auto"/>
        </w:rPr>
        <w:t xml:space="preserve"> </w:t>
      </w:r>
      <w:r>
        <w:rPr>
          <w:rFonts w:ascii="Arial" w:cs="Arial" w:eastAsia="Arial" w:hAnsi="Arial"/>
          <w:sz w:val="18"/>
          <w:szCs w:val="18"/>
          <w:color w:val="auto"/>
        </w:rPr>
        <w:t>15 years of executive and senior-level, high-tech management experience and was appointed as President and Chief Executive Officer in July 2004 and Chairman of the Board in July 2007. She served in a variety of executive business development, product marketing, and engineering roles including Vice President of Product Line Management for ClearOne from December 2003 to July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- 2 -</w:t>
      </w:r>
    </w:p>
    <w:p>
      <w:pPr>
        <w:sectPr>
          <w:pgSz w:w="11900" w:h="16838" w:orient="portrait"/>
          <w:cols w:equalWidth="0" w:num="1">
            <w:col w:w="11420"/>
          </w:cols>
          <w:pgMar w:left="240" w:top="513" w:right="239" w:bottom="1440" w:gutter="0" w:footer="0" w:header="0"/>
        </w:sectPr>
      </w:pPr>
    </w:p>
    <w:bookmarkStart w:id="4" w:name="page5"/>
    <w:bookmarkEnd w:id="4"/>
    <w:p>
      <w:pPr>
        <w:jc w:val="both"/>
        <w:ind w:firstLine="975"/>
        <w:spacing w:after="0" w:line="269" w:lineRule="auto"/>
        <w:rPr>
          <w:sz w:val="20"/>
          <w:szCs w:val="20"/>
          <w:color w:val="auto"/>
        </w:rPr>
      </w:pPr>
      <w:r>
        <w:rPr>
          <w:rFonts w:ascii="Arial" w:cs="Arial" w:eastAsia="Arial" w:hAnsi="Arial"/>
          <w:sz w:val="19"/>
          <w:szCs w:val="19"/>
          <w:color w:val="auto"/>
        </w:rPr>
        <w:t>Prior to joining ClearOne, Ms. Hakimoglu served as Vice President of Product Line Management for Oplink Communications, a publicly traded developer of fiber optic subsystems and components from December 2001 to December 2002; President of OZ Optics USA, a manufacturer of fiber optic test equipment and components from August 2000 to November 2001; and various management positions including Vice President of Wireless Engineering and Vice President of the Wireless Business Unit for Aydin Corp., a telecommunications equipment company, formerly traded on the New York Stock Exchange from May 1982 until it was acquired in September 1996. She also was Vice President of Business Development for Kaifa Technology from October 1998 to August 2000 and was instrumental in its acquisition by E-Tek Dynamics, then again acquired by JDS Uniphas</w:t>
      </w:r>
    </w:p>
    <w:p>
      <w:pPr>
        <w:spacing w:after="0" w:line="5" w:lineRule="exact"/>
        <w:rPr>
          <w:sz w:val="20"/>
          <w:szCs w:val="20"/>
          <w:color w:val="auto"/>
        </w:rPr>
      </w:pPr>
    </w:p>
    <w:p>
      <w:pPr>
        <w:jc w:val="both"/>
        <w:ind w:firstLine="8"/>
        <w:spacing w:after="0" w:line="233" w:lineRule="auto"/>
        <w:tabs>
          <w:tab w:leader="none" w:pos="353" w:val="left"/>
        </w:tabs>
        <w:numPr>
          <w:ilvl w:val="0"/>
          <w:numId w:val="7"/>
        </w:numPr>
        <w:rPr>
          <w:rFonts w:ascii="Arial" w:cs="Arial" w:eastAsia="Arial" w:hAnsi="Arial"/>
          <w:sz w:val="22"/>
          <w:szCs w:val="22"/>
          <w:color w:val="auto"/>
        </w:rPr>
      </w:pPr>
      <w:r>
        <w:rPr>
          <w:rFonts w:ascii="Arial" w:cs="Arial" w:eastAsia="Arial" w:hAnsi="Arial"/>
          <w:sz w:val="22"/>
          <w:szCs w:val="22"/>
          <w:color w:val="auto"/>
        </w:rPr>
        <w:t>Through these acquisitions, she held the role of Deputy General Manager of the Kaifa Technology business unit. Ms. Hakimoglu earned a Bachelor of Science Degree in Physics from California State College, Sonoma, and a Master’s Degree in Physics from Drexel University. In light of Ms. Hakimoglu’s rich experience in the high-tech industry and her unique and extensive understanding of ClearOne’s business, our Board has concluded that Ms. Hakimoglu should continue to serve as a director.</w:t>
      </w:r>
    </w:p>
    <w:p>
      <w:pPr>
        <w:spacing w:after="0" w:line="216"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b w:val="1"/>
          <w:bCs w:val="1"/>
          <w:color w:val="auto"/>
        </w:rPr>
        <w:t xml:space="preserve">Brad R. Baldwin </w:t>
      </w:r>
      <w:r>
        <w:rPr>
          <w:rFonts w:ascii="Arial" w:cs="Arial" w:eastAsia="Arial" w:hAnsi="Arial"/>
          <w:sz w:val="18"/>
          <w:szCs w:val="18"/>
          <w:color w:val="auto"/>
        </w:rPr>
        <w:t>has served as a director of our company since October 1988. Mr. Baldwin is an attorney licensed to practice in Utah. Since April</w:t>
      </w:r>
      <w:r>
        <w:rPr>
          <w:rFonts w:ascii="Arial" w:cs="Arial" w:eastAsia="Arial" w:hAnsi="Arial"/>
          <w:sz w:val="18"/>
          <w:szCs w:val="18"/>
          <w:b w:val="1"/>
          <w:bCs w:val="1"/>
          <w:color w:val="auto"/>
        </w:rPr>
        <w:t xml:space="preserve"> </w:t>
      </w:r>
      <w:r>
        <w:rPr>
          <w:rFonts w:ascii="Arial" w:cs="Arial" w:eastAsia="Arial" w:hAnsi="Arial"/>
          <w:sz w:val="18"/>
          <w:szCs w:val="18"/>
          <w:color w:val="auto"/>
        </w:rPr>
        <w:t>2009, Mr. Baldwin has served as general counsel to the Wasatch Front Regional Multiple Listing Service (“WFRMLS “). The WFRMLS currently assists over 12,000 brokers, agents and appraisers with their MLS needs and services. From April 2001 to April 2009, he served as an attorney and investment real estate specialist with the commercial real estate business with Commerce CRG in Salt Lake City, Utah. From 1988 to 2000, he served as legal counsel and president of Bank One, Utah. He also practiced business, corporate and real estate law for ten years in Salt Lake City. He has a degree in finance from the University of Utah and a law degree from the University of Washington. He has served on the board of many community organizations, including the Salt Lake Area Chamber of Commerce, the Utah Bankers Association, and the Economic Development Corporation of Utah. In light of Mr. Baldwin’s legal background and unique understanding of our business due to his long service on our Board, the Board has concluded that Mr. Baldwin should continue to serve as a director.</w:t>
      </w:r>
    </w:p>
    <w:p>
      <w:pPr>
        <w:spacing w:after="0" w:line="21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color w:val="auto"/>
        </w:rPr>
        <w:t xml:space="preserve">Larry R. Hendricks </w:t>
      </w:r>
      <w:r>
        <w:rPr>
          <w:rFonts w:ascii="Arial" w:cs="Arial" w:eastAsia="Arial" w:hAnsi="Arial"/>
          <w:sz w:val="18"/>
          <w:szCs w:val="18"/>
          <w:color w:val="auto"/>
        </w:rPr>
        <w:t>has served as a director of our company since June 2003. Mr. Hendricks is a Certified Public Accountant who retired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2002 after serving as Vice President of Finance and General Manager of Daily Foods, Inc., a national meat processing company. During his 30-year career in accounting, he served as a self-employed CPA and worked for the international accounting firm Peat Marwick &amp; Mitchell. Mr. Hendricks has served on the boards of eight other organizations, including Tunex International, Habitat for Humanity, Daily Foods, and Skin Care International. He earned a Bachelor’s Degree in Accounting from Utah State University and a Master of Business Administration Degree from the University of Utah. &amp;# 160;In light of Mr. Hendricks’ background in finance and accounting and his deep understanding of our business after his service on our Board, the Board has concluded Mr. Hendricks should continue to serve as a director.</w:t>
      </w:r>
    </w:p>
    <w:p>
      <w:pPr>
        <w:spacing w:after="0" w:line="216" w:lineRule="exact"/>
        <w:rPr>
          <w:sz w:val="20"/>
          <w:szCs w:val="20"/>
          <w:color w:val="auto"/>
        </w:rPr>
      </w:pPr>
    </w:p>
    <w:p>
      <w:pPr>
        <w:ind w:right="240" w:firstLine="648"/>
        <w:spacing w:after="0" w:line="287" w:lineRule="auto"/>
        <w:rPr>
          <w:sz w:val="20"/>
          <w:szCs w:val="20"/>
          <w:color w:val="auto"/>
        </w:rPr>
      </w:pPr>
      <w:r>
        <w:rPr>
          <w:rFonts w:ascii="Arial" w:cs="Arial" w:eastAsia="Arial" w:hAnsi="Arial"/>
          <w:sz w:val="16"/>
          <w:szCs w:val="16"/>
          <w:b w:val="1"/>
          <w:bCs w:val="1"/>
          <w:color w:val="auto"/>
        </w:rPr>
        <w:t xml:space="preserve">Scott M. Huntsman </w:t>
      </w:r>
      <w:r>
        <w:rPr>
          <w:rFonts w:ascii="Arial" w:cs="Arial" w:eastAsia="Arial" w:hAnsi="Arial"/>
          <w:sz w:val="16"/>
          <w:szCs w:val="16"/>
          <w:color w:val="auto"/>
        </w:rPr>
        <w:t>has served as a director of our company since June 2003. Mr. Huntsman has served as President of GlobalSim, a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and simulation company, since February 2003, and as Chief Financial Officer from April 2002 to February 2003. Prior to GlobalSim, he spent 11 years on Wall Street as an investment banker, where he focused on mergers, acquisitions, and corporate finance transactions. Mr. Huntsman served at Donaldson, Lufkin and Jenrette Securities Corporation from August 1996 to 2000, when they merged with Credit Suisse First Boston where he served until October</w:t>
      </w:r>
    </w:p>
    <w:p>
      <w:pPr>
        <w:spacing w:after="0" w:line="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2001. Mr. Huntsman earned a Bachelor’s Degree from Columbia University and a Master of Business Administration Degree from The Wharton School at the Univer sity of Pennsylvania. He also studied at the London School of Economics as a Kohn Fellowship recipient. In light of Mr. Huntsman’s background in finance and particularly in the areas of mergers and acquisitions and corporate finance, and in view of his experience as a leader of a technology company, the Board has concluded Mr. Huntsman should continue to serve as a director.</w:t>
      </w:r>
    </w:p>
    <w:p>
      <w:pPr>
        <w:spacing w:after="0" w:line="21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b w:val="1"/>
          <w:bCs w:val="1"/>
          <w:color w:val="auto"/>
        </w:rPr>
        <w:t xml:space="preserve">E. Bryan Bagley </w:t>
      </w:r>
      <w:r>
        <w:rPr>
          <w:rFonts w:ascii="Arial" w:cs="Arial" w:eastAsia="Arial" w:hAnsi="Arial"/>
          <w:sz w:val="18"/>
          <w:szCs w:val="18"/>
          <w:color w:val="auto"/>
        </w:rPr>
        <w:t>has served as a director of our company since November 2009. Mr. Bagley was a director of Nevada Chemicals from June 2000</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company was sold in September 2008 and served as Chairman of the Board of Nevada Chemicals from December 2001 until September 2008. Since November 2002, Mr. Bagley has been a private investor managing accounts on his own behalf. From December 1991 to November 2002, Mr. Bagley served as a market maker for Wilson-Davis &amp; Company. Prior to that position, he served as a trader for Covey &amp; Co. and Bagley Securities. Mr. Bagley graduated from the University of Utah in 1987 with a Bachelor of Science degree in Economics. Mr. Bryan Bagley is the son of Edward D. Bagley, ou r former Chairman of the Board. Mr. Edward D. Bagley beneficially owns 23.3% of our issued and outstanding common stock. In light of Mr. Bagley’s prior experience as the chairman of a public company and the benefit that may accrue to our company from his leadership experience, the Board has concluded that Mr. Bagley should continue to serve as a director.</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- 3 -</w:t>
      </w:r>
    </w:p>
    <w:p>
      <w:pPr>
        <w:sectPr>
          <w:pgSz w:w="11900" w:h="16838" w:orient="portrait"/>
          <w:cols w:equalWidth="0" w:num="1">
            <w:col w:w="11420"/>
          </w:cols>
          <w:pgMar w:left="240" w:top="510" w:right="239" w:bottom="1440" w:gutter="0" w:footer="0" w:header="0"/>
        </w:sectPr>
      </w:pPr>
    </w:p>
    <w:bookmarkStart w:id="5" w:name="page6"/>
    <w:bookmarkEnd w:id="5"/>
    <w:p>
      <w:pPr>
        <w:jc w:val="both"/>
        <w:ind w:firstLine="739"/>
        <w:spacing w:after="0" w:line="257" w:lineRule="auto"/>
        <w:rPr>
          <w:sz w:val="20"/>
          <w:szCs w:val="20"/>
          <w:color w:val="auto"/>
        </w:rPr>
      </w:pPr>
      <w:r>
        <w:rPr>
          <w:rFonts w:ascii="Arial" w:cs="Arial" w:eastAsia="Arial" w:hAnsi="Arial"/>
          <w:sz w:val="18"/>
          <w:szCs w:val="18"/>
          <w:color w:val="auto"/>
        </w:rPr>
        <w:t>Security holders who would like to send communications to any director or the entire Board may do so by submitting such communications to ClearOne Communications, Inc., 5225 Wiley Post Way, Suite 500, Salt Lake City, Utah 84116, Attention: Investor Relations or investor_relations@clearone.com. The communications will then be forwarded to the appropriate director or the entire Board. The Board suggests, but does not require, that such submissions include the name and contact information of the security holder making the submission and a description of the matter that is the subject of the communication.</w:t>
      </w:r>
    </w:p>
    <w:p>
      <w:pPr>
        <w:spacing w:after="0" w:line="21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CORPORATE GOVERANCE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Relating to Corporate Governance and the Board of Directors</w:t>
      </w:r>
    </w:p>
    <w:p>
      <w:pPr>
        <w:spacing w:after="0" w:line="256"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Our Board of Directors has determined, after considering all the relevant facts and circumstances, that Messrs. Baldwin, Hendricks, and Huntsman are independent directors, as “independence” is defined by the listing standards of NASDAQ, because they have no relationship with us that would interfere with their exercise of independent judgment.</w:t>
      </w:r>
    </w:p>
    <w:p>
      <w:pPr>
        <w:spacing w:after="0" w:line="20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Our Board of Directors has an Audit and Compliance Committee, a Compensation Committee, and a Nominating Committee, each consisting entirely of independent directors.</w:t>
      </w:r>
    </w:p>
    <w:p>
      <w:pPr>
        <w:spacing w:after="0" w:line="19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Our Board of Directors has adopted charters for the Audit and Compliance, Compensation and Nominating Committees describing the authority and responsibilities delegated to each committee by the Board. We post on our website at </w:t>
      </w:r>
      <w:r>
        <w:rPr>
          <w:rFonts w:ascii="Arial" w:cs="Arial" w:eastAsia="Arial" w:hAnsi="Arial"/>
          <w:sz w:val="18"/>
          <w:szCs w:val="18"/>
          <w:u w:val="single" w:color="auto"/>
          <w:color w:val="auto"/>
        </w:rPr>
        <w:t>www.clearone.com</w:t>
      </w:r>
      <w:r>
        <w:rPr>
          <w:rFonts w:ascii="Arial" w:cs="Arial" w:eastAsia="Arial" w:hAnsi="Arial"/>
          <w:sz w:val="18"/>
          <w:szCs w:val="18"/>
          <w:color w:val="auto"/>
        </w:rPr>
        <w:t xml:space="preserve"> the charters of our Audit and Compliance, Compensation and Nominating Committees, our Code of Ethics, and any amendments or waivers thereto and any other corporate governance materials contemplated by SEC or NASDAQ regulations. These documents are also available in print to any stockholder requesting a copy in writing from our corporate secretary at our corporate offices set forth in this proxy statement.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56"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Board has no formal policy on whether the role of the Chairman of the Board and Chief Executive Officer should be held by separate persons. We believe it is important to maintain flexibility to have either combined offices or a separate Chairman and Chief Executive Officer structure as circumstances dictate and to make that determination based on the strategic and operational position and direction of the company and the character of the membership of the Board. The Board believes our current management structure, with Zeynep Hakimoglu serving as Chairman and Chief Executive Officer, is the optimal structure for us at this time. Ms. Hakimoglu possesses detailed and in-depth knowledge of the operational issues, opportunities and challenges facing the Comp any and its business, and also has a keen understanding of and ability to grasp our strategic position and opportunities. Given Ms. Hakimoglu’s particular skills and knowledge, as well as our size and stage of development, we believe Ms. Hakimoglu is best positioned to identify strategic priorities, develop agendas that the Board’s time and attention should be focused on as the most critical matters, and to lead the discussion and execution of strategy.</w:t>
      </w:r>
    </w:p>
    <w:p>
      <w:pPr>
        <w:spacing w:after="0" w:line="19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Chief Executive Officer and the independent directors have different perspectives and roles in strategy development. The Chief Executive Officer brings Company-specific experience and expertise, while the Company’s independent directors bring experience, oversight, and expertise from outside the Company and its industry. The Board believes its independent directors provide effective oversight of management, and that the combined role of Chief Executive Officer and Chairman promotes the development and execution of strategy and facilitates the flow of information between management and the Board, which is essential to effective corporate governance. Given the Board’s confidence in the effectiveness of the current balance of positions and personalities, we have not appointed a lead inde pendent director. The Board believes the combined role of Chief Executive Officer and Chairman, together with a Board whose majority of directors are independent, provides the appropriate balance between independent oversight of management and the development of strategy.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Role in Risk Oversight</w:t>
      </w:r>
    </w:p>
    <w:p>
      <w:pPr>
        <w:spacing w:after="0" w:line="256"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Board of Directors is responsible for overseeing the management of the business and affairs of the Company, but delegates day-to-day management of the Company to the Chief Executive Officer and our executive management team.</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- 4 -</w:t>
      </w:r>
    </w:p>
    <w:p>
      <w:pPr>
        <w:sectPr>
          <w:pgSz w:w="11900" w:h="16838" w:orient="portrait"/>
          <w:cols w:equalWidth="0" w:num="1">
            <w:col w:w="11420"/>
          </w:cols>
          <w:pgMar w:left="240" w:top="517" w:right="239" w:bottom="1440" w:gutter="0" w:footer="0" w:header="0"/>
        </w:sectPr>
      </w:pPr>
    </w:p>
    <w:bookmarkStart w:id="6" w:name="page7"/>
    <w:bookmarkEnd w:id="6"/>
    <w:p>
      <w:pPr>
        <w:jc w:val="both"/>
        <w:spacing w:after="0" w:line="255" w:lineRule="auto"/>
        <w:rPr>
          <w:sz w:val="20"/>
          <w:szCs w:val="20"/>
          <w:color w:val="auto"/>
        </w:rPr>
      </w:pPr>
      <w:r>
        <w:rPr>
          <w:rFonts w:ascii="Arial" w:cs="Arial" w:eastAsia="Arial" w:hAnsi="Arial"/>
          <w:sz w:val="18"/>
          <w:szCs w:val="18"/>
          <w:color w:val="auto"/>
        </w:rPr>
        <w:t>The Board of Directors is generally responsible for risk oversight, and the Audit and Compliance Committee assists the Board in fulfilling its responsibilities for general oversight of risk assessment and risk management. In addition, the other Board committees are also tasked with specific risk oversight functions pursuant to the terms of the committee charters or applicable NASDAQ rules. The Board as a whole and the various standing committees, in performing their respective risk oversight functions, have access to our company’s management team and external advisors, as necessary, and receive periodic presentations and reports from management, and incidental reports as matters arise, with respect to strategic, operational, financial, legal or other risks and the plans management has to control such risks.&lt; /font&gt;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b w:val="1"/>
          <w:bCs w:val="1"/>
          <w:color w:val="auto"/>
        </w:rPr>
        <w:t xml:space="preserve">Audit and Compliance Committee. </w:t>
      </w:r>
      <w:r>
        <w:rPr>
          <w:rFonts w:ascii="Arial" w:cs="Arial" w:eastAsia="Arial" w:hAnsi="Arial"/>
          <w:sz w:val="18"/>
          <w:szCs w:val="18"/>
          <w:color w:val="auto"/>
        </w:rPr>
        <w:t>The Audit and Compliance Committee meets to review and discuss our accounting practices and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with management and independent public accountants and to review our quarterly and annual financial statements. The Audit and Compliance Committee assists the Board of Directors in fulfilling its responsibility for oversight of the quality and integrity of our accounting, auditing, and reporting practices. The Audit and Compliance Committee’s primary duties include reviewing the scope and adequacy of our internal accounting and financial controls; reviewing the independence of our independent registered public accounting firm; approving the scope of our independent registered public accounting firm’s audit activities; approving the fees of our independent registered public accounting firm; approving any non-audit related services; reviewing the audit results; reviewing the objectivity and effectiveness of our internal audit function; and reviewing our financial reporting activities and the application of accounting standards and principles.</w:t>
      </w:r>
    </w:p>
    <w:p>
      <w:pPr>
        <w:spacing w:after="0" w:line="18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members of the Audit and Compliance Committee are Scott M. Huntsman (Chairman), Brad R. Baldwin, and Larry R. Hendricks. Each member of the audit committee, in addition to being independent under the standards of NASDAQ, is independent under the standards of the Securities and Exchange Commission’s rules and regulations pertaining to listed company audit committees. The Board of Directors has determined that Scott M. Huntsman is an “audit committee financial expert” in accordance with applicable rules and regulations of the SEC.</w:t>
      </w:r>
    </w:p>
    <w:p>
      <w:pPr>
        <w:spacing w:after="0" w:line="16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b w:val="1"/>
          <w:bCs w:val="1"/>
          <w:color w:val="auto"/>
        </w:rPr>
        <w:t xml:space="preserve">Compensation Committee. </w:t>
      </w:r>
      <w:r>
        <w:rPr>
          <w:rFonts w:ascii="Arial" w:cs="Arial" w:eastAsia="Arial" w:hAnsi="Arial"/>
          <w:sz w:val="18"/>
          <w:szCs w:val="18"/>
          <w:color w:val="auto"/>
        </w:rPr>
        <w:t>The Compensation Committee is responsible for overseeing, reviewing, and approving our executive compensation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programs. The members of the Compensation Committee are Brad R. Baldwin (Chairman), Larry R. Hendricks and Scott M. Huntsman. The Compensation Committee has not adopted a written charter.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objectives for executive officers are as follows:</w:t>
      </w:r>
    </w:p>
    <w:p>
      <w:pPr>
        <w:spacing w:after="0" w:line="225" w:lineRule="exact"/>
        <w:rPr>
          <w:sz w:val="20"/>
          <w:szCs w:val="20"/>
          <w:color w:val="auto"/>
        </w:rPr>
      </w:pPr>
    </w:p>
    <w:p>
      <w:pPr>
        <w:ind w:left="980" w:hanging="13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attract and retain highly qualified individuals capable of making significant contributions to the long-term success of our company;</w:t>
      </w:r>
    </w:p>
    <w:p>
      <w:pPr>
        <w:spacing w:after="0" w:line="34" w:lineRule="exact"/>
        <w:rPr>
          <w:rFonts w:ascii="Arial" w:cs="Arial" w:eastAsia="Arial" w:hAnsi="Arial"/>
          <w:sz w:val="17"/>
          <w:szCs w:val="17"/>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use incentive compensation to reinforce strategic performance objectives;</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align the interest of our executives with the interests of our shareholders such that risks and rewards of strategic decisions are shared; and</w:t>
      </w:r>
    </w:p>
    <w:p>
      <w:pPr>
        <w:spacing w:after="0" w:line="32" w:lineRule="exact"/>
        <w:rPr>
          <w:rFonts w:ascii="Arial" w:cs="Arial" w:eastAsia="Arial" w:hAnsi="Arial"/>
          <w:sz w:val="16"/>
          <w:szCs w:val="16"/>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reflect the value of each officer’s position in the marketplace and within our company.</w:t>
      </w:r>
    </w:p>
    <w:p>
      <w:pPr>
        <w:spacing w:after="0" w:line="21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Policies and Practices Related to ClearOne’s Compensation Program</w:t>
      </w:r>
      <w:r>
        <w:rPr>
          <w:rFonts w:ascii="Arial" w:cs="Arial" w:eastAsia="Arial" w:hAnsi="Arial"/>
          <w:sz w:val="16"/>
          <w:szCs w:val="16"/>
          <w:color w:val="auto"/>
        </w:rPr>
        <w:t>. We strive to create an overall compensation package for each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that satisfies the aforementioned objectives, recognizing that certain elements of compensation are better suited to reflect different compensation objectives. For example, as base salaries are the only element of compensation that are fixed in amount in advance of the year in which the compensation will be earned, the Compensation Committee believes that it is most appropriate to determine base salaries with a focus on the market practices for similarly situated officers at comparable companies as adjusted to reflect the individual officer’s performance during the preceding year. In contrast, cash bonuses and long-term incentives are better able to reflect our company’s performance as measured by financial metrics and are well-suited to motivate officers to achieve specific performance goals that the Compensation Committee has determined are in the best interests of our company. Equity grants are also well-suited to drive long-term performance and align management’s interests with those of shareholders. The Compensation Committee believes that as an officer’s responsibility increases, so does his or her ability to influence the performance of our company and accordingly, the proportion of his or her compensation that consists of his or her salary and cash bonus should decrease while the proportion of equity incentives to total compensation should increase.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- 5 -</w:t>
      </w:r>
    </w:p>
    <w:p>
      <w:pPr>
        <w:sectPr>
          <w:pgSz w:w="11900" w:h="16838" w:orient="portrait"/>
          <w:cols w:equalWidth="0" w:num="1">
            <w:col w:w="11420"/>
          </w:cols>
          <w:pgMar w:left="240" w:top="517" w:right="239" w:bottom="1440" w:gutter="0" w:footer="0" w:header="0"/>
        </w:sectPr>
      </w:pPr>
    </w:p>
    <w:bookmarkStart w:id="7" w:name="page8"/>
    <w:bookmarkEnd w:id="7"/>
    <w:p>
      <w:pPr>
        <w:ind w:right="40" w:firstLine="648"/>
        <w:spacing w:after="0" w:line="297" w:lineRule="auto"/>
        <w:rPr>
          <w:sz w:val="20"/>
          <w:szCs w:val="20"/>
          <w:color w:val="auto"/>
        </w:rPr>
      </w:pPr>
      <w:r>
        <w:rPr>
          <w:rFonts w:ascii="Arial" w:cs="Arial" w:eastAsia="Arial" w:hAnsi="Arial"/>
          <w:sz w:val="16"/>
          <w:szCs w:val="16"/>
          <w:i w:val="1"/>
          <w:iCs w:val="1"/>
          <w:color w:val="auto"/>
        </w:rPr>
        <w:t>Comparable Companies</w:t>
      </w:r>
      <w:r>
        <w:rPr>
          <w:rFonts w:ascii="Arial" w:cs="Arial" w:eastAsia="Arial" w:hAnsi="Arial"/>
          <w:sz w:val="16"/>
          <w:szCs w:val="16"/>
          <w:color w:val="auto"/>
        </w:rPr>
        <w:t>. In making compensation decisions, including assessing the competitiveness of the total compensation structure 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 the Compensation Committee considers compensation survey data from companies that the Compensation Committee has selected as comparable companies, namely comparable in terms of size and location. The Compensation Committee periodically reviews the companies that are included as comparable companies and makes revisions to the group as appropriate. During February 2010, the company obtained comparable compensation data from Equilar. The Compensation Committee reviewed the compensation data to ensure the company’s compensation of executives is reasonable.</w:t>
      </w:r>
    </w:p>
    <w:p>
      <w:pPr>
        <w:spacing w:after="0" w:line="158"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i w:val="1"/>
          <w:iCs w:val="1"/>
          <w:color w:val="auto"/>
        </w:rPr>
        <w:t>Equity Grant Practices</w:t>
      </w:r>
      <w:r>
        <w:rPr>
          <w:rFonts w:ascii="Arial" w:cs="Arial" w:eastAsia="Arial" w:hAnsi="Arial"/>
          <w:sz w:val="17"/>
          <w:szCs w:val="17"/>
          <w:color w:val="auto"/>
        </w:rPr>
        <w:t>. The Compensation Committee recognizes the importance of equity ownership in the alignment of shareholder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interests. The exercise price of each stock option awarded to our executive officers under our incentive compensation programs is equal to the closing price of our common stock on the date of grant, which is the date when the Compensation Committee acts to approve equity awards for senior executives. Performance-based equity awards are also granted to our named executive officers at this time.</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Compensation Committee establishes the criteria, and directs the implementation, of all compensation program elements for the executive officers. Generally, the base salary for each named executive officer is set at the beginning of each fiscal year by our Board of Directors after review of the recommendation of the Compensation Committee. The Compensation Committee considers the Chief Executive Officer’s appraisal of other executive officers’ general performance and looks especially to performance against predetermined goals before making its recommendation to the Board of Directors. In the past, the Compensation Committee has authorized the Chief Executive Officer to recruit executive officers and offer initial base salaries. The Chief Executive Officer recommends for the Comp ensation Committee’s approval the stock option grants and compensation related to achievement of non-quantitative goals under non-equity based incentive plans for other executive officers. The Compensation Committee did not employ any compensation consultants during the six-month transition period ended December 31, 2010.</w:t>
      </w:r>
    </w:p>
    <w:p>
      <w:pPr>
        <w:spacing w:after="0" w:line="17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Nominating Committee. </w:t>
      </w:r>
      <w:r>
        <w:rPr>
          <w:rFonts w:ascii="Arial" w:cs="Arial" w:eastAsia="Arial" w:hAnsi="Arial"/>
          <w:sz w:val="18"/>
          <w:szCs w:val="18"/>
          <w:color w:val="auto"/>
        </w:rPr>
        <w:t>The Nominating Committee is responsible for overseeing the nomination of our directors. The Nominating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selects, evaluates, and recommends to the full Board of Directors qualified candidates for election to the Board of Directors. The members of the Nominating Committee are Larry R. Hendricks (Chairman), Brad R. Baldwin, and Scott M. Huntsman.</w:t>
      </w:r>
    </w:p>
    <w:p>
      <w:pPr>
        <w:spacing w:after="0" w:line="18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Board of Directors will consider recommendations by shareholders for director nominees if the names of those nominees and relevant biographical information are submitted in writing to our company’s Secretary in the manner described for shareholder nominations below under the heading “Shareholder Proposals.” The Nominating Committee identifies and evaluates nominees for our Board of Directors, including nominees recommended by shareholders, based on numerous factors it considers appropriate, some of which may include strength of character, mature judgment, career specialization, relevant technical skills, diversity, and the extent to which the nominee would fill a present need on our Board of Directors. Although the Nominating Committee does not have a formal policy with regard to the considerat ion of diversity in identifying director nominees, the Nominating Committee strives to nominate directors with a variety of complementary skills so that, as a group, the Board will possess the appropriate talent, skills and expertise to oversee the Company’s business. All director nominations, whether submitted by a shareholder, the Nominating Committee, or the Board of Directors, will be evaluated in the same manner. The current nominees for director were recommended by the Nominating Committee and nominated by the Board of Directors, including the independent members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and Committee Meetings</w:t>
      </w:r>
    </w:p>
    <w:p>
      <w:pPr>
        <w:spacing w:after="0" w:line="229"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Our Board of Directors held a total of 3 meetings during the six month transition period from July 1, 2009 to December 31, 2009. No director attended fewer than 75% of the aggregate of (i) the total number of meetings of the Board of Directors; and (ii) the total number of meetings held by all committees of the Board of Directors on which such director was a member. Although we currently have no formal policy with respect to the attendance of members of the Board of Directors at the Annual Meetings of Shareholders, we encourage each of our directors to attend each annual meeting of shareholders. To that end, and to the extent reasonably practicable, we regularly schedule a meeting of the Board of Directors on the same day as our annual meeting of shareholders. All members of our Board of Direct ors except Scott M. Huntsman attended the 2009 Annual Meeting of Shareholders. During the six-month transition period from July 1, 2009 to December 31, 2009, the Audit and Compliance Committee held 3 meetings; the Compensation Committee held 2 meetings; and the Nominating Committee held 2 meetings.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- 6 -</w:t>
      </w:r>
    </w:p>
    <w:p>
      <w:pPr>
        <w:sectPr>
          <w:pgSz w:w="11900" w:h="16838" w:orient="portrait"/>
          <w:cols w:equalWidth="0" w:num="1">
            <w:col w:w="11400"/>
          </w:cols>
          <w:pgMar w:left="240" w:top="49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The Board of Directors adopted a code of ethics that applies to our Board of Directors, executive officers, and employees. The Company’s Code of Ethics is posted on our website at </w:t>
      </w:r>
      <w:r>
        <w:rPr>
          <w:rFonts w:ascii="Arial" w:cs="Arial" w:eastAsia="Arial" w:hAnsi="Arial"/>
          <w:sz w:val="18"/>
          <w:szCs w:val="18"/>
          <w:u w:val="single" w:color="auto"/>
          <w:color w:val="auto"/>
        </w:rPr>
        <w:t>www.clearone.com</w:t>
      </w:r>
      <w:r>
        <w:rPr>
          <w:rFonts w:ascii="Arial" w:cs="Arial" w:eastAsia="Arial" w:hAnsi="Arial"/>
          <w:sz w:val="18"/>
          <w:szCs w:val="18"/>
          <w:color w:val="auto"/>
        </w:rPr>
        <w:t xml:space="preserve"> .</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Section 16(a) of the Exchange Act,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and amendments to reports furnished to us during the six month transition period from July 1, 2009 to December 31, 2009, and written representations that no other reports were required, we believe that each person who, at any time during such fiscal year was a director, officer, or beneficial owner of more than 10% of our common stock, compl ied with all Section 16(a) filing requirements during such transition period, except that Edward Dallin Bagley, a beneficial owner of more than 10% of our common stock, Narsi Narayanan, our Vice President of Finance, and E. Bryan Bagley, a director each had one late filing on Form 4 related to changes of ownership.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140" w:type="dxa"/>
            <w:vAlign w:val="bottom"/>
          </w:tcPr>
          <w:p>
            <w:pPr>
              <w:ind w:left="420"/>
              <w:spacing w:after="0"/>
              <w:rPr>
                <w:sz w:val="20"/>
                <w:szCs w:val="20"/>
                <w:color w:val="auto"/>
              </w:rPr>
            </w:pPr>
            <w:r>
              <w:rPr>
                <w:rFonts w:ascii="Arial" w:cs="Arial" w:eastAsia="Arial" w:hAnsi="Arial"/>
                <w:sz w:val="18"/>
                <w:szCs w:val="18"/>
                <w:b w:val="1"/>
                <w:bCs w:val="1"/>
                <w:color w:val="auto"/>
              </w:rPr>
              <w:t>EXECUTIVE OFFICERS</w:t>
            </w:r>
          </w:p>
        </w:tc>
      </w:tr>
      <w:tr>
        <w:trPr>
          <w:trHeight w:val="432"/>
        </w:trPr>
        <w:tc>
          <w:tcPr>
            <w:tcW w:w="11420" w:type="dxa"/>
            <w:vAlign w:val="bottom"/>
            <w:gridSpan w:val="3"/>
          </w:tcPr>
          <w:p>
            <w:pPr>
              <w:spacing w:after="0"/>
              <w:rPr>
                <w:sz w:val="20"/>
                <w:szCs w:val="20"/>
                <w:color w:val="auto"/>
              </w:rPr>
            </w:pPr>
            <w:r>
              <w:rPr>
                <w:rFonts w:ascii="Arial" w:cs="Arial" w:eastAsia="Arial" w:hAnsi="Arial"/>
                <w:sz w:val="18"/>
                <w:szCs w:val="18"/>
                <w:color w:val="auto"/>
              </w:rPr>
              <w:t>The following table sets forth certain information regarding our executive officers.</w:t>
            </w:r>
          </w:p>
        </w:tc>
      </w:tr>
      <w:tr>
        <w:trPr>
          <w:trHeight w:val="439"/>
        </w:trPr>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60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b w:val="1"/>
                <w:bCs w:val="1"/>
                <w:color w:val="auto"/>
                <w:w w:val="88"/>
              </w:rPr>
              <w:t>Age</w:t>
            </w:r>
          </w:p>
        </w:tc>
        <w:tc>
          <w:tcPr>
            <w:tcW w:w="7140" w:type="dxa"/>
            <w:vAlign w:val="bottom"/>
            <w:tcBorders>
              <w:bottom w:val="single" w:sz="8" w:color="auto"/>
            </w:tcBorders>
          </w:tcPr>
          <w:p>
            <w:pPr>
              <w:ind w:left="3400"/>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2680" w:type="dxa"/>
            <w:vAlign w:val="bottom"/>
          </w:tcPr>
          <w:p>
            <w:pPr>
              <w:spacing w:after="0" w:line="201" w:lineRule="exact"/>
              <w:rPr>
                <w:sz w:val="20"/>
                <w:szCs w:val="20"/>
                <w:color w:val="auto"/>
              </w:rPr>
            </w:pPr>
            <w:r>
              <w:rPr>
                <w:rFonts w:ascii="Arial" w:cs="Arial" w:eastAsia="Arial" w:hAnsi="Arial"/>
                <w:sz w:val="18"/>
                <w:szCs w:val="18"/>
                <w:color w:val="auto"/>
              </w:rPr>
              <w:t>Zee Hakimoglu</w:t>
            </w:r>
          </w:p>
        </w:tc>
        <w:tc>
          <w:tcPr>
            <w:tcW w:w="1600" w:type="dxa"/>
            <w:vAlign w:val="bottom"/>
          </w:tcPr>
          <w:p>
            <w:pPr>
              <w:jc w:val="center"/>
              <w:ind w:left="570"/>
              <w:spacing w:after="0" w:line="201" w:lineRule="exact"/>
              <w:rPr>
                <w:sz w:val="20"/>
                <w:szCs w:val="20"/>
                <w:color w:val="auto"/>
              </w:rPr>
            </w:pPr>
            <w:r>
              <w:rPr>
                <w:rFonts w:ascii="Arial" w:cs="Arial" w:eastAsia="Arial" w:hAnsi="Arial"/>
                <w:sz w:val="18"/>
                <w:szCs w:val="18"/>
                <w:color w:val="auto"/>
                <w:w w:val="89"/>
              </w:rPr>
              <w:t>57</w:t>
            </w:r>
          </w:p>
        </w:tc>
        <w:tc>
          <w:tcPr>
            <w:tcW w:w="7140" w:type="dxa"/>
            <w:vAlign w:val="bottom"/>
          </w:tcPr>
          <w:p>
            <w:pPr>
              <w:ind w:left="300"/>
              <w:spacing w:after="0" w:line="201" w:lineRule="exact"/>
              <w:rPr>
                <w:sz w:val="20"/>
                <w:szCs w:val="20"/>
                <w:color w:val="auto"/>
              </w:rPr>
            </w:pPr>
            <w:r>
              <w:rPr>
                <w:rFonts w:ascii="Arial" w:cs="Arial" w:eastAsia="Arial" w:hAnsi="Arial"/>
                <w:sz w:val="18"/>
                <w:szCs w:val="18"/>
                <w:color w:val="auto"/>
              </w:rPr>
              <w:t>President, Chief Executive Officer, and Chairman of the Board of Directors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Narsi Narayanan</w:t>
            </w:r>
          </w:p>
        </w:tc>
        <w:tc>
          <w:tcPr>
            <w:tcW w:w="1600" w:type="dxa"/>
            <w:vAlign w:val="bottom"/>
          </w:tcPr>
          <w:p>
            <w:pPr>
              <w:jc w:val="center"/>
              <w:ind w:left="570"/>
              <w:spacing w:after="0"/>
              <w:rPr>
                <w:sz w:val="20"/>
                <w:szCs w:val="20"/>
                <w:color w:val="auto"/>
              </w:rPr>
            </w:pPr>
            <w:r>
              <w:rPr>
                <w:rFonts w:ascii="Arial" w:cs="Arial" w:eastAsia="Arial" w:hAnsi="Arial"/>
                <w:sz w:val="18"/>
                <w:szCs w:val="18"/>
                <w:color w:val="auto"/>
                <w:w w:val="89"/>
              </w:rPr>
              <w:t>40</w:t>
            </w:r>
          </w:p>
        </w:tc>
        <w:tc>
          <w:tcPr>
            <w:tcW w:w="7140" w:type="dxa"/>
            <w:vAlign w:val="bottom"/>
          </w:tcPr>
          <w:p>
            <w:pPr>
              <w:ind w:left="300"/>
              <w:spacing w:after="0"/>
              <w:rPr>
                <w:sz w:val="20"/>
                <w:szCs w:val="20"/>
                <w:color w:val="auto"/>
              </w:rPr>
            </w:pPr>
            <w:r>
              <w:rPr>
                <w:rFonts w:ascii="Arial" w:cs="Arial" w:eastAsia="Arial" w:hAnsi="Arial"/>
                <w:sz w:val="18"/>
                <w:szCs w:val="18"/>
                <w:color w:val="auto"/>
              </w:rPr>
              <w:t>Vice President of Finance and Corporate Secretary</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Tracy A. Bathurst</w:t>
            </w:r>
          </w:p>
        </w:tc>
        <w:tc>
          <w:tcPr>
            <w:tcW w:w="1600" w:type="dxa"/>
            <w:vAlign w:val="bottom"/>
          </w:tcPr>
          <w:p>
            <w:pPr>
              <w:jc w:val="center"/>
              <w:ind w:left="570"/>
              <w:spacing w:after="0"/>
              <w:rPr>
                <w:sz w:val="20"/>
                <w:szCs w:val="20"/>
                <w:color w:val="auto"/>
              </w:rPr>
            </w:pPr>
            <w:r>
              <w:rPr>
                <w:rFonts w:ascii="Arial" w:cs="Arial" w:eastAsia="Arial" w:hAnsi="Arial"/>
                <w:sz w:val="18"/>
                <w:szCs w:val="18"/>
                <w:color w:val="auto"/>
                <w:w w:val="89"/>
              </w:rPr>
              <w:t>46</w:t>
            </w:r>
          </w:p>
        </w:tc>
        <w:tc>
          <w:tcPr>
            <w:tcW w:w="7140" w:type="dxa"/>
            <w:vAlign w:val="bottom"/>
          </w:tcPr>
          <w:p>
            <w:pPr>
              <w:ind w:left="300"/>
              <w:spacing w:after="0"/>
              <w:rPr>
                <w:sz w:val="20"/>
                <w:szCs w:val="20"/>
                <w:color w:val="auto"/>
              </w:rPr>
            </w:pPr>
            <w:r>
              <w:rPr>
                <w:rFonts w:ascii="Arial" w:cs="Arial" w:eastAsia="Arial" w:hAnsi="Arial"/>
                <w:sz w:val="18"/>
                <w:szCs w:val="18"/>
                <w:color w:val="auto"/>
              </w:rPr>
              <w:t>Chief Strategy Officer</w:t>
            </w: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Michael E. Braithwaite</w:t>
            </w:r>
          </w:p>
        </w:tc>
        <w:tc>
          <w:tcPr>
            <w:tcW w:w="1600" w:type="dxa"/>
            <w:vAlign w:val="bottom"/>
          </w:tcPr>
          <w:p>
            <w:pPr>
              <w:jc w:val="center"/>
              <w:ind w:left="570"/>
              <w:spacing w:after="0"/>
              <w:rPr>
                <w:sz w:val="20"/>
                <w:szCs w:val="20"/>
                <w:color w:val="auto"/>
              </w:rPr>
            </w:pPr>
            <w:r>
              <w:rPr>
                <w:rFonts w:ascii="Arial" w:cs="Arial" w:eastAsia="Arial" w:hAnsi="Arial"/>
                <w:sz w:val="18"/>
                <w:szCs w:val="18"/>
                <w:color w:val="auto"/>
                <w:w w:val="89"/>
              </w:rPr>
              <w:t>42</w:t>
            </w:r>
          </w:p>
        </w:tc>
        <w:tc>
          <w:tcPr>
            <w:tcW w:w="7140" w:type="dxa"/>
            <w:vAlign w:val="bottom"/>
          </w:tcPr>
          <w:p>
            <w:pPr>
              <w:ind w:left="300"/>
              <w:spacing w:after="0"/>
              <w:rPr>
                <w:sz w:val="20"/>
                <w:szCs w:val="20"/>
                <w:color w:val="auto"/>
              </w:rPr>
            </w:pPr>
            <w:r>
              <w:rPr>
                <w:rFonts w:ascii="Arial" w:cs="Arial" w:eastAsia="Arial" w:hAnsi="Arial"/>
                <w:sz w:val="18"/>
                <w:szCs w:val="18"/>
                <w:color w:val="auto"/>
              </w:rPr>
              <w:t>Senior Vice President of Technology</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biography of Ms. Hakimoglu, see “Nominees for Director.”</w:t>
      </w:r>
    </w:p>
    <w:p>
      <w:pPr>
        <w:spacing w:after="0" w:line="22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color w:val="auto"/>
        </w:rPr>
        <w:t xml:space="preserve">Narsi Narayanan </w:t>
      </w:r>
      <w:r>
        <w:rPr>
          <w:rFonts w:ascii="Arial" w:cs="Arial" w:eastAsia="Arial" w:hAnsi="Arial"/>
          <w:sz w:val="17"/>
          <w:szCs w:val="17"/>
          <w:color w:val="auto"/>
        </w:rPr>
        <w:t>has served as our Vice President of Finance since July 2009 and has over 15 years of professional experience in the areas of</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finance and taxes. Prior to joining our company, he managed the SEC reporting, US GAAP accounting research, SOX compliance and other financial reporting functions from August 2007 through February 2009 at Solo Cup Company, a publicly reporting international consumer products company. Prior to that, Mr. Narayanan managed the accounting and finance functions, including SEC Reporting, SOX compliance and US GAAP accounting research, from June 2004 through August 2007 at eCollege.com, a leading technology company serving private educational institutions which was also a publicly reporting company before being acquir ed by Pearson Education group. In addition to being a Chartered Accountant, Mr. Narayanan has extensive experience working in public accounting and in various senior finance positions in India with large public companies. He is a Certified Public Accountant with graduate degrees in accounting (M. Acc.) and business (MBA-Finance).</w:t>
      </w:r>
    </w:p>
    <w:p>
      <w:pPr>
        <w:spacing w:after="0" w:line="172"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b w:val="1"/>
          <w:bCs w:val="1"/>
          <w:color w:val="auto"/>
        </w:rPr>
        <w:t xml:space="preserve">Tracy A. Bathurst </w:t>
      </w:r>
      <w:r>
        <w:rPr>
          <w:rFonts w:ascii="Arial" w:cs="Arial" w:eastAsia="Arial" w:hAnsi="Arial"/>
          <w:sz w:val="18"/>
          <w:szCs w:val="18"/>
          <w:color w:val="auto"/>
        </w:rPr>
        <w:t>joined our company in September 1988 and held several positions with us before being named Chief Strategy Officer in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2009. He most recently served as our Chief Technology Officer and has nearly 20 years experience in defining and developing communications-related products and technology. Mr. Bathurst previously led the design and development of our high performance audio and telecommunications equipment. Mr. Bathurst currently oversees product market strategy and overall product strategy. He earned a Bachelor of Science degree in Industrial Technology from Southern Utah University.</w:t>
      </w:r>
    </w:p>
    <w:p>
      <w:pPr>
        <w:spacing w:after="0" w:line="184" w:lineRule="exact"/>
        <w:rPr>
          <w:sz w:val="20"/>
          <w:szCs w:val="20"/>
          <w:color w:val="auto"/>
        </w:rPr>
      </w:pPr>
    </w:p>
    <w:p>
      <w:pPr>
        <w:jc w:val="both"/>
        <w:ind w:firstLine="700"/>
        <w:spacing w:after="0" w:line="298" w:lineRule="auto"/>
        <w:rPr>
          <w:sz w:val="20"/>
          <w:szCs w:val="20"/>
          <w:color w:val="auto"/>
        </w:rPr>
      </w:pPr>
      <w:r>
        <w:rPr>
          <w:rFonts w:ascii="Arial" w:cs="Arial" w:eastAsia="Arial" w:hAnsi="Arial"/>
          <w:sz w:val="16"/>
          <w:szCs w:val="16"/>
          <w:b w:val="1"/>
          <w:bCs w:val="1"/>
          <w:color w:val="auto"/>
        </w:rPr>
        <w:t xml:space="preserve">Michael Braithwaite </w:t>
      </w:r>
      <w:r>
        <w:rPr>
          <w:rFonts w:ascii="Arial" w:cs="Arial" w:eastAsia="Arial" w:hAnsi="Arial"/>
          <w:sz w:val="16"/>
          <w:szCs w:val="16"/>
          <w:color w:val="auto"/>
        </w:rPr>
        <w:t>joined us in November 2009 through the acquisition of NetStreams, Inc. where he was the co-founder and CTO since 2004.</w:t>
      </w:r>
      <w:r>
        <w:rPr>
          <w:rFonts w:ascii="Arial" w:cs="Arial" w:eastAsia="Arial" w:hAnsi="Arial"/>
          <w:sz w:val="16"/>
          <w:szCs w:val="16"/>
          <w:b w:val="1"/>
          <w:bCs w:val="1"/>
          <w:color w:val="auto"/>
        </w:rPr>
        <w:t xml:space="preserve"> </w:t>
      </w:r>
      <w:r>
        <w:rPr>
          <w:rFonts w:ascii="Arial" w:cs="Arial" w:eastAsia="Arial" w:hAnsi="Arial"/>
          <w:sz w:val="16"/>
          <w:szCs w:val="16"/>
          <w:color w:val="auto"/>
        </w:rPr>
        <w:t>Mr. Braithwaite has led a distinguished twenty-year career as a visionary, disruptive innovator, and proven leader in the professional audio and consumer electronics industries. He has authored more than twenty U.S. and International patents. Before NetStreams, Inc., Mr. Braithwaite was a product and market manager for Crestron Electronics where he worked on highly successful audio and video distribution products. He currently serves as a Chairman on the Consumer Electronics Association’s R10 working group technical committees and i s a very active member in technology standard efforts.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- 7 -</w:t>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tables set forth for the periods indicated the compensation paid or earned by each named executive officer for the transition period ended December 31, 2009, and fiscal years ending June 30, 2009 and June 30, 2008.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80" w:type="dxa"/>
            <w:vAlign w:val="bottom"/>
            <w:gridSpan w:val="6"/>
          </w:tcPr>
          <w:p>
            <w:pPr>
              <w:jc w:val="right"/>
              <w:spacing w:after="0"/>
              <w:rPr>
                <w:sz w:val="20"/>
                <w:szCs w:val="20"/>
                <w:color w:val="auto"/>
              </w:rPr>
            </w:pPr>
            <w:r>
              <w:rPr>
                <w:rFonts w:ascii="Arial" w:cs="Arial" w:eastAsia="Arial" w:hAnsi="Arial"/>
                <w:sz w:val="18"/>
                <w:szCs w:val="18"/>
                <w:b w:val="1"/>
                <w:bCs w:val="1"/>
                <w:color w:val="auto"/>
              </w:rPr>
              <w:t>SUMMARY COMPENSATION TABLE</w:t>
            </w:r>
          </w:p>
        </w:tc>
        <w:tc>
          <w:tcPr>
            <w:tcW w:w="13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93"/>
              </w:rPr>
              <w:t>Non-Equity</w:t>
            </w: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Option</w:t>
            </w:r>
          </w:p>
        </w:tc>
        <w:tc>
          <w:tcPr>
            <w:tcW w:w="28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Incentive Plan</w:t>
            </w:r>
          </w:p>
        </w:tc>
        <w:tc>
          <w:tcPr>
            <w:tcW w:w="300" w:type="dxa"/>
            <w:vAlign w:val="bottom"/>
          </w:tcPr>
          <w:p>
            <w:pPr>
              <w:spacing w:after="0"/>
              <w:rPr>
                <w:sz w:val="18"/>
                <w:szCs w:val="18"/>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All Other</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480" w:type="dxa"/>
            <w:vAlign w:val="bottom"/>
            <w:tcBorders>
              <w:bottom w:val="single" w:sz="8" w:color="auto"/>
            </w:tcBorders>
          </w:tcPr>
          <w:p>
            <w:pPr>
              <w:ind w:left="1140"/>
              <w:spacing w:after="0"/>
              <w:rPr>
                <w:sz w:val="20"/>
                <w:szCs w:val="20"/>
                <w:color w:val="auto"/>
              </w:rPr>
            </w:pPr>
            <w:r>
              <w:rPr>
                <w:rFonts w:ascii="Arial" w:cs="Arial" w:eastAsia="Arial" w:hAnsi="Arial"/>
                <w:sz w:val="18"/>
                <w:szCs w:val="18"/>
                <w:b w:val="1"/>
                <w:bCs w:val="1"/>
                <w:color w:val="auto"/>
              </w:rPr>
              <w:t>Name and Principal Position</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Salary</w:t>
            </w: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Awards (1)</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Compensation (2)</w:t>
            </w:r>
          </w:p>
        </w:tc>
        <w:tc>
          <w:tcPr>
            <w:tcW w:w="17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w w:val="96"/>
              </w:rPr>
              <w:t>Compensation (3)</w:t>
            </w: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80" w:type="dxa"/>
            <w:vAlign w:val="bottom"/>
          </w:tcPr>
          <w:p>
            <w:pPr>
              <w:spacing w:after="0" w:line="201" w:lineRule="exact"/>
              <w:rPr>
                <w:sz w:val="20"/>
                <w:szCs w:val="20"/>
                <w:color w:val="auto"/>
              </w:rPr>
            </w:pPr>
            <w:r>
              <w:rPr>
                <w:rFonts w:ascii="Arial" w:cs="Arial" w:eastAsia="Arial" w:hAnsi="Arial"/>
                <w:sz w:val="18"/>
                <w:szCs w:val="18"/>
                <w:b w:val="1"/>
                <w:bCs w:val="1"/>
                <w:color w:val="auto"/>
                <w:w w:val="96"/>
              </w:rPr>
              <w:t xml:space="preserve">Zee Hakimoglu </w:t>
            </w:r>
            <w:r>
              <w:rPr>
                <w:rFonts w:ascii="Arial" w:cs="Arial" w:eastAsia="Arial" w:hAnsi="Arial"/>
                <w:sz w:val="18"/>
                <w:szCs w:val="18"/>
                <w:color w:val="auto"/>
                <w:w w:val="96"/>
              </w:rPr>
              <w:t>- Chairman of the Board, Chief Executive</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Officer and President</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Six months ended December 31, 2009</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110,000</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Year ended June 30, 2009</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215,157</w:t>
            </w:r>
          </w:p>
        </w:tc>
        <w:tc>
          <w:tcPr>
            <w:tcW w:w="2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87,000</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44,485</w:t>
            </w:r>
          </w:p>
        </w:tc>
        <w:tc>
          <w:tcPr>
            <w:tcW w:w="30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8,390</w:t>
            </w:r>
          </w:p>
        </w:tc>
        <w:tc>
          <w:tcPr>
            <w:tcW w:w="1000" w:type="dxa"/>
            <w:vAlign w:val="bottom"/>
          </w:tcPr>
          <w:p>
            <w:pPr>
              <w:jc w:val="right"/>
              <w:spacing w:after="0"/>
              <w:rPr>
                <w:sz w:val="20"/>
                <w:szCs w:val="20"/>
                <w:color w:val="auto"/>
              </w:rPr>
            </w:pPr>
            <w:r>
              <w:rPr>
                <w:rFonts w:ascii="Arial" w:cs="Arial" w:eastAsia="Arial" w:hAnsi="Arial"/>
                <w:sz w:val="18"/>
                <w:szCs w:val="18"/>
                <w:color w:val="auto"/>
              </w:rPr>
              <w:t>355,032</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Year ended June 30, 2008</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555,000</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7,267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762,267</w:t>
            </w: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 xml:space="preserve">Tracy A. Bathurst </w:t>
            </w:r>
            <w:r>
              <w:rPr>
                <w:rFonts w:ascii="Arial" w:cs="Arial" w:eastAsia="Arial" w:hAnsi="Arial"/>
                <w:sz w:val="18"/>
                <w:szCs w:val="18"/>
                <w:color w:val="auto"/>
              </w:rPr>
              <w:t>- Chief Strategy Officer</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Six months ended December 31, 2009</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72,500</w:t>
            </w:r>
          </w:p>
        </w:tc>
        <w:tc>
          <w:tcPr>
            <w:tcW w:w="2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12,732</w:t>
            </w:r>
          </w:p>
        </w:tc>
        <w:tc>
          <w:tcPr>
            <w:tcW w:w="30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85,232</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Year ended June 30, 2009</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142,123</w:t>
            </w:r>
          </w:p>
        </w:tc>
        <w:tc>
          <w:tcPr>
            <w:tcW w:w="2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43,500</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34,736</w:t>
            </w:r>
          </w:p>
        </w:tc>
        <w:tc>
          <w:tcPr>
            <w:tcW w:w="30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3,867</w:t>
            </w:r>
          </w:p>
        </w:tc>
        <w:tc>
          <w:tcPr>
            <w:tcW w:w="1000" w:type="dxa"/>
            <w:vAlign w:val="bottom"/>
          </w:tcPr>
          <w:p>
            <w:pPr>
              <w:jc w:val="right"/>
              <w:spacing w:after="0"/>
              <w:rPr>
                <w:sz w:val="20"/>
                <w:szCs w:val="20"/>
                <w:color w:val="auto"/>
              </w:rPr>
            </w:pPr>
            <w:r>
              <w:rPr>
                <w:rFonts w:ascii="Arial" w:cs="Arial" w:eastAsia="Arial" w:hAnsi="Arial"/>
                <w:sz w:val="18"/>
                <w:szCs w:val="18"/>
                <w:color w:val="auto"/>
              </w:rPr>
              <w:t>224,226</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Year ended June 30, 2008</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139,664</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92,500</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41,155</w:t>
            </w: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4,442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277,761</w:t>
            </w: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 xml:space="preserve">Narsi Narayanan </w:t>
            </w:r>
            <w:r>
              <w:rPr>
                <w:rFonts w:ascii="Arial" w:cs="Arial" w:eastAsia="Arial" w:hAnsi="Arial"/>
                <w:sz w:val="18"/>
                <w:szCs w:val="18"/>
                <w:color w:val="auto"/>
              </w:rPr>
              <w:t>(4) – Vice President of Finance and</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Corporate Secretary</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Six months ended December 31, 2009</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45,833</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36,300</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12,029</w:t>
            </w: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94,162</w:t>
            </w: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 xml:space="preserve">Michael Braithwaite (7) </w:t>
            </w:r>
            <w:r>
              <w:rPr>
                <w:rFonts w:ascii="Arial" w:cs="Arial" w:eastAsia="Arial" w:hAnsi="Arial"/>
                <w:sz w:val="18"/>
                <w:szCs w:val="18"/>
                <w:color w:val="auto"/>
              </w:rPr>
              <w:t>– Senior Vice President of</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Technology</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Six months ended December 31, 2009</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31,800</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56,800</w:t>
            </w: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 xml:space="preserve">Joseph P. Sorrentino </w:t>
            </w:r>
            <w:r>
              <w:rPr>
                <w:rFonts w:ascii="Arial" w:cs="Arial" w:eastAsia="Arial" w:hAnsi="Arial"/>
                <w:sz w:val="18"/>
                <w:szCs w:val="18"/>
                <w:color w:val="auto"/>
              </w:rPr>
              <w:t>(6) – Former Vice President of</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Worldwide Sales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Six months ended December 31, 2009</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79,110</w:t>
            </w:r>
          </w:p>
        </w:tc>
        <w:tc>
          <w:tcPr>
            <w:tcW w:w="2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5,438</w:t>
            </w:r>
          </w:p>
        </w:tc>
        <w:tc>
          <w:tcPr>
            <w:tcW w:w="30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84,548</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Year ended June 30, 2009</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60,500</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40,000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146,750</w:t>
            </w:r>
          </w:p>
        </w:tc>
        <w:tc>
          <w:tcPr>
            <w:tcW w:w="0" w:type="dxa"/>
            <w:vAlign w:val="bottom"/>
          </w:tcPr>
          <w:p>
            <w:pPr>
              <w:spacing w:after="0"/>
              <w:rPr>
                <w:sz w:val="1"/>
                <w:szCs w:val="1"/>
                <w:color w:val="auto"/>
              </w:rPr>
            </w:pPr>
          </w:p>
        </w:tc>
      </w:tr>
      <w:tr>
        <w:trPr>
          <w:trHeight w:val="202"/>
        </w:trPr>
        <w:tc>
          <w:tcPr>
            <w:tcW w:w="45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w w:val="96"/>
              </w:rPr>
              <w:t xml:space="preserve">Greg A. LeClaire </w:t>
            </w:r>
            <w:r>
              <w:rPr>
                <w:rFonts w:ascii="Arial" w:cs="Arial" w:eastAsia="Arial" w:hAnsi="Arial"/>
                <w:sz w:val="18"/>
                <w:szCs w:val="18"/>
                <w:color w:val="auto"/>
                <w:w w:val="96"/>
              </w:rPr>
              <w:t>(5) – Former Chief Financial Officer and</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Corporate Secretary</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Year ended June 30, 2009</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133,227</w:t>
            </w:r>
          </w:p>
        </w:tc>
        <w:tc>
          <w:tcPr>
            <w:tcW w:w="2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43,500</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30,008</w:t>
            </w:r>
          </w:p>
        </w:tc>
        <w:tc>
          <w:tcPr>
            <w:tcW w:w="30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12,169</w:t>
            </w:r>
          </w:p>
        </w:tc>
        <w:tc>
          <w:tcPr>
            <w:tcW w:w="1000" w:type="dxa"/>
            <w:vAlign w:val="bottom"/>
          </w:tcPr>
          <w:p>
            <w:pPr>
              <w:jc w:val="right"/>
              <w:spacing w:after="0"/>
              <w:rPr>
                <w:sz w:val="20"/>
                <w:szCs w:val="20"/>
                <w:color w:val="auto"/>
              </w:rPr>
            </w:pPr>
            <w:r>
              <w:rPr>
                <w:rFonts w:ascii="Arial" w:cs="Arial" w:eastAsia="Arial" w:hAnsi="Arial"/>
                <w:sz w:val="18"/>
                <w:szCs w:val="18"/>
                <w:color w:val="auto"/>
              </w:rPr>
              <w:t>218,904</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Year ended June 30, 2008</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149,615</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185,000</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49,311</w:t>
            </w: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6,744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390,670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80" w:hanging="652"/>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The assumptions made in the valuation of our option awards is disclosed in Note 11 - Share Based Payments in our Notes to Consolidated Financial Statements contained in this transition annual report on Form 10-KT.</w:t>
      </w:r>
    </w:p>
    <w:p>
      <w:pPr>
        <w:spacing w:after="0" w:line="51" w:lineRule="exact"/>
        <w:rPr>
          <w:rFonts w:ascii="Arial" w:cs="Arial" w:eastAsia="Arial" w:hAnsi="Arial"/>
          <w:sz w:val="18"/>
          <w:szCs w:val="18"/>
          <w:color w:val="auto"/>
        </w:rPr>
      </w:pPr>
    </w:p>
    <w:p>
      <w:pPr>
        <w:ind w:left="660" w:right="40" w:hanging="652"/>
        <w:spacing w:after="0" w:line="28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Non-Equity Incentive Plan Compensation is based upon the achievement of pre-determined quarterly goals, namely, quantitative financial goals comprising of revenue, gross margin and operating income, and non-quantitative performance goals. While quantitative financial goals are similar for all the executive officers, non-quantitative goals vary for each officer. Examples of non-quantitative goals include introduction of a new product, identification of a new distribution opportunity, implementing internal controls, and improving product quality. The Chief Executive Officer recommends to the Compensation Committee the compensation for achievement or partial achievement of any such predetermined</w:t>
      </w:r>
    </w:p>
    <w:p>
      <w:pPr>
        <w:spacing w:after="0" w:line="2" w:lineRule="exact"/>
        <w:rPr>
          <w:rFonts w:ascii="Arial" w:cs="Arial" w:eastAsia="Arial" w:hAnsi="Arial"/>
          <w:sz w:val="16"/>
          <w:szCs w:val="16"/>
          <w:color w:val="auto"/>
        </w:rPr>
      </w:pPr>
    </w:p>
    <w:p>
      <w:pPr>
        <w:ind w:left="660" w:right="120"/>
        <w:spacing w:after="0" w:line="253" w:lineRule="auto"/>
        <w:rPr>
          <w:rFonts w:ascii="Arial" w:cs="Arial" w:eastAsia="Arial" w:hAnsi="Arial"/>
          <w:sz w:val="16"/>
          <w:szCs w:val="16"/>
          <w:color w:val="auto"/>
        </w:rPr>
      </w:pPr>
      <w:r>
        <w:rPr>
          <w:rFonts w:ascii="Arial" w:cs="Arial" w:eastAsia="Arial" w:hAnsi="Arial"/>
          <w:sz w:val="18"/>
          <w:szCs w:val="18"/>
          <w:color w:val="auto"/>
        </w:rPr>
        <w:t>goal. Compensation under the non-equity incentive plan is calculated by assigning 70% weight to quantitative financial goals (with revenue, gross margin and operating income having e qual share) and 30% to non-quantitative goals. Of the amounts included above, Ms. Hakimoglu’s compensation for year ended June 30, 2009 included $15,385 for achieving financial goals and $29,100 for achieving non-quantitative goals. Mr. LeClaire’s compensation for the year ended June 30, 2009 included $6,119 for achieving financial goals and $23,889 for achieving non-quantitative goals.</w:t>
      </w:r>
    </w:p>
    <w:p>
      <w:pPr>
        <w:spacing w:after="0" w:line="331" w:lineRule="exact"/>
        <w:rPr>
          <w:rFonts w:ascii="Arial" w:cs="Arial" w:eastAsia="Arial" w:hAnsi="Arial"/>
          <w:sz w:val="16"/>
          <w:szCs w:val="16"/>
          <w:color w:val="auto"/>
        </w:rPr>
      </w:pPr>
    </w:p>
    <w:p>
      <w:pPr>
        <w:ind w:left="5680" w:hanging="86"/>
        <w:spacing w:after="0"/>
        <w:tabs>
          <w:tab w:leader="none" w:pos="5680" w:val="left"/>
        </w:tabs>
        <w:numPr>
          <w:ilvl w:val="1"/>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8 -</w:t>
      </w:r>
    </w:p>
    <w:p>
      <w:pPr>
        <w:sectPr>
          <w:pgSz w:w="11900" w:h="16838" w:orient="portrait"/>
          <w:cols w:equalWidth="0" w:num="1">
            <w:col w:w="11420"/>
          </w:cols>
          <w:pgMar w:left="240" w:top="270" w:right="239" w:bottom="1440" w:gutter="0" w:footer="0" w:header="0"/>
        </w:sectPr>
      </w:pPr>
    </w:p>
    <w:bookmarkStart w:id="10" w:name="page11"/>
    <w:bookmarkEnd w:id="10"/>
    <w:p>
      <w:pPr>
        <w:ind w:left="660" w:right="280"/>
        <w:spacing w:after="0" w:line="279" w:lineRule="auto"/>
        <w:rPr>
          <w:sz w:val="20"/>
          <w:szCs w:val="20"/>
          <w:color w:val="auto"/>
        </w:rPr>
      </w:pPr>
      <w:r>
        <w:rPr>
          <w:rFonts w:ascii="Arial" w:cs="Arial" w:eastAsia="Arial" w:hAnsi="Arial"/>
          <w:sz w:val="17"/>
          <w:szCs w:val="17"/>
          <w:color w:val="auto"/>
        </w:rPr>
        <w:t>Mr. Bathurst’s compensation for six months ended December 31, 2009 included $12,732 for achieving non-quantitative goals and during the year ended June 30, 2009, $5,915 for achieving financial goals and $28,821 for achieving non-quantitative goalsMr. Sorrentino’s compensation for the year ended June 30, 2009 included $5,438 towards achieving non-quantitative goals. Mr. Narayanan’s compensation for the six months ended December 31, 2009 includes $12,029 towards achieving non-quantitative goals.</w:t>
      </w:r>
    </w:p>
    <w:p>
      <w:pPr>
        <w:spacing w:after="0" w:line="171" w:lineRule="exact"/>
        <w:rPr>
          <w:sz w:val="20"/>
          <w:szCs w:val="20"/>
          <w:color w:val="auto"/>
        </w:rPr>
      </w:pPr>
    </w:p>
    <w:p>
      <w:pPr>
        <w:ind w:left="660" w:right="200" w:hanging="652"/>
        <w:spacing w:after="0" w:line="293"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amounts in the “All Other Compensation” column reflect the value of our 401(k) and Employee Stock Purchase Plan, or ESPP, matching contributions, paid time off, sign-on bonus and severance payments as follows. Ms. Hakimoglu received the following: 401(k) matching contribution of $6,009 during 2009 and $5,055 during 2008; and ESPP matching contribution of $2,381 during 2009 and $2,212 during 2008. Mr. LeClaire received the following: 401(k) matching contribution of $3,666 during 2009 and $5,096 during 2008; ESPP matching contribution of $1,517 during 2009 and $1,648 during 2008; and time off payout of $6,986 during 2009. Mr. Bathurst received the following: 401(k) matching contribution of $3,867 during 2009 and $4,442 during 2008. Mr. Sorrentino received $40,000 towards a sign-on bonus.</w:t>
      </w:r>
    </w:p>
    <w:p>
      <w:pPr>
        <w:spacing w:after="0" w:line="164" w:lineRule="exact"/>
        <w:rPr>
          <w:rFonts w:ascii="Arial" w:cs="Arial" w:eastAsia="Arial" w:hAnsi="Arial"/>
          <w:sz w:val="16"/>
          <w:szCs w:val="16"/>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Narayanan joined our company as our Vice President of Finance during July 2009.</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LeClaire left our company during May 2009.</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Sorrentino joined our company during April 2009 and left our company during December 2009.</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Braithwaite joined our company during November 2009.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w:t>
      </w:r>
    </w:p>
    <w:p>
      <w:pPr>
        <w:spacing w:after="0" w:line="229"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 following table provides information on the holdings of stock options by the named executive officers as of December 31, 2009. None of the officers listed exercised any stock options during the transition period ended December 31, 2009 or fiscal year ended June 30, 2009.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Number of</w:t>
            </w:r>
          </w:p>
        </w:tc>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jc w:val="center"/>
              <w:ind w:left="370"/>
              <w:spacing w:after="0"/>
              <w:rPr>
                <w:sz w:val="20"/>
                <w:szCs w:val="20"/>
                <w:color w:val="auto"/>
              </w:rPr>
            </w:pPr>
            <w:r>
              <w:rPr>
                <w:rFonts w:ascii="Arial" w:cs="Arial" w:eastAsia="Arial" w:hAnsi="Arial"/>
                <w:sz w:val="18"/>
                <w:szCs w:val="18"/>
                <w:b w:val="1"/>
                <w:bCs w:val="1"/>
                <w:color w:val="auto"/>
                <w:w w:val="85"/>
              </w:rPr>
              <w:t>Securities</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Underlying</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300" w:type="dxa"/>
            <w:vAlign w:val="bottom"/>
          </w:tcPr>
          <w:p>
            <w:pPr>
              <w:spacing w:after="0"/>
              <w:rPr>
                <w:sz w:val="18"/>
                <w:szCs w:val="18"/>
                <w:color w:val="auto"/>
              </w:rPr>
            </w:pPr>
          </w:p>
        </w:tc>
        <w:tc>
          <w:tcPr>
            <w:tcW w:w="108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Option</w:t>
            </w:r>
          </w:p>
        </w:tc>
        <w:tc>
          <w:tcPr>
            <w:tcW w:w="17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Options</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2"/>
              </w:rPr>
              <w:t>Underlying Options</w:t>
            </w:r>
          </w:p>
        </w:tc>
        <w:tc>
          <w:tcPr>
            <w:tcW w:w="300" w:type="dxa"/>
            <w:vAlign w:val="bottom"/>
          </w:tcPr>
          <w:p>
            <w:pPr>
              <w:spacing w:after="0"/>
              <w:rPr>
                <w:sz w:val="18"/>
                <w:szCs w:val="18"/>
                <w:color w:val="auto"/>
              </w:rPr>
            </w:pPr>
          </w:p>
        </w:tc>
        <w:tc>
          <w:tcPr>
            <w:tcW w:w="108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Exercise</w:t>
            </w:r>
          </w:p>
        </w:tc>
        <w:tc>
          <w:tcPr>
            <w:tcW w:w="176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3"/>
              </w:rPr>
              <w:t>Option Expiration</w:t>
            </w:r>
          </w:p>
        </w:tc>
      </w:tr>
      <w:tr>
        <w:trPr>
          <w:trHeight w:val="241"/>
        </w:trPr>
        <w:tc>
          <w:tcPr>
            <w:tcW w:w="20" w:type="dxa"/>
            <w:vAlign w:val="bottom"/>
          </w:tcPr>
          <w:p>
            <w:pPr>
              <w:spacing w:after="0"/>
              <w:rPr>
                <w:sz w:val="20"/>
                <w:szCs w:val="20"/>
                <w:color w:val="auto"/>
              </w:rPr>
            </w:pPr>
          </w:p>
        </w:tc>
        <w:tc>
          <w:tcPr>
            <w:tcW w:w="256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Name</w:t>
            </w:r>
          </w:p>
        </w:tc>
        <w:tc>
          <w:tcPr>
            <w:tcW w:w="208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89"/>
              </w:rPr>
              <w:t>Exercisable</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Unexercisable (1)</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0"/>
              </w:rPr>
              <w:t>Price</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Option Grant Date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02"/>
        </w:trPr>
        <w:tc>
          <w:tcPr>
            <w:tcW w:w="20" w:type="dxa"/>
            <w:vAlign w:val="bottom"/>
          </w:tcPr>
          <w:p>
            <w:pPr>
              <w:spacing w:after="0"/>
              <w:rPr>
                <w:sz w:val="17"/>
                <w:szCs w:val="17"/>
                <w:color w:val="auto"/>
              </w:rPr>
            </w:pPr>
          </w:p>
        </w:tc>
        <w:tc>
          <w:tcPr>
            <w:tcW w:w="2560" w:type="dxa"/>
            <w:vAlign w:val="bottom"/>
          </w:tcPr>
          <w:p>
            <w:pPr>
              <w:spacing w:after="0" w:line="201" w:lineRule="exact"/>
              <w:rPr>
                <w:sz w:val="20"/>
                <w:szCs w:val="20"/>
                <w:color w:val="auto"/>
              </w:rPr>
            </w:pPr>
            <w:r>
              <w:rPr>
                <w:rFonts w:ascii="Arial" w:cs="Arial" w:eastAsia="Arial" w:hAnsi="Arial"/>
                <w:sz w:val="18"/>
                <w:szCs w:val="18"/>
                <w:color w:val="auto"/>
              </w:rPr>
              <w:t>Zee Hakimoglu</w:t>
            </w:r>
          </w:p>
        </w:tc>
        <w:tc>
          <w:tcPr>
            <w:tcW w:w="20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50,000</w:t>
            </w:r>
          </w:p>
        </w:tc>
        <w:tc>
          <w:tcPr>
            <w:tcW w:w="19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6.40</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0"/>
              </w:rPr>
              <w:t>03/24/2004</w:t>
            </w:r>
          </w:p>
        </w:tc>
        <w:tc>
          <w:tcPr>
            <w:tcW w:w="1720" w:type="dxa"/>
            <w:vAlign w:val="bottom"/>
          </w:tcPr>
          <w:p>
            <w:pPr>
              <w:jc w:val="center"/>
              <w:spacing w:after="0" w:line="201" w:lineRule="exact"/>
              <w:rPr>
                <w:sz w:val="20"/>
                <w:szCs w:val="20"/>
                <w:color w:val="auto"/>
              </w:rPr>
            </w:pPr>
            <w:r>
              <w:rPr>
                <w:rFonts w:ascii="Arial" w:cs="Arial" w:eastAsia="Arial" w:hAnsi="Arial"/>
                <w:sz w:val="18"/>
                <w:szCs w:val="18"/>
                <w:color w:val="auto"/>
                <w:w w:val="90"/>
              </w:rPr>
              <w:t>03/24/2014</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100,000</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5.55</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07/26/2004</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07/26/2014</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150,000</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09/18/2006</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09/18/2016</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116,666</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33,334</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6.15</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08/14/2007</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08/14/2017</w:t>
            </w:r>
          </w:p>
        </w:tc>
      </w:tr>
      <w:tr>
        <w:trPr>
          <w:trHeight w:val="237"/>
        </w:trPr>
        <w:tc>
          <w:tcPr>
            <w:tcW w:w="20" w:type="dxa"/>
            <w:vAlign w:val="bottom"/>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18,055</w:t>
            </w:r>
          </w:p>
        </w:tc>
        <w:tc>
          <w:tcPr>
            <w:tcW w:w="1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31,945</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4.03</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11/14/2008</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11/14/2018</w:t>
            </w:r>
          </w:p>
        </w:tc>
      </w:tr>
      <w:tr>
        <w:trPr>
          <w:trHeight w:val="202"/>
        </w:trPr>
        <w:tc>
          <w:tcPr>
            <w:tcW w:w="20" w:type="dxa"/>
            <w:vAlign w:val="bottom"/>
          </w:tcPr>
          <w:p>
            <w:pPr>
              <w:spacing w:after="0"/>
              <w:rPr>
                <w:sz w:val="17"/>
                <w:szCs w:val="17"/>
                <w:color w:val="auto"/>
              </w:rPr>
            </w:pPr>
          </w:p>
        </w:tc>
        <w:tc>
          <w:tcPr>
            <w:tcW w:w="2560" w:type="dxa"/>
            <w:vAlign w:val="bottom"/>
          </w:tcPr>
          <w:p>
            <w:pPr>
              <w:spacing w:after="0" w:line="201" w:lineRule="exact"/>
              <w:rPr>
                <w:sz w:val="20"/>
                <w:szCs w:val="20"/>
                <w:color w:val="auto"/>
              </w:rPr>
            </w:pPr>
            <w:r>
              <w:rPr>
                <w:rFonts w:ascii="Arial" w:cs="Arial" w:eastAsia="Arial" w:hAnsi="Arial"/>
                <w:sz w:val="18"/>
                <w:szCs w:val="18"/>
                <w:color w:val="auto"/>
              </w:rPr>
              <w:t>Tracy A. Bathurst</w:t>
            </w:r>
          </w:p>
        </w:tc>
        <w:tc>
          <w:tcPr>
            <w:tcW w:w="20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50,000</w:t>
            </w:r>
          </w:p>
        </w:tc>
        <w:tc>
          <w:tcPr>
            <w:tcW w:w="19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0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15.25</w:t>
            </w:r>
          </w:p>
        </w:tc>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90"/>
              </w:rPr>
              <w:t>05/17/2000</w:t>
            </w:r>
          </w:p>
        </w:tc>
        <w:tc>
          <w:tcPr>
            <w:tcW w:w="1720" w:type="dxa"/>
            <w:vAlign w:val="bottom"/>
          </w:tcPr>
          <w:p>
            <w:pPr>
              <w:jc w:val="center"/>
              <w:spacing w:after="0" w:line="201" w:lineRule="exact"/>
              <w:rPr>
                <w:sz w:val="20"/>
                <w:szCs w:val="20"/>
                <w:color w:val="auto"/>
              </w:rPr>
            </w:pPr>
            <w:r>
              <w:rPr>
                <w:rFonts w:ascii="Arial" w:cs="Arial" w:eastAsia="Arial" w:hAnsi="Arial"/>
                <w:sz w:val="18"/>
                <w:szCs w:val="18"/>
                <w:color w:val="auto"/>
                <w:w w:val="90"/>
              </w:rPr>
              <w:t>05/17/2010</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5,000</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04/12/2004</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04/12/2014</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20,000</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01/27/2005</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01/27/2015</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25,000</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09/18/2006</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09/18/2016</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80" w:type="dxa"/>
            <w:vAlign w:val="bottom"/>
          </w:tcPr>
          <w:p>
            <w:pPr>
              <w:jc w:val="right"/>
              <w:ind w:right="70"/>
              <w:spacing w:after="0"/>
              <w:rPr>
                <w:sz w:val="20"/>
                <w:szCs w:val="20"/>
                <w:color w:val="auto"/>
              </w:rPr>
            </w:pPr>
            <w:r>
              <w:rPr>
                <w:rFonts w:ascii="Arial" w:cs="Arial" w:eastAsia="Arial" w:hAnsi="Arial"/>
                <w:sz w:val="18"/>
                <w:szCs w:val="18"/>
                <w:color w:val="auto"/>
              </w:rPr>
              <w:t>19,444</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5,556</w:t>
            </w:r>
          </w:p>
        </w:tc>
        <w:tc>
          <w:tcPr>
            <w:tcW w:w="3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6.15</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08/14/2007</w:t>
            </w: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08/14/2017</w:t>
            </w:r>
          </w:p>
        </w:tc>
      </w:tr>
      <w:tr>
        <w:trPr>
          <w:trHeight w:val="237"/>
        </w:trPr>
        <w:tc>
          <w:tcPr>
            <w:tcW w:w="20" w:type="dxa"/>
            <w:vAlign w:val="bottom"/>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9,027</w:t>
            </w:r>
          </w:p>
        </w:tc>
        <w:tc>
          <w:tcPr>
            <w:tcW w:w="1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15,973</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4.03</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11/14/2008</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11/14/2018</w:t>
            </w:r>
          </w:p>
        </w:tc>
      </w:tr>
      <w:tr>
        <w:trPr>
          <w:trHeight w:val="223"/>
        </w:trPr>
        <w:tc>
          <w:tcPr>
            <w:tcW w:w="2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Narsi Narayanan</w:t>
            </w:r>
          </w:p>
        </w:tc>
        <w:tc>
          <w:tcPr>
            <w:tcW w:w="2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30,000</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08/27/2009</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08/27/2019</w:t>
            </w:r>
          </w:p>
        </w:tc>
      </w:tr>
      <w:tr>
        <w:trPr>
          <w:trHeight w:val="223"/>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Michael Braithwaite</w:t>
            </w:r>
          </w:p>
        </w:tc>
        <w:tc>
          <w:tcPr>
            <w:tcW w:w="2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30,000</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11/30/2009</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11/30/2019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Unvested options vest monthly over a three year period beginning on the date of grant</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sets forth information as of December 31, 2009 with respect to compensation plans under which equity securities of ClearOne are authorized for issuance.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- 9 -</w:t>
      </w:r>
    </w:p>
    <w:p>
      <w:pPr>
        <w:sectPr>
          <w:pgSz w:w="11900" w:h="16838" w:orient="portrait"/>
          <w:cols w:equalWidth="0" w:num="1">
            <w:col w:w="11420"/>
          </w:cols>
          <w:pgMar w:left="240" w:top="57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47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to be</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remaining</w:t>
            </w:r>
          </w:p>
        </w:tc>
      </w:tr>
      <w:tr>
        <w:trPr>
          <w:trHeight w:val="216"/>
        </w:trPr>
        <w:tc>
          <w:tcPr>
            <w:tcW w:w="47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4"/>
              </w:rPr>
              <w:t>issued upon exercise</w:t>
            </w:r>
          </w:p>
        </w:tc>
        <w:tc>
          <w:tcPr>
            <w:tcW w:w="280" w:type="dxa"/>
            <w:vAlign w:val="bottom"/>
          </w:tcPr>
          <w:p>
            <w:pPr>
              <w:spacing w:after="0"/>
              <w:rPr>
                <w:sz w:val="18"/>
                <w:szCs w:val="18"/>
                <w:color w:val="auto"/>
              </w:rPr>
            </w:pPr>
          </w:p>
        </w:tc>
        <w:tc>
          <w:tcPr>
            <w:tcW w:w="2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Weighted-average exercise</w:t>
            </w:r>
          </w:p>
        </w:tc>
        <w:tc>
          <w:tcPr>
            <w:tcW w:w="2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available for future issuance</w:t>
            </w:r>
          </w:p>
        </w:tc>
      </w:tr>
      <w:tr>
        <w:trPr>
          <w:trHeight w:val="216"/>
        </w:trPr>
        <w:tc>
          <w:tcPr>
            <w:tcW w:w="47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7"/>
              </w:rPr>
              <w:t>of outstanding</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price of outstanding</w:t>
            </w:r>
          </w:p>
        </w:tc>
        <w:tc>
          <w:tcPr>
            <w:tcW w:w="2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under equity compensation</w:t>
            </w:r>
          </w:p>
        </w:tc>
      </w:tr>
      <w:tr>
        <w:trPr>
          <w:trHeight w:val="216"/>
        </w:trPr>
        <w:tc>
          <w:tcPr>
            <w:tcW w:w="47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options, warrants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options,</w:t>
            </w:r>
          </w:p>
        </w:tc>
        <w:tc>
          <w:tcPr>
            <w:tcW w:w="2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7"/>
              </w:rPr>
              <w:t>plans (excluding securities</w:t>
            </w:r>
          </w:p>
        </w:tc>
      </w:tr>
      <w:tr>
        <w:trPr>
          <w:trHeight w:val="216"/>
        </w:trPr>
        <w:tc>
          <w:tcPr>
            <w:tcW w:w="47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warrants and rights</w:t>
            </w:r>
          </w:p>
        </w:tc>
        <w:tc>
          <w:tcPr>
            <w:tcW w:w="2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reflected in column (a))</w:t>
            </w:r>
          </w:p>
        </w:tc>
      </w:tr>
      <w:tr>
        <w:trPr>
          <w:trHeight w:val="241"/>
        </w:trPr>
        <w:tc>
          <w:tcPr>
            <w:tcW w:w="476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5"/>
              </w:rPr>
              <w:t>(b)</w:t>
            </w:r>
          </w:p>
        </w:tc>
        <w:tc>
          <w:tcPr>
            <w:tcW w:w="28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02"/>
        </w:trPr>
        <w:tc>
          <w:tcPr>
            <w:tcW w:w="4760" w:type="dxa"/>
            <w:vAlign w:val="bottom"/>
          </w:tcPr>
          <w:p>
            <w:pPr>
              <w:spacing w:after="0" w:line="201" w:lineRule="exact"/>
              <w:rPr>
                <w:sz w:val="20"/>
                <w:szCs w:val="20"/>
                <w:color w:val="auto"/>
              </w:rPr>
            </w:pPr>
            <w:r>
              <w:rPr>
                <w:rFonts w:ascii="Arial" w:cs="Arial" w:eastAsia="Arial" w:hAnsi="Arial"/>
                <w:sz w:val="18"/>
                <w:szCs w:val="18"/>
                <w:color w:val="auto"/>
              </w:rPr>
              <w:t>Equity compensation plans approved by shareholders</w:t>
            </w:r>
          </w:p>
        </w:tc>
        <w:tc>
          <w:tcPr>
            <w:tcW w:w="1620" w:type="dxa"/>
            <w:vAlign w:val="bottom"/>
          </w:tcPr>
          <w:p>
            <w:pPr>
              <w:jc w:val="right"/>
              <w:spacing w:after="0" w:line="201" w:lineRule="exact"/>
              <w:rPr>
                <w:sz w:val="20"/>
                <w:szCs w:val="20"/>
                <w:color w:val="auto"/>
              </w:rPr>
            </w:pPr>
            <w:r>
              <w:rPr>
                <w:rFonts w:ascii="Arial" w:cs="Arial" w:eastAsia="Arial" w:hAnsi="Arial"/>
                <w:sz w:val="18"/>
                <w:szCs w:val="18"/>
                <w:color w:val="auto"/>
              </w:rPr>
              <w:t>1,226,117</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Pr>
          <w:p>
            <w:pPr>
              <w:jc w:val="right"/>
              <w:spacing w:after="0" w:line="201" w:lineRule="exact"/>
              <w:rPr>
                <w:sz w:val="20"/>
                <w:szCs w:val="20"/>
                <w:color w:val="auto"/>
              </w:rPr>
            </w:pPr>
            <w:r>
              <w:rPr>
                <w:rFonts w:ascii="Arial" w:cs="Arial" w:eastAsia="Arial" w:hAnsi="Arial"/>
                <w:sz w:val="18"/>
                <w:szCs w:val="18"/>
                <w:color w:val="auto"/>
              </w:rPr>
              <w:t>5.44</w:t>
            </w:r>
          </w:p>
        </w:tc>
        <w:tc>
          <w:tcPr>
            <w:tcW w:w="280" w:type="dxa"/>
            <w:vAlign w:val="bottom"/>
          </w:tcPr>
          <w:p>
            <w:pPr>
              <w:spacing w:after="0"/>
              <w:rPr>
                <w:sz w:val="17"/>
                <w:szCs w:val="17"/>
                <w:color w:val="auto"/>
              </w:rPr>
            </w:pPr>
          </w:p>
        </w:tc>
        <w:tc>
          <w:tcPr>
            <w:tcW w:w="2260" w:type="dxa"/>
            <w:vAlign w:val="bottom"/>
          </w:tcPr>
          <w:p>
            <w:pPr>
              <w:jc w:val="right"/>
              <w:spacing w:after="0" w:line="201" w:lineRule="exact"/>
              <w:rPr>
                <w:sz w:val="20"/>
                <w:szCs w:val="20"/>
                <w:color w:val="auto"/>
              </w:rPr>
            </w:pPr>
            <w:r>
              <w:rPr>
                <w:rFonts w:ascii="Arial" w:cs="Arial" w:eastAsia="Arial" w:hAnsi="Arial"/>
                <w:sz w:val="18"/>
                <w:szCs w:val="18"/>
                <w:color w:val="auto"/>
              </w:rPr>
              <w:t>753,344</w:t>
            </w:r>
          </w:p>
        </w:tc>
      </w:tr>
      <w:tr>
        <w:trPr>
          <w:trHeight w:val="237"/>
        </w:trPr>
        <w:tc>
          <w:tcPr>
            <w:tcW w:w="4760" w:type="dxa"/>
            <w:vAlign w:val="bottom"/>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60" w:type="dxa"/>
            <w:vAlign w:val="bottom"/>
          </w:tcPr>
          <w:p>
            <w:pPr>
              <w:ind w:left="3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1,226,117</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280" w:type="dxa"/>
            <w:vAlign w:val="bottom"/>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753,344</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As of the end of our transition period ended December 31, 2009, none of our named executive officers were party to an</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or severance agreement with us, and each named executive officer’s employment was on an “at-will” basis, permitting either us or the executive to terminate his or her employment for any reason or for no reason.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Accelerated Stock Option Vesting Upon a Change in Control</w:t>
      </w:r>
      <w:r>
        <w:rPr>
          <w:rFonts w:ascii="Arial" w:cs="Arial" w:eastAsia="Arial" w:hAnsi="Arial"/>
          <w:sz w:val="18"/>
          <w:szCs w:val="18"/>
          <w:color w:val="auto"/>
        </w:rPr>
        <w:t>. For certain option grants to executive officers and directors, in the event of a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all of such optionee’s unvested stock options will vest and become exercisable immediately prior to the event or closing of the transaction causing the change in control.</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Under the option grants, a “</w:t>
      </w:r>
      <w:r>
        <w:rPr>
          <w:rFonts w:ascii="Arial" w:cs="Arial" w:eastAsia="Arial" w:hAnsi="Arial"/>
          <w:sz w:val="18"/>
          <w:szCs w:val="18"/>
          <w:i w:val="1"/>
          <w:iCs w:val="1"/>
          <w:color w:val="auto"/>
        </w:rPr>
        <w:t>Change in Control</w:t>
      </w:r>
      <w:r>
        <w:rPr>
          <w:rFonts w:ascii="Arial" w:cs="Arial" w:eastAsia="Arial" w:hAnsi="Arial"/>
          <w:sz w:val="18"/>
          <w:szCs w:val="18"/>
          <w:color w:val="auto"/>
        </w:rPr>
        <w:t>” means a change in ownership or control of the Corporation effected through either of the following transactions:</w:t>
      </w:r>
    </w:p>
    <w:p>
      <w:pPr>
        <w:spacing w:after="0" w:line="170" w:lineRule="exact"/>
        <w:rPr>
          <w:sz w:val="20"/>
          <w:szCs w:val="20"/>
          <w:color w:val="auto"/>
        </w:rPr>
      </w:pPr>
    </w:p>
    <w:p>
      <w:pPr>
        <w:jc w:val="both"/>
        <w:ind w:right="140" w:firstLine="656"/>
        <w:spacing w:after="0" w:line="302" w:lineRule="auto"/>
        <w:tabs>
          <w:tab w:leader="none" w:pos="86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shareholders, which the Board does not recommend such shareholders to accept, or</w:t>
      </w:r>
    </w:p>
    <w:p>
      <w:pPr>
        <w:spacing w:after="0" w:line="154" w:lineRule="exact"/>
        <w:rPr>
          <w:rFonts w:ascii="Arial" w:cs="Arial" w:eastAsia="Arial" w:hAnsi="Arial"/>
          <w:sz w:val="16"/>
          <w:szCs w:val="16"/>
          <w:color w:val="auto"/>
        </w:rPr>
      </w:pPr>
    </w:p>
    <w:p>
      <w:pPr>
        <w:ind w:right="160" w:firstLine="656"/>
        <w:spacing w:after="0" w:line="302" w:lineRule="auto"/>
        <w:tabs>
          <w:tab w:leader="none" w:pos="913"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15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Except as otherwise set forth in an option grant, in the event of a change in control of our company, the Board of Directors has the sole authority to elect that the vesting of each outstanding option automatically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At our current stock price of about $3.54, Narsi Narayanan and Michael Braithwaite would each benefit from any potential accelerated vesting of unvested stock options.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- 10 -</w:t>
      </w:r>
    </w:p>
    <w:p>
      <w:pPr>
        <w:sectPr>
          <w:pgSz w:w="11900" w:h="16838" w:orient="portrait"/>
          <w:cols w:equalWidth="0" w:num="1">
            <w:col w:w="11420"/>
          </w:cols>
          <w:pgMar w:left="240" w:top="91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the compensation paid by us to non-employee directors for the transition period ended December 31, 2009 and the fiscal year ended June 30, 2009. Ms. Hakimoglu did not receive additional compensation for her service as a director.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16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Fees Earned or</w:t>
            </w:r>
          </w:p>
        </w:tc>
        <w:tc>
          <w:tcPr>
            <w:tcW w:w="19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Option Awards (2) (</w:t>
            </w:r>
          </w:p>
        </w:tc>
        <w:tc>
          <w:tcPr>
            <w:tcW w:w="4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232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Name</w:t>
            </w:r>
          </w:p>
        </w:tc>
        <w:tc>
          <w:tcPr>
            <w:tcW w:w="3120" w:type="dxa"/>
            <w:vAlign w:val="bottom"/>
            <w:tcBorders>
              <w:bottom w:val="single" w:sz="8" w:color="auto"/>
            </w:tcBorders>
          </w:tcPr>
          <w:p>
            <w:pPr>
              <w:ind w:left="1900"/>
              <w:spacing w:after="0"/>
              <w:rPr>
                <w:sz w:val="20"/>
                <w:szCs w:val="20"/>
                <w:color w:val="auto"/>
              </w:rPr>
            </w:pPr>
            <w:r>
              <w:rPr>
                <w:rFonts w:ascii="Arial" w:cs="Arial" w:eastAsia="Arial" w:hAnsi="Arial"/>
                <w:sz w:val="18"/>
                <w:szCs w:val="18"/>
                <w:b w:val="1"/>
                <w:bCs w:val="1"/>
                <w:color w:val="auto"/>
              </w:rPr>
              <w:t>Period</w:t>
            </w:r>
          </w:p>
        </w:tc>
        <w:tc>
          <w:tcPr>
            <w:tcW w:w="216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rPr>
              <w:t>Paid in Cash (1)</w:t>
            </w:r>
          </w:p>
        </w:tc>
        <w:tc>
          <w:tcPr>
            <w:tcW w:w="5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4)</w:t>
            </w:r>
          </w:p>
        </w:tc>
        <w:tc>
          <w:tcPr>
            <w:tcW w:w="4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Total</w:t>
            </w:r>
          </w:p>
        </w:tc>
      </w:tr>
      <w:tr>
        <w:trPr>
          <w:trHeight w:val="202"/>
        </w:trPr>
        <w:tc>
          <w:tcPr>
            <w:tcW w:w="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Brad R. Baldwin</w:t>
            </w:r>
          </w:p>
        </w:tc>
        <w:tc>
          <w:tcPr>
            <w:tcW w:w="3120" w:type="dxa"/>
            <w:vAlign w:val="bottom"/>
          </w:tcPr>
          <w:p>
            <w:pPr>
              <w:ind w:left="660"/>
              <w:spacing w:after="0" w:line="201" w:lineRule="exact"/>
              <w:rPr>
                <w:sz w:val="20"/>
                <w:szCs w:val="20"/>
                <w:color w:val="auto"/>
              </w:rPr>
            </w:pPr>
            <w:r>
              <w:rPr>
                <w:rFonts w:ascii="Arial" w:cs="Arial" w:eastAsia="Arial" w:hAnsi="Arial"/>
                <w:sz w:val="18"/>
                <w:szCs w:val="18"/>
                <w:color w:val="auto"/>
              </w:rPr>
              <w:t>Period ended 12/31/09</w:t>
            </w:r>
          </w:p>
        </w:tc>
        <w:tc>
          <w:tcPr>
            <w:tcW w:w="1160" w:type="dxa"/>
            <w:vAlign w:val="bottom"/>
          </w:tcPr>
          <w:p>
            <w:pPr>
              <w:ind w:left="720"/>
              <w:spacing w:after="0" w:line="201"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24,000</w:t>
            </w:r>
          </w:p>
        </w:tc>
        <w:tc>
          <w:tcPr>
            <w:tcW w:w="56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90"/>
              <w:spacing w:after="0" w:line="201" w:lineRule="exact"/>
              <w:rPr>
                <w:sz w:val="20"/>
                <w:szCs w:val="20"/>
                <w:color w:val="auto"/>
              </w:rPr>
            </w:pPr>
            <w:r>
              <w:rPr>
                <w:rFonts w:ascii="Arial" w:cs="Arial" w:eastAsia="Arial" w:hAnsi="Arial"/>
                <w:sz w:val="18"/>
                <w:szCs w:val="18"/>
                <w:color w:val="auto"/>
              </w:rPr>
              <w:t>26,100</w:t>
            </w:r>
          </w:p>
        </w:tc>
        <w:tc>
          <w:tcPr>
            <w:tcW w:w="48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50,100</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120" w:type="dxa"/>
            <w:vAlign w:val="bottom"/>
          </w:tcPr>
          <w:p>
            <w:pPr>
              <w:ind w:left="660"/>
              <w:spacing w:after="0"/>
              <w:rPr>
                <w:sz w:val="20"/>
                <w:szCs w:val="20"/>
                <w:color w:val="auto"/>
              </w:rPr>
            </w:pPr>
            <w:r>
              <w:rPr>
                <w:rFonts w:ascii="Arial" w:cs="Arial" w:eastAsia="Arial" w:hAnsi="Arial"/>
                <w:sz w:val="18"/>
                <w:szCs w:val="18"/>
                <w:color w:val="auto"/>
              </w:rPr>
              <w:t>Year ended 06/30/09</w:t>
            </w:r>
          </w:p>
        </w:tc>
        <w:tc>
          <w:tcPr>
            <w:tcW w:w="116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12,000</w:t>
            </w:r>
          </w:p>
        </w:tc>
        <w:tc>
          <w:tcPr>
            <w:tcW w:w="56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12,000</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Larry R. Hendricks</w:t>
            </w:r>
          </w:p>
        </w:tc>
        <w:tc>
          <w:tcPr>
            <w:tcW w:w="3120" w:type="dxa"/>
            <w:vAlign w:val="bottom"/>
          </w:tcPr>
          <w:p>
            <w:pPr>
              <w:ind w:left="660"/>
              <w:spacing w:after="0"/>
              <w:rPr>
                <w:sz w:val="20"/>
                <w:szCs w:val="20"/>
                <w:color w:val="auto"/>
              </w:rPr>
            </w:pPr>
            <w:r>
              <w:rPr>
                <w:rFonts w:ascii="Arial" w:cs="Arial" w:eastAsia="Arial" w:hAnsi="Arial"/>
                <w:sz w:val="18"/>
                <w:szCs w:val="18"/>
                <w:color w:val="auto"/>
              </w:rPr>
              <w:t>Period ended 12/31/09</w:t>
            </w:r>
          </w:p>
        </w:tc>
        <w:tc>
          <w:tcPr>
            <w:tcW w:w="116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24,000</w:t>
            </w:r>
          </w:p>
        </w:tc>
        <w:tc>
          <w:tcPr>
            <w:tcW w:w="56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26,100</w:t>
            </w:r>
          </w:p>
        </w:tc>
        <w:tc>
          <w:tcPr>
            <w:tcW w:w="48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50,100</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120" w:type="dxa"/>
            <w:vAlign w:val="bottom"/>
          </w:tcPr>
          <w:p>
            <w:pPr>
              <w:ind w:left="660"/>
              <w:spacing w:after="0"/>
              <w:rPr>
                <w:sz w:val="20"/>
                <w:szCs w:val="20"/>
                <w:color w:val="auto"/>
              </w:rPr>
            </w:pPr>
            <w:r>
              <w:rPr>
                <w:rFonts w:ascii="Arial" w:cs="Arial" w:eastAsia="Arial" w:hAnsi="Arial"/>
                <w:sz w:val="18"/>
                <w:szCs w:val="18"/>
                <w:color w:val="auto"/>
              </w:rPr>
              <w:t>Year ended 06/30/09</w:t>
            </w:r>
          </w:p>
        </w:tc>
        <w:tc>
          <w:tcPr>
            <w:tcW w:w="116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12,000</w:t>
            </w:r>
          </w:p>
        </w:tc>
        <w:tc>
          <w:tcPr>
            <w:tcW w:w="56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12,000</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Scott M. Huntsman</w:t>
            </w:r>
          </w:p>
        </w:tc>
        <w:tc>
          <w:tcPr>
            <w:tcW w:w="3120" w:type="dxa"/>
            <w:vAlign w:val="bottom"/>
          </w:tcPr>
          <w:p>
            <w:pPr>
              <w:ind w:left="660"/>
              <w:spacing w:after="0"/>
              <w:rPr>
                <w:sz w:val="20"/>
                <w:szCs w:val="20"/>
                <w:color w:val="auto"/>
              </w:rPr>
            </w:pPr>
            <w:r>
              <w:rPr>
                <w:rFonts w:ascii="Arial" w:cs="Arial" w:eastAsia="Arial" w:hAnsi="Arial"/>
                <w:sz w:val="18"/>
                <w:szCs w:val="18"/>
                <w:color w:val="auto"/>
              </w:rPr>
              <w:t>Period ended 12/31/09</w:t>
            </w:r>
          </w:p>
        </w:tc>
        <w:tc>
          <w:tcPr>
            <w:tcW w:w="116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24,000</w:t>
            </w:r>
          </w:p>
        </w:tc>
        <w:tc>
          <w:tcPr>
            <w:tcW w:w="56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26,100</w:t>
            </w:r>
          </w:p>
        </w:tc>
        <w:tc>
          <w:tcPr>
            <w:tcW w:w="48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50,100</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120" w:type="dxa"/>
            <w:vAlign w:val="bottom"/>
          </w:tcPr>
          <w:p>
            <w:pPr>
              <w:ind w:left="660"/>
              <w:spacing w:after="0"/>
              <w:rPr>
                <w:sz w:val="20"/>
                <w:szCs w:val="20"/>
                <w:color w:val="auto"/>
              </w:rPr>
            </w:pPr>
            <w:r>
              <w:rPr>
                <w:rFonts w:ascii="Arial" w:cs="Arial" w:eastAsia="Arial" w:hAnsi="Arial"/>
                <w:sz w:val="18"/>
                <w:szCs w:val="18"/>
                <w:color w:val="auto"/>
              </w:rPr>
              <w:t>Year ended 06/30/09</w:t>
            </w:r>
          </w:p>
        </w:tc>
        <w:tc>
          <w:tcPr>
            <w:tcW w:w="116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12,000</w:t>
            </w:r>
          </w:p>
        </w:tc>
        <w:tc>
          <w:tcPr>
            <w:tcW w:w="56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12,000</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E. Bryan Bagley (3)(4)</w:t>
            </w:r>
          </w:p>
        </w:tc>
        <w:tc>
          <w:tcPr>
            <w:tcW w:w="3120" w:type="dxa"/>
            <w:vAlign w:val="bottom"/>
          </w:tcPr>
          <w:p>
            <w:pPr>
              <w:ind w:left="660"/>
              <w:spacing w:after="0"/>
              <w:rPr>
                <w:sz w:val="20"/>
                <w:szCs w:val="20"/>
                <w:color w:val="auto"/>
              </w:rPr>
            </w:pPr>
            <w:r>
              <w:rPr>
                <w:rFonts w:ascii="Arial" w:cs="Arial" w:eastAsia="Arial" w:hAnsi="Arial"/>
                <w:sz w:val="18"/>
                <w:szCs w:val="18"/>
                <w:color w:val="auto"/>
              </w:rPr>
              <w:t>Period ended 12/31/09</w:t>
            </w:r>
          </w:p>
        </w:tc>
        <w:tc>
          <w:tcPr>
            <w:tcW w:w="116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2,000</w:t>
            </w:r>
          </w:p>
        </w:tc>
        <w:tc>
          <w:tcPr>
            <w:tcW w:w="560" w:type="dxa"/>
            <w:vAlign w:val="bottom"/>
          </w:tcPr>
          <w:p>
            <w:pPr>
              <w:spacing w:after="0"/>
              <w:rPr>
                <w:sz w:val="20"/>
                <w:szCs w:val="20"/>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15,900</w:t>
            </w:r>
          </w:p>
        </w:tc>
        <w:tc>
          <w:tcPr>
            <w:tcW w:w="480" w:type="dxa"/>
            <w:vAlign w:val="bottom"/>
          </w:tcPr>
          <w:p>
            <w:pPr>
              <w:spacing w:after="0"/>
              <w:rPr>
                <w:sz w:val="20"/>
                <w:szCs w:val="20"/>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17,900</w:t>
            </w:r>
          </w:p>
        </w:tc>
      </w:tr>
    </w:tbl>
    <w:p>
      <w:pPr>
        <w:spacing w:after="0" w:line="202" w:lineRule="exact"/>
        <w:rPr>
          <w:sz w:val="20"/>
          <w:szCs w:val="20"/>
          <w:color w:val="auto"/>
        </w:rPr>
      </w:pPr>
    </w:p>
    <w:p>
      <w:pPr>
        <w:ind w:left="660" w:right="8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base annual director’s fee for the six-month transition period ended December 31, 2009 (paid on a prorated basis) and year ended June 30, 2009 was $24,000.</w:t>
      </w:r>
    </w:p>
    <w:p>
      <w:pPr>
        <w:spacing w:after="0" w:line="386" w:lineRule="exact"/>
        <w:rPr>
          <w:rFonts w:ascii="Arial" w:cs="Arial" w:eastAsia="Arial" w:hAnsi="Arial"/>
          <w:sz w:val="18"/>
          <w:szCs w:val="18"/>
          <w:color w:val="auto"/>
        </w:rPr>
      </w:pPr>
    </w:p>
    <w:p>
      <w:pPr>
        <w:ind w:left="660" w:right="80" w:hanging="652"/>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amounts in the “Option Awards” column reflect the aggregate grant date fair value of awards of stock options granted pursuant to our long-term incentive plans during the periods reported above, computed in accordance with FASB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The assumptions made in the valuation of our option awards are disclosed in Note 11 - Share Based Payments in our Notes to Consolidated Financial Statements contained in this transition annual report on Form 10-KT.</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 Bryan Bagley became a director in November 2009.</w:t>
      </w:r>
    </w:p>
    <w:p>
      <w:pPr>
        <w:spacing w:after="0" w:line="225" w:lineRule="exact"/>
        <w:rPr>
          <w:rFonts w:ascii="Arial" w:cs="Arial" w:eastAsia="Arial" w:hAnsi="Arial"/>
          <w:sz w:val="18"/>
          <w:szCs w:val="18"/>
          <w:color w:val="auto"/>
        </w:rPr>
      </w:pPr>
    </w:p>
    <w:p>
      <w:pPr>
        <w:ind w:left="660" w:right="220" w:hanging="65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the end of December 31, 2009, each non-employee director had outstanding options to purchase the following number of company shares of common stock: Mr. Baldwin, 150,000; Mr. Hendricks, 75,000; Mr. Huntsman, 75,000; and Mr. Bagley, 15,000.</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All non-employee directors are paid a fixed fee at the rate of $2,000 per month and receive the same option grants. The fee is not dependent on the number of meetings attended by any directors. Directors are not paid additional compensation for chairing a committee. All directors are reimbursed by us for their out-of-pocket travel and related expenses incurred in attending all Board of Directors and committee meetings.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recognize that transactions between us and any of our directors or executives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Though we do not have a written policy, we intend to adopt a policy which requires our Audit and Compliance Committee to review and, if appropriate, to approve or ratify any such transactions. Pursuant to the policy, the committee will review any transact 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- 11 -</w:t>
      </w:r>
    </w:p>
    <w:p>
      <w:pPr>
        <w:sectPr>
          <w:pgSz w:w="11900" w:h="16838" w:orient="portrait"/>
          <w:cols w:equalWidth="0" w:num="1">
            <w:col w:w="11420"/>
          </w:cols>
          <w:pgMar w:left="240" w:top="486"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Edward D. Bagley, former Chairman of the Board and shareholder with greater than 20% beneficial ownership in the Company, served as a consultant to our company until July 6, 2010. During the six months ended December 31, 2009 and fiscal years ended June 30, 2009 and June 30, 2008, Mr. Bagley received consulting fees of $24,000, $48,000 and $48,000, respectively. Mr. Bagley was eligible to participate in our equity incentive programs and, pursuant to his consulting agreement with us, was required to be granted stock options commensurate with grants of stock options made to our directors. Additionally, in connection with the insurance coverage action described under the caption “Item 3, Legal Proceedings” of our Form 10-K for the year ended June 30 , 2009, we and our counsel entered into a Joint Prosecution and Defense Agreement dated as of April 1, 2004 with Edward D. Bagley, former Chairman of the Board of Directors, and his counsel, which generally provides that we and Mr. Bagley will jointly prosecute their claims against the carriers of certain prior period directors’ and officers’ liability insurance policies and jointly defend the claims made by the insurance carriers in order to reduce litigation expenses.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October 7, 2009, we entered into an agreement with Edward D. Bagley, wherein the Joint Prosecution and Defense Agreement was terminated and Bagley waived all his claims to settlement proceeds received from Lumbermens Mutual and National Union. We also released Mr. Bagley of any obligations for attorneys’ fees or other expenses that might have been incurred in the litigation against Lumbermens Mutual or National Union.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Mr. E. Bryan Bagley, a director of the Company, is Edward D. Bagley’s son.</w:t>
      </w:r>
    </w:p>
    <w:p>
      <w:pPr>
        <w:spacing w:after="0" w:line="221" w:lineRule="exact"/>
        <w:rPr>
          <w:sz w:val="20"/>
          <w:szCs w:val="20"/>
          <w:color w:val="auto"/>
        </w:rPr>
      </w:pPr>
    </w:p>
    <w:p>
      <w:pPr>
        <w:ind w:right="180" w:firstLine="648"/>
        <w:spacing w:after="0" w:line="292" w:lineRule="auto"/>
        <w:rPr>
          <w:sz w:val="20"/>
          <w:szCs w:val="20"/>
          <w:color w:val="auto"/>
        </w:rPr>
      </w:pPr>
      <w:r>
        <w:rPr>
          <w:rFonts w:ascii="Arial" w:cs="Arial" w:eastAsia="Arial" w:hAnsi="Arial"/>
          <w:sz w:val="16"/>
          <w:szCs w:val="16"/>
          <w:b w:val="1"/>
          <w:bCs w:val="1"/>
          <w:color w:val="auto"/>
        </w:rPr>
        <w:t xml:space="preserve">Indemnification of Officers and Directors. </w:t>
      </w:r>
      <w:r>
        <w:rPr>
          <w:rFonts w:ascii="Arial" w:cs="Arial" w:eastAsia="Arial" w:hAnsi="Arial"/>
          <w:sz w:val="16"/>
          <w:szCs w:val="16"/>
          <w:color w:val="auto"/>
        </w:rPr>
        <w:t>On July 25, 2007, the U.S. Attorney’s Office for the District of Utah indicted two of our former</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 Frances Flood (“Flood”) and Susie Strohm (“Strohm”), for allegedly causing us to issue materially misstated financial statements for our 2001 and 2002 fiscal years. On January 31, 2008, the U.S. Attorney’s Office filed a Second Superseding Indictment further alleging perjury in connection with the prior investigation by the SEC into the alleged misstatements. We cooperated fully with the U.S. Attorney’s Office in this matter and were advised that we were neither a target nor a subject of the investigation or indictment. In December 2003, we entered in to indemnification agreements with each former officer, requiring payment of all reasonable attorneys’ fees and costs incurred in defending against the charges in certain circumstances consistent with and subject to limitations under applicable law. To date, we have paid approximately $2.2 million in attorneys’ fees and costs to defend against the charges.</w:t>
      </w:r>
    </w:p>
    <w:p>
      <w:pPr>
        <w:spacing w:after="0" w:line="166"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On August 21, 2008, Strohm and her counsel filed a lawsuit in the Third Judicial District Court in Salt Lake City, Utah seeking a declaratory judgment and injunctive relief to compel us to continue to advance Strohm’s attorneys’ fees and costs to defend against the charges, plus interest for amounts previously requested and not paid. Also on August 21, 2008, Flood filed a lawsuit in Federal District Court for the District of Utah, seeking similar relief.</w:t>
      </w:r>
    </w:p>
    <w:p>
      <w:pPr>
        <w:spacing w:after="0" w:line="147"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federal criminal trial of both former officers commenced on February 2, 2009, and the jury rendered its verdict on February 27, 2009. Flood was convicted on nine counts, including conspiracy to willfully falsify our books and records, willfully making false statements in quarterly and annual reports, willfully making and causing to be made misleading and false statements to our accountants in connection with the accountants’ audits, federal securities fraud, and perjury in connection with testimony given under oath in an official proceeding brought by the SEC in 2003. Strohm was convicted on one count of perjury in connection with testimony given under oath in an official proceeding brought by the SEC in 2003.</w:t>
      </w:r>
    </w:p>
    <w:p>
      <w:pPr>
        <w:spacing w:after="0" w:line="1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As of December 31, 2008, we had accrued $3.3 million for legal fees and costs of our contingent liability under indemnification agreements with the two former officers indicted by the U.S. Attorney’s Office. As of March 31, 2009, we had paid approximately $2.2 million in legal fees and costs in connection with this contingent liability. During the third fiscal quarter of 2009 and in accordance with generally accepted accounting principles, we reversed approximately $1.1 million of this contingent liability as a result of the February 2009 jury verdict in the federal criminal trial. As a result of the jury’s conviction of the two former officers on some or all of the crimes with which they were charged and based on the Court’s instructions t o the jury, it was no longer probable that we would be required to pay the $1.1 million amount.</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- 12 -</w:t>
      </w:r>
    </w:p>
    <w:p>
      <w:pPr>
        <w:sectPr>
          <w:pgSz w:w="11900" w:h="16838" w:orient="portrait"/>
          <w:cols w:equalWidth="0" w:num="1">
            <w:col w:w="11380"/>
          </w:cols>
          <w:pgMar w:left="240" w:top="486" w:right="279" w:bottom="1440" w:gutter="0" w:footer="0" w:header="0"/>
        </w:sectPr>
      </w:pPr>
    </w:p>
    <w:bookmarkStart w:id="14" w:name="page15"/>
    <w:bookmarkEnd w:id="14"/>
    <w:p>
      <w:pPr>
        <w:ind w:right="100" w:firstLine="828"/>
        <w:spacing w:after="0" w:line="270" w:lineRule="auto"/>
        <w:rPr>
          <w:sz w:val="20"/>
          <w:szCs w:val="20"/>
          <w:color w:val="auto"/>
        </w:rPr>
      </w:pPr>
      <w:r>
        <w:rPr>
          <w:rFonts w:ascii="Arial" w:cs="Arial" w:eastAsia="Arial" w:hAnsi="Arial"/>
          <w:sz w:val="17"/>
          <w:szCs w:val="17"/>
          <w:b w:val="1"/>
          <w:bCs w:val="1"/>
          <w:u w:val="single" w:color="auto"/>
          <w:color w:val="auto"/>
        </w:rPr>
        <w:t>Flood</w:t>
      </w:r>
      <w:r>
        <w:rPr>
          <w:rFonts w:ascii="Arial" w:cs="Arial" w:eastAsia="Arial" w:hAnsi="Arial"/>
          <w:sz w:val="17"/>
          <w:szCs w:val="17"/>
          <w:color w:val="auto"/>
        </w:rPr>
        <w:t>: During January 2009, the Federal District Court in the Flood lawsuit issued a preliminary injunction requiring us (1) to pay 60% of</w:t>
      </w:r>
      <w:r>
        <w:rPr>
          <w:rFonts w:ascii="Arial" w:cs="Arial" w:eastAsia="Arial" w:hAnsi="Arial"/>
          <w:sz w:val="17"/>
          <w:szCs w:val="17"/>
          <w:b w:val="1"/>
          <w:bCs w:val="1"/>
          <w:color w:val="auto"/>
        </w:rPr>
        <w:t xml:space="preserve"> </w:t>
      </w:r>
      <w:r>
        <w:rPr>
          <w:rFonts w:ascii="Arial" w:cs="Arial" w:eastAsia="Arial" w:hAnsi="Arial"/>
          <w:sz w:val="17"/>
          <w:szCs w:val="17"/>
          <w:color w:val="auto"/>
        </w:rPr>
        <w:t>Flood’s legal fees and costs in the criminal proceeding to Flood’s attorneys (as reflected in the invoices submitted by Flood’s attorneys), and (2) to pay the remaining 40% of Flood’s legal fees and costs into a court escrow account. Pursuant to the Court’s order, w e paid approximately $368,000 to Flood’s attorneys and approximately $248,000 into the Court’s escrow. The Tenth Circuit Court of Appeals issued a stay precluding distribution of the money in the Court’s escrow pending the outcome of the appeal. While our appeal was pending, the District Court issued a ruling on June 16, 2009 granting Flood’s motion for summary judgment on her claim that we breached her Employment Separation Agreement (“ESA”) by stopping the advancement of funds for her defense, and granting our motion to dismiss Flood’s unjust enrichment and promissory estoppel claims. The Court further denied our motion to dismiss Flood’s claim for intentional infliction of emotional distress. On July 14, 2009, we asserted counterclaims for $3.3 million based on the undertaking Flood signed in August 2003, in which she promised to repay all advanced expenses if it was ultimately adjudged that she did not meet the requisite standard of conduct.</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30, 2010, the Tenth Circuit Court of Appeals issued a ruling vacating the District Court’s preliminary injunction on the grounds that ClearOne’s promise to advance criminal defense expenses was conditioned upon compliance with ClearOne’s bylaws and ClearOne had the power to cease advancement based on certain conditions, as long as ClearOne acted in good faith. Since the District Court had erred by reforming the ESA to make ClearOne’s obligation to advance unconditional, the case was remanded to the District Court.</w:t>
      </w:r>
    </w:p>
    <w:p>
      <w:pPr>
        <w:spacing w:after="0" w:line="18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u w:val="single" w:color="auto"/>
          <w:color w:val="auto"/>
        </w:rPr>
        <w:t>Strohm</w:t>
      </w:r>
      <w:r>
        <w:rPr>
          <w:rFonts w:ascii="Arial" w:cs="Arial" w:eastAsia="Arial" w:hAnsi="Arial"/>
          <w:sz w:val="18"/>
          <w:szCs w:val="18"/>
          <w:color w:val="auto"/>
        </w:rPr>
        <w:t>: During August 2009, we asserted counterclaims for $3.2 million against Strohm based on the undertakings she signed in 2003, in which she</w:t>
      </w:r>
      <w:r>
        <w:rPr>
          <w:rFonts w:ascii="Arial" w:cs="Arial" w:eastAsia="Arial" w:hAnsi="Arial"/>
          <w:sz w:val="18"/>
          <w:szCs w:val="18"/>
          <w:b w:val="1"/>
          <w:bCs w:val="1"/>
          <w:color w:val="auto"/>
        </w:rPr>
        <w:t xml:space="preserve"> </w:t>
      </w:r>
      <w:r>
        <w:rPr>
          <w:rFonts w:ascii="Arial" w:cs="Arial" w:eastAsia="Arial" w:hAnsi="Arial"/>
          <w:sz w:val="18"/>
          <w:szCs w:val="18"/>
          <w:color w:val="auto"/>
        </w:rPr>
        <w:t>promised to repay all advanced expenses if it was ultimately adjudged that she did not meet the requisite standard of conduct. On October 26, 2009, the Court granted Strohm’s motion for mandatory indemnification, ruling that we were required to indemnify Strohm for her reasonable attorneys’ fees and expenses to the extent that she was successful on the merits at trial on the basis that our Articles of Incorporation did not limit indemnification of a director or officer. The Court also denied our cross-motion for summary j udgment based on the undertakings, ruling that Strohm should not be required to pay back advanced legal fees and costs to the extent she was successful at trial.</w:t>
      </w:r>
    </w:p>
    <w:p>
      <w:pPr>
        <w:spacing w:after="0" w:line="19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November 5, 2009, Strohm’s counsel filed a motion claiming that, pursuant to an engagement letter with Strohm’s counsel, we are obligated to pay Strohm’s attorneys’ fees and costs incurred in defending the federal criminal proceeding, plus 18% interest, as well as attorneys’ fees and costs incurred in connection with the action brought by Strohm and her counsel against ClearOne in August 2008. On March 2, 2010, the Court ruled that the engagement letter provided an alternative basis requiring the Company to pay Strohm’s reasonable attorneys’ fees and costs incurred in connection with the federal criminal proceedings, and to enforce the engagement letter. The Court reserved the issue of whether Strohm’s fees and costs s hould be allocated to account for the single count on which she was convicted at trial, and reserved the determination of reasonableness of Strohm’s fees and costs. The Court also made it clear that the Company is only responsible to pay Strohm’s attorneys’ fees and costs to the extent that those fees and costs are reasonable under all of the relevant circumstances.</w:t>
      </w:r>
    </w:p>
    <w:p>
      <w:pPr>
        <w:spacing w:after="0" w:line="17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June 30, 2010, Strohm’s counsel filed its petition for attorneys’ fees and costs seeking over $3.0 million in addition to the $1.4 million that ClearOne has already paid to Strohm’s counsel in connection with her federal criminal defense. ClearOne submitted opposition papers on August 16, 2010 and September 13, 2010 arguing that Strohm’s counsel had been paid all reasonable fees and that ClearOne effectively terminated any obligation to Strohm’s counsel on November 30, 2009. The Third Judicial District Court in Salt Lake City held hearings in connection with Strohm’s counsel’s fee petition and ClearOne’s cross-motion on September 20 and 23, 2010 and a decision is pending.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AND COMPLIANCE COMMITTEE REPORT</w:t>
      </w:r>
    </w:p>
    <w:p>
      <w:pPr>
        <w:spacing w:after="0" w:line="229"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The Audit and Compliance Committee of the Board of Directors is comprised of three directors, all of whom are independent as defined in NASDAQ and SEC rules and regulations. The members of the Audit and Compliance Committee are Scott M. Huntsman, Brad R. Baldwin, and Larry R. Hendricks. Scott M. Huntsman is the Board of Directors’ designated “audit committee financial expert” as that term is defined in the securities laws.</w:t>
      </w:r>
    </w:p>
    <w:p>
      <w:pPr>
        <w:spacing w:after="0" w:line="14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are responsible for our internal controls and the financial reporting process. Our independent registered public accounting firm is responsible for performing an audit of our financial statements in accordance with generally accepted auditing standards in the United States of America and for expressing an opinion on those financial statements based on its audit. The Audit and Compliance Committee reviews these processes on behalf of the Board of Directors. The Audit Committee has reviewed and discussed with us and our independent registered public accounting firm the audited financial statements contained in our Transition Report on Form 10-KT for the transition period from July 1, 2009 to December 31, 2009.</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- 13 -</w:t>
      </w:r>
    </w:p>
    <w:p>
      <w:pPr>
        <w:sectPr>
          <w:pgSz w:w="11900" w:h="16838" w:orient="portrait"/>
          <w:cols w:equalWidth="0" w:num="1">
            <w:col w:w="11420"/>
          </w:cols>
          <w:pgMar w:left="240" w:top="270" w:right="239" w:bottom="1440" w:gutter="0" w:footer="0" w:header="0"/>
        </w:sectPr>
      </w:pPr>
    </w:p>
    <w:bookmarkStart w:id="15" w:name="page16"/>
    <w:bookmarkEnd w:id="15"/>
    <w:p>
      <w:pPr>
        <w:ind w:right="120" w:firstLine="648"/>
        <w:spacing w:after="0" w:line="257" w:lineRule="auto"/>
        <w:rPr>
          <w:sz w:val="20"/>
          <w:szCs w:val="20"/>
          <w:color w:val="auto"/>
        </w:rPr>
      </w:pPr>
      <w:r>
        <w:rPr>
          <w:rFonts w:ascii="Arial" w:cs="Arial" w:eastAsia="Arial" w:hAnsi="Arial"/>
          <w:sz w:val="18"/>
          <w:szCs w:val="18"/>
          <w:color w:val="auto"/>
        </w:rPr>
        <w:t>Additionally, the Audit and Compliance Committee has discussed with the principal accountants the auditors’ independence from management and our company, including the matters in the written disclosure and the letter required by applicable requirements of the Public Company Accounting Oversight Board regarding independence discussions with Audit Committees and considered the compatibility of non-audit services with the accountants’ independence. The Audit and Compliance Committee also discussed with the principal accountants any matters required to be discussed by Statement on Auditing Standards No. 61, as amended (Communications with Audit Committees).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reliance on the reviews and discussions referred to above, the Audit and Compliance Committee recommended to the Board of Directors (and the Board has approved) that the audited financial statements be included in the Transition Report on Form 10-KT for the transition period from July 1, 2009 to December 31, 2009 for filing with the Securities and Exchange Commission.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Respectfully submitted by the members of the Audit and Compliance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Scott M. Huntsman (Chair)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Brad R. Baldwin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Larry R. Hendricks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following table sets forth certain information regarding ownership of our common stock as of October 25, 2010 by (i) each director and nominee for director, (ii) the named executive officers, (iii) all of our named executive officers and directors as a group, and (iv) each person known to us to be the beneficial owner of more than 5% of our outstanding common stock.</w:t>
      </w:r>
    </w:p>
    <w:p>
      <w:pPr>
        <w:spacing w:after="0" w:line="177"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Shares Beneficially Owned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Beneficial Owner (1)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Borders>
              <w:top w:val="single" w:sz="8" w:color="auto"/>
            </w:tcBorders>
          </w:tcPr>
          <w:p>
            <w:pPr>
              <w:spacing w:after="0"/>
              <w:rPr>
                <w:sz w:val="20"/>
                <w:szCs w:val="20"/>
                <w:color w:val="auto"/>
              </w:rPr>
            </w:pPr>
          </w:p>
        </w:tc>
        <w:tc>
          <w:tcPr>
            <w:tcW w:w="5440" w:type="dxa"/>
            <w:vAlign w:val="bottom"/>
            <w:tcBorders>
              <w:top w:val="single" w:sz="8" w:color="auto"/>
            </w:tcBorders>
          </w:tcPr>
          <w:p>
            <w:pPr>
              <w:spacing w:after="0"/>
              <w:rPr>
                <w:sz w:val="20"/>
                <w:szCs w:val="20"/>
                <w:color w:val="auto"/>
              </w:rPr>
            </w:pPr>
          </w:p>
        </w:tc>
        <w:tc>
          <w:tcPr>
            <w:tcW w:w="196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b w:val="1"/>
                <w:bCs w:val="1"/>
                <w:color w:val="auto"/>
              </w:rPr>
              <w:t>Number (2)</w:t>
            </w:r>
          </w:p>
        </w:tc>
        <w:tc>
          <w:tcPr>
            <w:tcW w:w="1320" w:type="dxa"/>
            <w:vAlign w:val="bottom"/>
            <w:tcBorders>
              <w:top w:val="single" w:sz="8" w:color="auto"/>
              <w:bottom w:val="single" w:sz="8" w:color="auto"/>
            </w:tcBorders>
          </w:tcPr>
          <w:p>
            <w:pPr>
              <w:spacing w:after="0"/>
              <w:rPr>
                <w:sz w:val="20"/>
                <w:szCs w:val="20"/>
                <w:color w:val="auto"/>
              </w:rPr>
            </w:pPr>
          </w:p>
        </w:tc>
        <w:tc>
          <w:tcPr>
            <w:tcW w:w="232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rPr>
              <w:t>Percent (2)</w:t>
            </w:r>
          </w:p>
        </w:tc>
      </w:tr>
      <w:tr>
        <w:trPr>
          <w:trHeight w:val="198"/>
        </w:trPr>
        <w:tc>
          <w:tcPr>
            <w:tcW w:w="58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Directors and Executive Officers:</w:t>
            </w:r>
          </w:p>
        </w:tc>
        <w:tc>
          <w:tcPr>
            <w:tcW w:w="1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 xml:space="preserve">Zeynep “Zee” Hakimoglu </w:t>
            </w:r>
            <w:r>
              <w:rPr>
                <w:rFonts w:ascii="Arial" w:cs="Arial" w:eastAsia="Arial" w:hAnsi="Arial"/>
                <w:sz w:val="18"/>
                <w:szCs w:val="18"/>
                <w:b w:val="1"/>
                <w:bCs w:val="1"/>
                <w:color w:val="auto"/>
              </w:rPr>
              <w:t>(3)</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550,098</w:t>
            </w:r>
          </w:p>
        </w:tc>
        <w:tc>
          <w:tcPr>
            <w:tcW w:w="2320" w:type="dxa"/>
            <w:vAlign w:val="bottom"/>
          </w:tcPr>
          <w:p>
            <w:pPr>
              <w:jc w:val="center"/>
              <w:ind w:right="410"/>
              <w:spacing w:after="0"/>
              <w:rPr>
                <w:sz w:val="20"/>
                <w:szCs w:val="20"/>
                <w:color w:val="auto"/>
              </w:rPr>
            </w:pPr>
            <w:r>
              <w:rPr>
                <w:rFonts w:ascii="Arial" w:cs="Arial" w:eastAsia="Arial" w:hAnsi="Arial"/>
                <w:sz w:val="18"/>
                <w:szCs w:val="18"/>
                <w:color w:val="auto"/>
                <w:w w:val="92"/>
              </w:rPr>
              <w:t>5.6%</w:t>
            </w: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 xml:space="preserve">E. Bryan Bagley </w:t>
            </w:r>
            <w:r>
              <w:rPr>
                <w:rFonts w:ascii="Arial" w:cs="Arial" w:eastAsia="Arial" w:hAnsi="Arial"/>
                <w:sz w:val="18"/>
                <w:szCs w:val="18"/>
                <w:b w:val="1"/>
                <w:bCs w:val="1"/>
                <w:color w:val="auto"/>
              </w:rPr>
              <w:t>(4)</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330,879</w:t>
            </w:r>
          </w:p>
        </w:tc>
        <w:tc>
          <w:tcPr>
            <w:tcW w:w="2320" w:type="dxa"/>
            <w:vAlign w:val="bottom"/>
          </w:tcPr>
          <w:p>
            <w:pPr>
              <w:jc w:val="center"/>
              <w:ind w:right="410"/>
              <w:spacing w:after="0"/>
              <w:rPr>
                <w:sz w:val="20"/>
                <w:szCs w:val="20"/>
                <w:color w:val="auto"/>
              </w:rPr>
            </w:pPr>
            <w:r>
              <w:rPr>
                <w:rFonts w:ascii="Arial" w:cs="Arial" w:eastAsia="Arial" w:hAnsi="Arial"/>
                <w:sz w:val="18"/>
                <w:szCs w:val="18"/>
                <w:color w:val="auto"/>
                <w:w w:val="92"/>
              </w:rPr>
              <w:t>3.3%</w:t>
            </w: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 xml:space="preserve">Brad R. Baldwin </w:t>
            </w:r>
            <w:r>
              <w:rPr>
                <w:rFonts w:ascii="Arial" w:cs="Arial" w:eastAsia="Arial" w:hAnsi="Arial"/>
                <w:sz w:val="18"/>
                <w:szCs w:val="18"/>
                <w:b w:val="1"/>
                <w:bCs w:val="1"/>
                <w:color w:val="auto"/>
              </w:rPr>
              <w:t>(5)</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243,082</w:t>
            </w:r>
          </w:p>
        </w:tc>
        <w:tc>
          <w:tcPr>
            <w:tcW w:w="2320" w:type="dxa"/>
            <w:vAlign w:val="bottom"/>
          </w:tcPr>
          <w:p>
            <w:pPr>
              <w:jc w:val="center"/>
              <w:ind w:right="410"/>
              <w:spacing w:after="0"/>
              <w:rPr>
                <w:sz w:val="20"/>
                <w:szCs w:val="20"/>
                <w:color w:val="auto"/>
              </w:rPr>
            </w:pPr>
            <w:r>
              <w:rPr>
                <w:rFonts w:ascii="Arial" w:cs="Arial" w:eastAsia="Arial" w:hAnsi="Arial"/>
                <w:sz w:val="18"/>
                <w:szCs w:val="18"/>
                <w:color w:val="auto"/>
                <w:w w:val="92"/>
              </w:rPr>
              <w:t>2.5%</w:t>
            </w: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 xml:space="preserve">Tracy A. Bathurst </w:t>
            </w:r>
            <w:r>
              <w:rPr>
                <w:rFonts w:ascii="Arial" w:cs="Arial" w:eastAsia="Arial" w:hAnsi="Arial"/>
                <w:sz w:val="18"/>
                <w:szCs w:val="18"/>
                <w:b w:val="1"/>
                <w:bCs w:val="1"/>
                <w:color w:val="auto"/>
              </w:rPr>
              <w:t>(6)</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92,859</w:t>
            </w:r>
          </w:p>
        </w:tc>
        <w:tc>
          <w:tcPr>
            <w:tcW w:w="2320" w:type="dxa"/>
            <w:vAlign w:val="bottom"/>
          </w:tcPr>
          <w:p>
            <w:pPr>
              <w:jc w:val="center"/>
              <w:ind w:right="39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 xml:space="preserve">Larry R. Hendricks </w:t>
            </w:r>
            <w:r>
              <w:rPr>
                <w:rFonts w:ascii="Arial" w:cs="Arial" w:eastAsia="Arial" w:hAnsi="Arial"/>
                <w:sz w:val="18"/>
                <w:szCs w:val="18"/>
                <w:b w:val="1"/>
                <w:bCs w:val="1"/>
                <w:color w:val="auto"/>
              </w:rPr>
              <w:t>(7)</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70,416</w:t>
            </w:r>
          </w:p>
        </w:tc>
        <w:tc>
          <w:tcPr>
            <w:tcW w:w="2320" w:type="dxa"/>
            <w:vAlign w:val="bottom"/>
          </w:tcPr>
          <w:p>
            <w:pPr>
              <w:jc w:val="center"/>
              <w:ind w:right="39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 xml:space="preserve">Scott M. Huntsman </w:t>
            </w:r>
            <w:r>
              <w:rPr>
                <w:rFonts w:ascii="Arial" w:cs="Arial" w:eastAsia="Arial" w:hAnsi="Arial"/>
                <w:sz w:val="18"/>
                <w:szCs w:val="18"/>
                <w:b w:val="1"/>
                <w:bCs w:val="1"/>
                <w:color w:val="auto"/>
              </w:rPr>
              <w:t>(8)</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70,416</w:t>
            </w:r>
          </w:p>
        </w:tc>
        <w:tc>
          <w:tcPr>
            <w:tcW w:w="2320" w:type="dxa"/>
            <w:vAlign w:val="bottom"/>
          </w:tcPr>
          <w:p>
            <w:pPr>
              <w:jc w:val="center"/>
              <w:ind w:right="39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 xml:space="preserve">Narsi Narayanan </w:t>
            </w:r>
            <w:r>
              <w:rPr>
                <w:rFonts w:ascii="Arial" w:cs="Arial" w:eastAsia="Arial" w:hAnsi="Arial"/>
                <w:sz w:val="18"/>
                <w:szCs w:val="18"/>
                <w:b w:val="1"/>
                <w:bCs w:val="1"/>
                <w:color w:val="auto"/>
              </w:rPr>
              <w:t>(9)</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12,500</w:t>
            </w:r>
          </w:p>
        </w:tc>
        <w:tc>
          <w:tcPr>
            <w:tcW w:w="2320" w:type="dxa"/>
            <w:vAlign w:val="bottom"/>
          </w:tcPr>
          <w:p>
            <w:pPr>
              <w:jc w:val="center"/>
              <w:ind w:right="390"/>
              <w:spacing w:after="0"/>
              <w:rPr>
                <w:sz w:val="20"/>
                <w:szCs w:val="20"/>
                <w:color w:val="auto"/>
              </w:rPr>
            </w:pPr>
            <w:r>
              <w:rPr>
                <w:rFonts w:ascii="Arial" w:cs="Arial" w:eastAsia="Arial" w:hAnsi="Arial"/>
                <w:sz w:val="18"/>
                <w:szCs w:val="18"/>
                <w:color w:val="auto"/>
              </w:rPr>
              <w:t>*</w:t>
            </w:r>
          </w:p>
        </w:tc>
      </w:tr>
      <w:tr>
        <w:trPr>
          <w:trHeight w:val="241"/>
        </w:trPr>
        <w:tc>
          <w:tcPr>
            <w:tcW w:w="7780" w:type="dxa"/>
            <w:vAlign w:val="bottom"/>
            <w:gridSpan w:val="3"/>
          </w:tcPr>
          <w:p>
            <w:pPr>
              <w:spacing w:after="0"/>
              <w:rPr>
                <w:sz w:val="20"/>
                <w:szCs w:val="20"/>
                <w:color w:val="auto"/>
              </w:rPr>
            </w:pPr>
            <w:r>
              <w:rPr>
                <w:rFonts w:ascii="Arial" w:cs="Arial" w:eastAsia="Arial" w:hAnsi="Arial"/>
                <w:sz w:val="18"/>
                <w:szCs w:val="18"/>
                <w:color w:val="auto"/>
              </w:rPr>
              <w:t xml:space="preserve">Michael J. Braithwaite </w:t>
            </w:r>
            <w:r>
              <w:rPr>
                <w:rFonts w:ascii="Arial" w:cs="Arial" w:eastAsia="Arial" w:hAnsi="Arial"/>
                <w:sz w:val="18"/>
                <w:szCs w:val="18"/>
                <w:b w:val="1"/>
                <w:bCs w:val="1"/>
                <w:color w:val="auto"/>
              </w:rPr>
              <w:t>(10)</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9,999</w:t>
            </w:r>
          </w:p>
        </w:tc>
        <w:tc>
          <w:tcPr>
            <w:tcW w:w="2320" w:type="dxa"/>
            <w:vAlign w:val="bottom"/>
          </w:tcPr>
          <w:p>
            <w:pPr>
              <w:jc w:val="center"/>
              <w:ind w:right="390"/>
              <w:spacing w:after="0"/>
              <w:rPr>
                <w:sz w:val="20"/>
                <w:szCs w:val="20"/>
                <w:color w:val="auto"/>
              </w:rPr>
            </w:pPr>
            <w:r>
              <w:rPr>
                <w:rFonts w:ascii="Arial" w:cs="Arial" w:eastAsia="Arial" w:hAnsi="Arial"/>
                <w:sz w:val="18"/>
                <w:szCs w:val="18"/>
                <w:color w:val="auto"/>
              </w:rPr>
              <w:t>*</w:t>
            </w:r>
          </w:p>
        </w:tc>
      </w:tr>
      <w:tr>
        <w:trPr>
          <w:trHeight w:val="223"/>
        </w:trPr>
        <w:tc>
          <w:tcPr>
            <w:tcW w:w="58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(8 persons)</w:t>
            </w:r>
          </w:p>
        </w:tc>
        <w:tc>
          <w:tcPr>
            <w:tcW w:w="19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1,380,249</w:t>
            </w:r>
          </w:p>
        </w:tc>
        <w:tc>
          <w:tcPr>
            <w:tcW w:w="2320" w:type="dxa"/>
            <w:vAlign w:val="bottom"/>
            <w:tcBorders>
              <w:top w:val="single" w:sz="8" w:color="auto"/>
              <w:bottom w:val="single" w:sz="8" w:color="auto"/>
            </w:tcBorders>
          </w:tcPr>
          <w:p>
            <w:pPr>
              <w:jc w:val="center"/>
              <w:ind w:right="410"/>
              <w:spacing w:after="0"/>
              <w:rPr>
                <w:sz w:val="20"/>
                <w:szCs w:val="20"/>
                <w:color w:val="auto"/>
              </w:rPr>
            </w:pPr>
            <w:r>
              <w:rPr>
                <w:rFonts w:ascii="Arial" w:cs="Arial" w:eastAsia="Arial" w:hAnsi="Arial"/>
                <w:sz w:val="18"/>
                <w:szCs w:val="18"/>
                <w:color w:val="auto"/>
                <w:w w:val="90"/>
              </w:rPr>
              <w:t>14.0%</w:t>
            </w:r>
          </w:p>
        </w:tc>
      </w:tr>
      <w:tr>
        <w:trPr>
          <w:trHeight w:val="414"/>
        </w:trPr>
        <w:tc>
          <w:tcPr>
            <w:tcW w:w="7780" w:type="dxa"/>
            <w:vAlign w:val="bottom"/>
            <w:gridSpan w:val="3"/>
          </w:tcPr>
          <w:p>
            <w:pPr>
              <w:spacing w:after="0"/>
              <w:rPr>
                <w:sz w:val="20"/>
                <w:szCs w:val="20"/>
                <w:color w:val="auto"/>
              </w:rPr>
            </w:pPr>
            <w:r>
              <w:rPr>
                <w:rFonts w:ascii="Arial" w:cs="Arial" w:eastAsia="Arial" w:hAnsi="Arial"/>
                <w:sz w:val="18"/>
                <w:szCs w:val="18"/>
                <w:b w:val="1"/>
                <w:bCs w:val="1"/>
                <w:color w:val="auto"/>
              </w:rPr>
              <w:t>5% Shareholders:</w:t>
            </w:r>
          </w:p>
        </w:tc>
        <w:tc>
          <w:tcPr>
            <w:tcW w:w="13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 xml:space="preserve">Edward Dallin Bagley </w:t>
            </w:r>
            <w:r>
              <w:rPr>
                <w:rFonts w:ascii="Arial" w:cs="Arial" w:eastAsia="Arial" w:hAnsi="Arial"/>
                <w:sz w:val="18"/>
                <w:szCs w:val="18"/>
                <w:b w:val="1"/>
                <w:bCs w:val="1"/>
                <w:color w:val="auto"/>
              </w:rPr>
              <w:t>(11)</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2,297,732</w:t>
            </w:r>
          </w:p>
        </w:tc>
        <w:tc>
          <w:tcPr>
            <w:tcW w:w="2320" w:type="dxa"/>
            <w:vAlign w:val="bottom"/>
          </w:tcPr>
          <w:p>
            <w:pPr>
              <w:jc w:val="center"/>
              <w:ind w:right="410"/>
              <w:spacing w:after="0"/>
              <w:rPr>
                <w:sz w:val="20"/>
                <w:szCs w:val="20"/>
                <w:color w:val="auto"/>
              </w:rPr>
            </w:pPr>
            <w:r>
              <w:rPr>
                <w:rFonts w:ascii="Arial" w:cs="Arial" w:eastAsia="Arial" w:hAnsi="Arial"/>
                <w:sz w:val="18"/>
                <w:szCs w:val="18"/>
                <w:color w:val="auto"/>
                <w:w w:val="90"/>
              </w:rPr>
              <w:t>23.3%</w:t>
            </w:r>
          </w:p>
        </w:tc>
      </w:tr>
      <w:tr>
        <w:trPr>
          <w:trHeight w:val="216"/>
        </w:trPr>
        <w:tc>
          <w:tcPr>
            <w:tcW w:w="7780" w:type="dxa"/>
            <w:vAlign w:val="bottom"/>
            <w:gridSpan w:val="3"/>
          </w:tcPr>
          <w:p>
            <w:pPr>
              <w:spacing w:after="0"/>
              <w:rPr>
                <w:sz w:val="20"/>
                <w:szCs w:val="20"/>
                <w:color w:val="auto"/>
              </w:rPr>
            </w:pPr>
            <w:r>
              <w:rPr>
                <w:rFonts w:ascii="Arial" w:cs="Arial" w:eastAsia="Arial" w:hAnsi="Arial"/>
                <w:sz w:val="18"/>
                <w:szCs w:val="18"/>
                <w:color w:val="auto"/>
              </w:rPr>
              <w:t xml:space="preserve">FMR Corp. </w:t>
            </w:r>
            <w:r>
              <w:rPr>
                <w:rFonts w:ascii="Arial" w:cs="Arial" w:eastAsia="Arial" w:hAnsi="Arial"/>
                <w:sz w:val="18"/>
                <w:szCs w:val="18"/>
                <w:b w:val="1"/>
                <w:bCs w:val="1"/>
                <w:color w:val="auto"/>
              </w:rPr>
              <w:t>(12)</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1,000,503</w:t>
            </w:r>
          </w:p>
        </w:tc>
        <w:tc>
          <w:tcPr>
            <w:tcW w:w="2320" w:type="dxa"/>
            <w:vAlign w:val="bottom"/>
          </w:tcPr>
          <w:p>
            <w:pPr>
              <w:jc w:val="center"/>
              <w:ind w:right="410"/>
              <w:spacing w:after="0"/>
              <w:rPr>
                <w:sz w:val="20"/>
                <w:szCs w:val="20"/>
                <w:color w:val="auto"/>
              </w:rPr>
            </w:pPr>
            <w:r>
              <w:rPr>
                <w:rFonts w:ascii="Arial" w:cs="Arial" w:eastAsia="Arial" w:hAnsi="Arial"/>
                <w:sz w:val="18"/>
                <w:szCs w:val="18"/>
                <w:color w:val="auto"/>
                <w:w w:val="90"/>
              </w:rPr>
              <w:t>10.1%</w:t>
            </w:r>
          </w:p>
        </w:tc>
      </w:tr>
      <w:tr>
        <w:trPr>
          <w:trHeight w:val="220"/>
        </w:trPr>
        <w:tc>
          <w:tcPr>
            <w:tcW w:w="7780" w:type="dxa"/>
            <w:vAlign w:val="bottom"/>
            <w:gridSpan w:val="3"/>
          </w:tcPr>
          <w:p>
            <w:pPr>
              <w:spacing w:after="0"/>
              <w:rPr>
                <w:sz w:val="20"/>
                <w:szCs w:val="20"/>
                <w:color w:val="auto"/>
              </w:rPr>
            </w:pPr>
            <w:r>
              <w:rPr>
                <w:rFonts w:ascii="Arial" w:cs="Arial" w:eastAsia="Arial" w:hAnsi="Arial"/>
                <w:sz w:val="18"/>
                <w:szCs w:val="18"/>
                <w:color w:val="auto"/>
              </w:rPr>
              <w:t xml:space="preserve">Royce &amp; Associates Inc. </w:t>
            </w:r>
            <w:r>
              <w:rPr>
                <w:rFonts w:ascii="Arial" w:cs="Arial" w:eastAsia="Arial" w:hAnsi="Arial"/>
                <w:sz w:val="18"/>
                <w:szCs w:val="18"/>
                <w:b w:val="1"/>
                <w:bCs w:val="1"/>
                <w:color w:val="auto"/>
              </w:rPr>
              <w:t>(13)</w:t>
            </w: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882,426</w:t>
            </w:r>
          </w:p>
        </w:tc>
        <w:tc>
          <w:tcPr>
            <w:tcW w:w="2320" w:type="dxa"/>
            <w:vAlign w:val="bottom"/>
          </w:tcPr>
          <w:p>
            <w:pPr>
              <w:jc w:val="center"/>
              <w:ind w:right="410"/>
              <w:spacing w:after="0"/>
              <w:rPr>
                <w:sz w:val="20"/>
                <w:szCs w:val="20"/>
                <w:color w:val="auto"/>
              </w:rPr>
            </w:pPr>
            <w:r>
              <w:rPr>
                <w:rFonts w:ascii="Arial" w:cs="Arial" w:eastAsia="Arial" w:hAnsi="Arial"/>
                <w:sz w:val="18"/>
                <w:szCs w:val="18"/>
                <w:color w:val="auto"/>
                <w:w w:val="92"/>
              </w:rPr>
              <w:t>9.2%</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__________________</w:t>
            </w:r>
          </w:p>
        </w:tc>
        <w:tc>
          <w:tcPr>
            <w:tcW w:w="1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7400" w:type="dxa"/>
            <w:vAlign w:val="bottom"/>
            <w:gridSpan w:val="2"/>
          </w:tcPr>
          <w:p>
            <w:pPr>
              <w:ind w:left="280"/>
              <w:spacing w:after="0"/>
              <w:rPr>
                <w:sz w:val="20"/>
                <w:szCs w:val="20"/>
                <w:color w:val="auto"/>
              </w:rPr>
            </w:pPr>
            <w:r>
              <w:rPr>
                <w:rFonts w:ascii="Arial" w:cs="Arial" w:eastAsia="Arial" w:hAnsi="Arial"/>
                <w:sz w:val="18"/>
                <w:szCs w:val="18"/>
                <w:color w:val="auto"/>
              </w:rPr>
              <w:t>Less than 1.0%.</w:t>
            </w:r>
          </w:p>
        </w:tc>
        <w:tc>
          <w:tcPr>
            <w:tcW w:w="132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202" w:lineRule="exact"/>
        <w:rPr>
          <w:sz w:val="20"/>
          <w:szCs w:val="20"/>
          <w:color w:val="auto"/>
        </w:rPr>
      </w:pPr>
    </w:p>
    <w:p>
      <w:pPr>
        <w:ind w:left="660" w:right="22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otherwise indicated, each person named in the table has sole voting and investment power with respect to all common stock beneficially owned, subject to applicable community property law. Except as otherwise indicated, each person may be reached at our corporate offices c/o ClearOne Communications, Inc., 5225 Wiley Post Way, Suite 500, Salt Lake City, Utah 84116.</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3" w:lineRule="exact"/>
        <w:rPr>
          <w:rFonts w:ascii="Arial" w:cs="Arial" w:eastAsia="Arial" w:hAnsi="Arial"/>
          <w:sz w:val="18"/>
          <w:szCs w:val="18"/>
          <w:color w:val="auto"/>
        </w:rPr>
      </w:pPr>
    </w:p>
    <w:p>
      <w:pPr>
        <w:ind w:left="5640" w:hanging="82"/>
        <w:spacing w:after="0"/>
        <w:tabs>
          <w:tab w:leader="none" w:pos="5640" w:val="left"/>
        </w:tabs>
        <w:numPr>
          <w:ilvl w:val="1"/>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14 -</w:t>
      </w:r>
    </w:p>
    <w:p>
      <w:pPr>
        <w:sectPr>
          <w:pgSz w:w="11900" w:h="16838" w:orient="portrait"/>
          <w:cols w:equalWidth="0" w:num="1">
            <w:col w:w="11420"/>
          </w:cols>
          <w:pgMar w:left="240" w:top="490" w:right="239" w:bottom="1440" w:gutter="0" w:footer="0" w:header="0"/>
        </w:sectPr>
      </w:pPr>
    </w:p>
    <w:bookmarkStart w:id="16" w:name="page17"/>
    <w:bookmarkEnd w:id="16"/>
    <w:p>
      <w:pPr>
        <w:ind w:left="660" w:right="100" w:hanging="652"/>
        <w:spacing w:after="0" w:line="297"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percentages shown are calculated based on 8,929,421 shares of common stock outstanding on October 25, 2010. The numbers and percentages shown include the shares of common stock actually owned as of October 25, 2010 and the shares of common stock that the identified person or group had the right to acquire within 60 days of such date. In calculating the percentage of ownership, all shares of common stock that each identified person or group had the right to acquire within 60 days of October 25, 2010 upon the exercise of options are deemed to be outstanding for the purpose of computing the percentage of the shares of common stock owned by the persons or groups listed above.</w:t>
      </w:r>
    </w:p>
    <w:p>
      <w:pPr>
        <w:spacing w:after="0" w:line="158" w:lineRule="exact"/>
        <w:rPr>
          <w:rFonts w:ascii="Arial" w:cs="Arial" w:eastAsia="Arial" w:hAnsi="Arial"/>
          <w:sz w:val="16"/>
          <w:szCs w:val="16"/>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484,722 shares of common stock issuable upon exercise of stock options.</w:t>
      </w:r>
    </w:p>
    <w:p>
      <w:pPr>
        <w:spacing w:after="0" w:line="225"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1,000 shares held by E. Bryan Bagley’s spouse with respect to which he disclaims beneficial ownership and 4,999 shares of common stock issuable upon exercise of stock options</w:t>
      </w:r>
    </w:p>
    <w:p>
      <w:pPr>
        <w:spacing w:after="0" w:line="170"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88,666 shares held in the Baldwin Family Trust; 9,000 shares owned directly, which are held in an IRA under the name of Mr. Baldwin, and 145,416 shares of common stock issuable upon exercise of stock options.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92,361 shares of common stock issuable upon exercise of stock options.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70,416 shares of common stock issuable upon exercise of stock options.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70,416 shares of common stock issuable upon exercise of stock options.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12,500 shares of common stock issuable upon exercise of stock options.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12,500 shares of common stock issuable upon exercise of stock options.</w:t>
      </w:r>
    </w:p>
    <w:p>
      <w:pPr>
        <w:spacing w:after="0" w:line="225" w:lineRule="exact"/>
        <w:rPr>
          <w:rFonts w:ascii="Arial" w:cs="Arial" w:eastAsia="Arial" w:hAnsi="Arial"/>
          <w:sz w:val="18"/>
          <w:szCs w:val="18"/>
          <w:color w:val="auto"/>
        </w:rPr>
      </w:pPr>
    </w:p>
    <w:p>
      <w:pPr>
        <w:ind w:left="660" w:hanging="652"/>
        <w:spacing w:after="0" w:line="25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 Bryan Bagley is the son of Edward D. Bagley, and each of them disclaims beneficial ownership of common stock beneficially owned by the other. Amounts for Mr. Edward D. Bagley include 126,166 shares held by Edward D. Bagley’s spouse with respect to which he disclaims beneficial ownership and 57,583 shares of common stock issuable upon exercise of stock options. Mr. Edward D. Bagley has sole voting and dispositive power over 2,171,566 shares (including the shares that may be acquired pursuant to the exercise of stock options) and shared voting and dispositive power over the 126,166 shares held by Mr. Edward D. Bagley’s spouse.</w:t>
      </w:r>
    </w:p>
    <w:p>
      <w:pPr>
        <w:spacing w:after="0" w:line="188" w:lineRule="exact"/>
        <w:rPr>
          <w:rFonts w:ascii="Arial" w:cs="Arial" w:eastAsia="Arial" w:hAnsi="Arial"/>
          <w:sz w:val="18"/>
          <w:szCs w:val="18"/>
          <w:color w:val="auto"/>
        </w:rPr>
      </w:pPr>
    </w:p>
    <w:p>
      <w:pPr>
        <w:ind w:left="660" w:right="120" w:hanging="652"/>
        <w:spacing w:after="0" w:line="29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Represents 1,000,503 shares of common stock beneficially owned by FMR Corp. Fidelity Management &amp; Research Company, a wholly owned subsidiary of FMR Corp. and a registered investment advisor, beneficially owns 1,000,503 of such shares as a result of acting as investment advisor to various investment companies. Edward C. Johnson III and FMR Corp. each have sole power to dispose of the 1,000,503 shares owned by the Fidelity Funds. Neither FMR Corp., nor Edward C. Johnson III as Chairman of FMR Corp. has sole power to vote or direct the voting of the shares owned directly by the Fidelity Funds, which power resides with the funds’ board of trustees. The address of FMR Corp. is 82 Devonshire Street, Boston, Massachusetts 02109. This information is based upon a Schedule 13G, as filed and amended with the SEC as of February 17, 2009.</w:t>
      </w:r>
    </w:p>
    <w:p>
      <w:pPr>
        <w:spacing w:after="0" w:line="164" w:lineRule="exact"/>
        <w:rPr>
          <w:rFonts w:ascii="Arial" w:cs="Arial" w:eastAsia="Arial" w:hAnsi="Arial"/>
          <w:sz w:val="16"/>
          <w:szCs w:val="16"/>
          <w:color w:val="auto"/>
        </w:rPr>
      </w:pPr>
    </w:p>
    <w:p>
      <w:pPr>
        <w:ind w:left="660" w:hanging="652"/>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909,126 shares of our common stock beneficially owned by Royce &amp; Associates, Inc. in its capacity as investment advisor on behalf of its clients. Royce &amp; Associates, Inc. has sole voting and dispositive power over all of such shares. The address of Royce &amp; Associates, Inc. is 1414 Avenue of the Americas, New York, NY 10019. This information is based upon a Schedule 13G/A, as filed and amended with the SEC as of January 22, 2010.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PUBLIC ACCOUNTANTS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retained Jones Simkins, P.C. as our auditor and independent certified public accountants for the six months ended December 31, 2009 and during the fiscal years ended June 30, 2009 and June 30, 2008. The selection of our auditors for the current fiscal year is not being submitted to the shareholders for their consideration. The selection of the independent auditors for 2010 will be made by the Audit and Compliance Committee of the Board of Directors, at such time as they may deem it appropriate.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- 15 -</w:t>
      </w:r>
    </w:p>
    <w:p>
      <w:pPr>
        <w:sectPr>
          <w:pgSz w:w="11900" w:h="16838" w:orient="portrait"/>
          <w:cols w:equalWidth="0" w:num="1">
            <w:col w:w="11420"/>
          </w:cols>
          <w:pgMar w:left="240" w:top="274" w:right="239" w:bottom="1440" w:gutter="0" w:footer="0" w:header="0"/>
        </w:sectPr>
      </w:pPr>
    </w:p>
    <w:bookmarkStart w:id="17" w:name="page18"/>
    <w:bookmarkEnd w:id="17"/>
    <w:p>
      <w:pPr>
        <w:ind w:right="20" w:firstLine="648"/>
        <w:spacing w:after="0" w:line="342" w:lineRule="auto"/>
        <w:rPr>
          <w:sz w:val="20"/>
          <w:szCs w:val="20"/>
          <w:color w:val="auto"/>
        </w:rPr>
      </w:pPr>
      <w:r>
        <w:rPr>
          <w:rFonts w:ascii="Arial" w:cs="Arial" w:eastAsia="Arial" w:hAnsi="Arial"/>
          <w:sz w:val="16"/>
          <w:szCs w:val="16"/>
          <w:color w:val="auto"/>
        </w:rPr>
        <w:t>It is anticipated that a representative of Jones Simkins, P.C. will attend the meeting and will be available to respond to questions. It is not anticipated that the representative will make any statement or presentation, although the representative will have an opportunity to do so if he or she desires.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aggregate fees billed by the principal accountants to our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b w:val="1"/>
                <w:bCs w:val="1"/>
                <w:color w:val="auto"/>
                <w:w w:val="92"/>
              </w:rPr>
              <w:t>Six months ended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ind w:right="470"/>
              <w:spacing w:after="0"/>
              <w:rPr>
                <w:sz w:val="20"/>
                <w:szCs w:val="20"/>
                <w:color w:val="auto"/>
              </w:rPr>
            </w:pPr>
            <w:r>
              <w:rPr>
                <w:rFonts w:ascii="Arial" w:cs="Arial" w:eastAsia="Arial" w:hAnsi="Arial"/>
                <w:sz w:val="18"/>
                <w:szCs w:val="18"/>
                <w:b w:val="1"/>
                <w:bCs w:val="1"/>
                <w:color w:val="auto"/>
              </w:rPr>
              <w:t>Year Ended</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ind w:right="510"/>
              <w:spacing w:after="0"/>
              <w:rPr>
                <w:sz w:val="20"/>
                <w:szCs w:val="20"/>
                <w:color w:val="auto"/>
              </w:rPr>
            </w:pPr>
            <w:r>
              <w:rPr>
                <w:rFonts w:ascii="Arial" w:cs="Arial" w:eastAsia="Arial" w:hAnsi="Arial"/>
                <w:sz w:val="18"/>
                <w:szCs w:val="18"/>
                <w:b w:val="1"/>
                <w:bCs w:val="1"/>
                <w:color w:val="auto"/>
              </w:rPr>
              <w:t>Year Ended</w:t>
            </w:r>
          </w:p>
        </w:tc>
      </w:tr>
      <w:tr>
        <w:trPr>
          <w:trHeight w:val="241"/>
        </w:trPr>
        <w:tc>
          <w:tcPr>
            <w:tcW w:w="4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2"/>
              </w:rPr>
              <w:t>December 31, 2009</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2009</w:t>
            </w: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June 30, 2008</w:t>
            </w: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Audit Fees (1)</w:t>
            </w:r>
          </w:p>
        </w:tc>
        <w:tc>
          <w:tcPr>
            <w:tcW w:w="2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1820" w:type="dxa"/>
            <w:vAlign w:val="bottom"/>
          </w:tcPr>
          <w:p>
            <w:pPr>
              <w:jc w:val="right"/>
              <w:spacing w:after="0" w:line="201" w:lineRule="exact"/>
              <w:rPr>
                <w:sz w:val="20"/>
                <w:szCs w:val="20"/>
                <w:color w:val="auto"/>
              </w:rPr>
            </w:pPr>
            <w:r>
              <w:rPr>
                <w:rFonts w:ascii="Arial" w:cs="Arial" w:eastAsia="Arial" w:hAnsi="Arial"/>
                <w:sz w:val="18"/>
                <w:szCs w:val="18"/>
                <w:color w:val="auto"/>
              </w:rPr>
              <w:t>158,192</w:t>
            </w:r>
          </w:p>
        </w:tc>
        <w:tc>
          <w:tcPr>
            <w:tcW w:w="340" w:type="dxa"/>
            <w:vAlign w:val="bottom"/>
          </w:tcPr>
          <w:p>
            <w:pPr>
              <w:spacing w:after="0"/>
              <w:rPr>
                <w:sz w:val="17"/>
                <w:szCs w:val="17"/>
                <w:color w:val="auto"/>
              </w:rPr>
            </w:pPr>
          </w:p>
        </w:tc>
        <w:tc>
          <w:tcPr>
            <w:tcW w:w="3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201" w:lineRule="exact"/>
              <w:rPr>
                <w:sz w:val="20"/>
                <w:szCs w:val="20"/>
                <w:color w:val="auto"/>
              </w:rPr>
            </w:pPr>
            <w:r>
              <w:rPr>
                <w:rFonts w:ascii="Arial" w:cs="Arial" w:eastAsia="Arial" w:hAnsi="Arial"/>
                <w:sz w:val="18"/>
                <w:szCs w:val="18"/>
                <w:color w:val="auto"/>
              </w:rPr>
              <w:t>82,824</w:t>
            </w:r>
          </w:p>
        </w:tc>
        <w:tc>
          <w:tcPr>
            <w:tcW w:w="360" w:type="dxa"/>
            <w:vAlign w:val="bottom"/>
          </w:tcPr>
          <w:p>
            <w:pPr>
              <w:spacing w:after="0"/>
              <w:rPr>
                <w:sz w:val="17"/>
                <w:szCs w:val="17"/>
                <w:color w:val="auto"/>
              </w:rPr>
            </w:pPr>
          </w:p>
        </w:tc>
        <w:tc>
          <w:tcPr>
            <w:tcW w:w="300" w:type="dxa"/>
            <w:vAlign w:val="bottom"/>
          </w:tcPr>
          <w:p>
            <w:pPr>
              <w:jc w:val="right"/>
              <w:ind w:right="70"/>
              <w:spacing w:after="0" w:line="201" w:lineRule="exact"/>
              <w:rPr>
                <w:sz w:val="20"/>
                <w:szCs w:val="20"/>
                <w:color w:val="auto"/>
              </w:rPr>
            </w:pPr>
            <w:r>
              <w:rPr>
                <w:rFonts w:ascii="Arial" w:cs="Arial" w:eastAsia="Arial" w:hAnsi="Arial"/>
                <w:sz w:val="18"/>
                <w:szCs w:val="18"/>
                <w:color w:val="auto"/>
              </w:rPr>
              <w:t>$</w:t>
            </w:r>
          </w:p>
        </w:tc>
        <w:tc>
          <w:tcPr>
            <w:tcW w:w="1760" w:type="dxa"/>
            <w:vAlign w:val="bottom"/>
          </w:tcPr>
          <w:p>
            <w:pPr>
              <w:jc w:val="right"/>
              <w:spacing w:after="0" w:line="201" w:lineRule="exact"/>
              <w:rPr>
                <w:sz w:val="20"/>
                <w:szCs w:val="20"/>
                <w:color w:val="auto"/>
              </w:rPr>
            </w:pPr>
            <w:r>
              <w:rPr>
                <w:rFonts w:ascii="Arial" w:cs="Arial" w:eastAsia="Arial" w:hAnsi="Arial"/>
                <w:sz w:val="18"/>
                <w:szCs w:val="18"/>
                <w:color w:val="auto"/>
              </w:rPr>
              <w:t>83,579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Audit-related Fees</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Tax fees (2)</w:t>
            </w: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42,854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58,582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66,823</w:t>
            </w:r>
          </w:p>
        </w:tc>
      </w:tr>
      <w:tr>
        <w:trPr>
          <w:trHeight w:val="237"/>
        </w:trPr>
        <w:tc>
          <w:tcPr>
            <w:tcW w:w="4440" w:type="dxa"/>
            <w:vAlign w:val="bottom"/>
          </w:tcPr>
          <w:p>
            <w:pPr>
              <w:spacing w:after="0"/>
              <w:rPr>
                <w:sz w:val="20"/>
                <w:szCs w:val="20"/>
                <w:color w:val="auto"/>
              </w:rPr>
            </w:pPr>
            <w:r>
              <w:rPr>
                <w:rFonts w:ascii="Arial" w:cs="Arial" w:eastAsia="Arial" w:hAnsi="Arial"/>
                <w:sz w:val="18"/>
                <w:szCs w:val="18"/>
                <w:color w:val="auto"/>
              </w:rPr>
              <w:t>All other fees (3)</w:t>
            </w: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24,249</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5,529</w:t>
            </w: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54,058</w:t>
            </w: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225,295</w:t>
            </w:r>
          </w:p>
        </w:tc>
        <w:tc>
          <w:tcPr>
            <w:tcW w:w="340" w:type="dxa"/>
            <w:vAlign w:val="bottom"/>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146,935</w:t>
            </w:r>
          </w:p>
        </w:tc>
        <w:tc>
          <w:tcPr>
            <w:tcW w:w="360" w:type="dxa"/>
            <w:vAlign w:val="bottom"/>
          </w:tcPr>
          <w:p>
            <w:pPr>
              <w:spacing w:after="0"/>
              <w:rPr>
                <w:sz w:val="19"/>
                <w:szCs w:val="19"/>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204,460</w:t>
            </w:r>
          </w:p>
        </w:tc>
      </w:tr>
    </w:tbl>
    <w:p>
      <w:pPr>
        <w:spacing w:after="0" w:line="202" w:lineRule="exact"/>
        <w:rPr>
          <w:sz w:val="20"/>
          <w:szCs w:val="20"/>
          <w:color w:val="auto"/>
        </w:rPr>
      </w:pPr>
    </w:p>
    <w:p>
      <w:pPr>
        <w:ind w:left="660" w:right="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fees billed for professional services rendered for the audit and reviews of our financial statements filed with the SEC on Forms 10-K and 10-Q.</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fees billed for tax filing, preparation, and tax advisory services.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fees billed for all other non-audit services, such as consulting on potential acquisitions or dispositions.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Committee.&amp;# 160; During 2009,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DEADLINE FOR RECEIPT OF SHAREHOLDER PROPOSALS</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Any shareholder that wishes to present any proposal for shareholder action at our Annual Meeting of Shareholders to be held during calendar year 2011 must notify us at our principal executive offices no later than July 8, 2011 in order for the proposal to be included in our proxy statement and form of proxy relating to that meeting.</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Pursuant to Rule 14a-4 under the Exchange Act, we intend to retain discretionary authority to vote proxies with respect to shareholder proposals for which the proponent does not seek inclusion of the proposed matter in our proxy statement for the annual meeting to be held during calendar 2011, except in circumstances where (i) we receive notice of the proposed matter no later than September 21, 2011 and (ii) the proponent complies with the other requirements set forth in Rule 14a-4.</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We know of no other business to be submitted at the meeting. If any other matters should properly come before the meeting, it is the intention of the persons named in the accompanying form of proxy to vote the shares they represent as our Board of Directors may recommend.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5, 2010</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- 16 -</w:t>
      </w:r>
    </w:p>
    <w:p>
      <w:pPr>
        <w:sectPr>
          <w:pgSz w:w="11900" w:h="16838" w:orient="portrait"/>
          <w:cols w:equalWidth="0" w:num="1">
            <w:col w:w="11400"/>
          </w:cols>
          <w:pgMar w:left="240" w:top="274" w:right="259" w:bottom="1440" w:gutter="0" w:footer="0" w:header="0"/>
        </w:sectPr>
      </w:pPr>
    </w:p>
    <w:bookmarkStart w:id="18" w:name="page19"/>
    <w:bookmarkEnd w:id="18"/>
    <w:p>
      <w:pPr>
        <w:ind w:left="4420"/>
        <w:spacing w:after="0"/>
        <w:rPr>
          <w:sz w:val="20"/>
          <w:szCs w:val="20"/>
          <w:color w:val="auto"/>
        </w:rPr>
      </w:pPr>
      <w:r>
        <w:rPr>
          <w:rFonts w:ascii="Arial" w:cs="Arial" w:eastAsia="Arial" w:hAnsi="Arial"/>
          <w:sz w:val="14"/>
          <w:szCs w:val="14"/>
          <w:b w:val="1"/>
          <w:bCs w:val="1"/>
          <w:color w:val="auto"/>
        </w:rPr>
        <w:t>VOTE BY INTERNET – www.proxyvote.com</w:t>
      </w:r>
    </w:p>
    <w:p>
      <w:pPr>
        <w:spacing w:after="0" w:line="19" w:lineRule="exact"/>
        <w:rPr>
          <w:sz w:val="20"/>
          <w:szCs w:val="20"/>
          <w:color w:val="auto"/>
        </w:rPr>
      </w:pPr>
    </w:p>
    <w:p>
      <w:pPr>
        <w:ind w:left="4420" w:right="160"/>
        <w:spacing w:after="0" w:line="247"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20" w:type="dxa"/>
            <w:vAlign w:val="bottom"/>
          </w:tcPr>
          <w:p>
            <w:pPr>
              <w:spacing w:after="0"/>
              <w:rPr>
                <w:sz w:val="15"/>
                <w:szCs w:val="15"/>
                <w:color w:val="auto"/>
              </w:rPr>
            </w:pPr>
          </w:p>
        </w:tc>
        <w:tc>
          <w:tcPr>
            <w:tcW w:w="7220" w:type="dxa"/>
            <w:vAlign w:val="bottom"/>
            <w:gridSpan w:val="4"/>
          </w:tcPr>
          <w:p>
            <w:pPr>
              <w:ind w:left="20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62"/>
        </w:trPr>
        <w:tc>
          <w:tcPr>
            <w:tcW w:w="42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CLEARONE COMMUNICATIONS, INC.</w:t>
            </w:r>
          </w:p>
        </w:tc>
        <w:tc>
          <w:tcPr>
            <w:tcW w:w="7220" w:type="dxa"/>
            <w:vAlign w:val="bottom"/>
            <w:gridSpan w:val="4"/>
          </w:tcPr>
          <w:p>
            <w:pPr>
              <w:ind w:left="200"/>
              <w:spacing w:after="0"/>
              <w:rPr>
                <w:sz w:val="20"/>
                <w:szCs w:val="20"/>
                <w:color w:val="auto"/>
              </w:rPr>
            </w:pPr>
            <w:r>
              <w:rPr>
                <w:rFonts w:ascii="Arial" w:cs="Arial" w:eastAsia="Arial" w:hAnsi="Arial"/>
                <w:sz w:val="14"/>
                <w:szCs w:val="14"/>
                <w:color w:val="auto"/>
              </w:rPr>
              <w:t>If you would like to reduce the costs incurred by our company in mailing proxy materials, you can consent to</w:t>
            </w:r>
          </w:p>
        </w:tc>
        <w:tc>
          <w:tcPr>
            <w:tcW w:w="0" w:type="dxa"/>
            <w:vAlign w:val="bottom"/>
          </w:tcPr>
          <w:p>
            <w:pPr>
              <w:spacing w:after="0"/>
              <w:rPr>
                <w:sz w:val="1"/>
                <w:szCs w:val="1"/>
                <w:color w:val="auto"/>
              </w:rPr>
            </w:pPr>
          </w:p>
        </w:tc>
      </w:tr>
      <w:tr>
        <w:trPr>
          <w:trHeight w:val="146"/>
        </w:trPr>
        <w:tc>
          <w:tcPr>
            <w:tcW w:w="4220" w:type="dxa"/>
            <w:vAlign w:val="bottom"/>
            <w:vMerge w:val="continue"/>
          </w:tcPr>
          <w:p>
            <w:pPr>
              <w:spacing w:after="0"/>
              <w:rPr>
                <w:sz w:val="12"/>
                <w:szCs w:val="12"/>
                <w:color w:val="auto"/>
              </w:rPr>
            </w:pPr>
          </w:p>
        </w:tc>
        <w:tc>
          <w:tcPr>
            <w:tcW w:w="7220" w:type="dxa"/>
            <w:vAlign w:val="bottom"/>
            <w:gridSpan w:val="4"/>
          </w:tcPr>
          <w:p>
            <w:pPr>
              <w:ind w:left="200"/>
              <w:spacing w:after="0" w:line="146" w:lineRule="exact"/>
              <w:rPr>
                <w:sz w:val="20"/>
                <w:szCs w:val="20"/>
                <w:color w:val="auto"/>
              </w:rPr>
            </w:pPr>
            <w:r>
              <w:rPr>
                <w:rFonts w:ascii="Arial" w:cs="Arial" w:eastAsia="Arial" w:hAnsi="Arial"/>
                <w:sz w:val="14"/>
                <w:szCs w:val="14"/>
                <w:color w:val="auto"/>
              </w:rPr>
              <w:t>receiving all future proxy statements, proxy cards and annual reports electronically via e-mail or the</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b w:val="1"/>
                <w:bCs w:val="1"/>
                <w:i w:val="1"/>
                <w:iCs w:val="1"/>
                <w:color w:val="auto"/>
              </w:rPr>
              <w:t>ATTN: NARSI NARAYANAN</w:t>
            </w:r>
          </w:p>
        </w:tc>
        <w:tc>
          <w:tcPr>
            <w:tcW w:w="7220" w:type="dxa"/>
            <w:vAlign w:val="bottom"/>
            <w:gridSpan w:val="4"/>
          </w:tcPr>
          <w:p>
            <w:pPr>
              <w:ind w:left="200"/>
              <w:spacing w:after="0"/>
              <w:rPr>
                <w:sz w:val="20"/>
                <w:szCs w:val="20"/>
                <w:color w:val="auto"/>
              </w:rPr>
            </w:pPr>
            <w:r>
              <w:rPr>
                <w:rFonts w:ascii="Arial" w:cs="Arial" w:eastAsia="Arial" w:hAnsi="Arial"/>
                <w:sz w:val="14"/>
                <w:szCs w:val="14"/>
                <w:color w:val="auto"/>
              </w:rPr>
              <w:t>Internet. To sign up for electronic delivery, please follow the instructions above to vote using the Internet and,</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b w:val="1"/>
                <w:bCs w:val="1"/>
                <w:i w:val="1"/>
                <w:iCs w:val="1"/>
                <w:color w:val="auto"/>
              </w:rPr>
              <w:t>5225 WILEY POST WAY,</w:t>
            </w:r>
          </w:p>
        </w:tc>
        <w:tc>
          <w:tcPr>
            <w:tcW w:w="7220" w:type="dxa"/>
            <w:vAlign w:val="bottom"/>
            <w:gridSpan w:val="4"/>
          </w:tcPr>
          <w:p>
            <w:pPr>
              <w:ind w:left="200"/>
              <w:spacing w:after="0"/>
              <w:rPr>
                <w:sz w:val="20"/>
                <w:szCs w:val="20"/>
                <w:color w:val="auto"/>
              </w:rPr>
            </w:pPr>
            <w:r>
              <w:rPr>
                <w:rFonts w:ascii="Arial" w:cs="Arial" w:eastAsia="Arial" w:hAnsi="Arial"/>
                <w:sz w:val="14"/>
                <w:szCs w:val="14"/>
                <w:color w:val="auto"/>
              </w:rPr>
              <w:t>when prompted, indicate that you agree to receive or access proxy materials electronically in future years.</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20"/>
                <w:szCs w:val="20"/>
                <w:color w:val="auto"/>
              </w:rPr>
            </w:pPr>
            <w:r>
              <w:rPr>
                <w:rFonts w:ascii="Arial" w:cs="Arial" w:eastAsia="Arial" w:hAnsi="Arial"/>
                <w:sz w:val="14"/>
                <w:szCs w:val="14"/>
                <w:b w:val="1"/>
                <w:bCs w:val="1"/>
                <w:i w:val="1"/>
                <w:iCs w:val="1"/>
                <w:color w:val="auto"/>
              </w:rPr>
              <w:t>SUITE 500</w:t>
            </w:r>
          </w:p>
        </w:tc>
        <w:tc>
          <w:tcPr>
            <w:tcW w:w="72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78"/>
        </w:trPr>
        <w:tc>
          <w:tcPr>
            <w:tcW w:w="4220" w:type="dxa"/>
            <w:vAlign w:val="bottom"/>
          </w:tcPr>
          <w:p>
            <w:pPr>
              <w:spacing w:after="0"/>
              <w:rPr>
                <w:sz w:val="20"/>
                <w:szCs w:val="20"/>
                <w:color w:val="auto"/>
              </w:rPr>
            </w:pPr>
            <w:r>
              <w:rPr>
                <w:rFonts w:ascii="Arial" w:cs="Arial" w:eastAsia="Arial" w:hAnsi="Arial"/>
                <w:sz w:val="14"/>
                <w:szCs w:val="14"/>
                <w:b w:val="1"/>
                <w:bCs w:val="1"/>
                <w:i w:val="1"/>
                <w:iCs w:val="1"/>
                <w:color w:val="auto"/>
              </w:rPr>
              <w:t>SALT LAKE CITY, UTAH 84116</w:t>
            </w:r>
          </w:p>
        </w:tc>
        <w:tc>
          <w:tcPr>
            <w:tcW w:w="72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7220" w:type="dxa"/>
            <w:vAlign w:val="bottom"/>
            <w:gridSpan w:val="4"/>
          </w:tcPr>
          <w:p>
            <w:pPr>
              <w:ind w:left="200"/>
              <w:spacing w:after="0"/>
              <w:rPr>
                <w:sz w:val="20"/>
                <w:szCs w:val="20"/>
                <w:color w:val="auto"/>
              </w:rPr>
            </w:pPr>
            <w:r>
              <w:rPr>
                <w:rFonts w:ascii="Arial" w:cs="Arial" w:eastAsia="Arial" w:hAnsi="Arial"/>
                <w:sz w:val="14"/>
                <w:szCs w:val="14"/>
                <w:color w:val="auto"/>
              </w:rPr>
              <w:t>Use any touch-tone telephone to transmit your voting instructions up until 11:59 P.M. Eastern Time the day</w:t>
            </w: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7220" w:type="dxa"/>
            <w:vAlign w:val="bottom"/>
            <w:gridSpan w:val="4"/>
          </w:tcPr>
          <w:p>
            <w:pPr>
              <w:ind w:left="200"/>
              <w:spacing w:after="0"/>
              <w:rPr>
                <w:sz w:val="20"/>
                <w:szCs w:val="20"/>
                <w:color w:val="auto"/>
              </w:rPr>
            </w:pPr>
            <w:r>
              <w:rPr>
                <w:rFonts w:ascii="Arial" w:cs="Arial" w:eastAsia="Arial" w:hAnsi="Arial"/>
                <w:sz w:val="14"/>
                <w:szCs w:val="14"/>
                <w:color w:val="auto"/>
              </w:rPr>
              <w:t>before the cut-off date or meeting date. Have your proxy card in hand when you call and then follow the</w:t>
            </w:r>
          </w:p>
        </w:tc>
        <w:tc>
          <w:tcPr>
            <w:tcW w:w="0" w:type="dxa"/>
            <w:vAlign w:val="bottom"/>
          </w:tcPr>
          <w:p>
            <w:pPr>
              <w:spacing w:after="0"/>
              <w:rPr>
                <w:sz w:val="1"/>
                <w:szCs w:val="1"/>
                <w:color w:val="auto"/>
              </w:rPr>
            </w:pPr>
          </w:p>
        </w:tc>
      </w:tr>
      <w:tr>
        <w:trPr>
          <w:trHeight w:val="172"/>
        </w:trPr>
        <w:tc>
          <w:tcPr>
            <w:tcW w:w="4220" w:type="dxa"/>
            <w:vAlign w:val="bottom"/>
          </w:tcPr>
          <w:p>
            <w:pPr>
              <w:spacing w:after="0"/>
              <w:rPr>
                <w:sz w:val="14"/>
                <w:szCs w:val="14"/>
                <w:color w:val="auto"/>
              </w:rPr>
            </w:pPr>
          </w:p>
        </w:tc>
        <w:tc>
          <w:tcPr>
            <w:tcW w:w="1900" w:type="dxa"/>
            <w:vAlign w:val="bottom"/>
          </w:tcPr>
          <w:p>
            <w:pPr>
              <w:ind w:left="200"/>
              <w:spacing w:after="0"/>
              <w:rPr>
                <w:sz w:val="20"/>
                <w:szCs w:val="20"/>
                <w:color w:val="auto"/>
              </w:rPr>
            </w:pPr>
            <w:r>
              <w:rPr>
                <w:rFonts w:ascii="Arial" w:cs="Arial" w:eastAsia="Arial" w:hAnsi="Arial"/>
                <w:sz w:val="14"/>
                <w:szCs w:val="14"/>
                <w:color w:val="auto"/>
              </w:rPr>
              <w:t>instructions.</w:t>
            </w:r>
          </w:p>
        </w:tc>
        <w:tc>
          <w:tcPr>
            <w:tcW w:w="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4220" w:type="dxa"/>
            <w:vAlign w:val="bottom"/>
          </w:tcPr>
          <w:p>
            <w:pPr>
              <w:spacing w:after="0"/>
              <w:rPr>
                <w:sz w:val="24"/>
                <w:szCs w:val="24"/>
                <w:color w:val="auto"/>
              </w:rPr>
            </w:pPr>
          </w:p>
        </w:tc>
        <w:tc>
          <w:tcPr>
            <w:tcW w:w="1900" w:type="dxa"/>
            <w:vAlign w:val="bottom"/>
          </w:tcPr>
          <w:p>
            <w:pPr>
              <w:ind w:left="200"/>
              <w:spacing w:after="0"/>
              <w:rPr>
                <w:sz w:val="20"/>
                <w:szCs w:val="20"/>
                <w:color w:val="auto"/>
              </w:rPr>
            </w:pPr>
            <w:r>
              <w:rPr>
                <w:rFonts w:ascii="Arial" w:cs="Arial" w:eastAsia="Arial" w:hAnsi="Arial"/>
                <w:sz w:val="14"/>
                <w:szCs w:val="14"/>
                <w:b w:val="1"/>
                <w:bCs w:val="1"/>
                <w:color w:val="auto"/>
              </w:rPr>
              <w:t>VOTE BY MAIL</w:t>
            </w:r>
          </w:p>
        </w:tc>
        <w:tc>
          <w:tcPr>
            <w:tcW w:w="8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7220" w:type="dxa"/>
            <w:vAlign w:val="bottom"/>
            <w:gridSpan w:val="4"/>
          </w:tcPr>
          <w:p>
            <w:pPr>
              <w:ind w:left="200"/>
              <w:spacing w:after="0"/>
              <w:rPr>
                <w:sz w:val="20"/>
                <w:szCs w:val="20"/>
                <w:color w:val="auto"/>
              </w:rPr>
            </w:pPr>
            <w:r>
              <w:rPr>
                <w:rFonts w:ascii="Arial" w:cs="Arial" w:eastAsia="Arial" w:hAnsi="Arial"/>
                <w:sz w:val="14"/>
                <w:szCs w:val="14"/>
                <w:color w:val="auto"/>
              </w:rPr>
              <w:t>Mark, sign and date your proxy card and return it in the postage-paid envelope we have provided or return it</w:t>
            </w:r>
          </w:p>
        </w:tc>
        <w:tc>
          <w:tcPr>
            <w:tcW w:w="0" w:type="dxa"/>
            <w:vAlign w:val="bottom"/>
          </w:tcPr>
          <w:p>
            <w:pPr>
              <w:spacing w:after="0"/>
              <w:rPr>
                <w:sz w:val="1"/>
                <w:szCs w:val="1"/>
                <w:color w:val="auto"/>
              </w:rPr>
            </w:pPr>
          </w:p>
        </w:tc>
      </w:tr>
      <w:tr>
        <w:trPr>
          <w:trHeight w:val="172"/>
        </w:trPr>
        <w:tc>
          <w:tcPr>
            <w:tcW w:w="4220" w:type="dxa"/>
            <w:vAlign w:val="bottom"/>
          </w:tcPr>
          <w:p>
            <w:pPr>
              <w:spacing w:after="0"/>
              <w:rPr>
                <w:sz w:val="14"/>
                <w:szCs w:val="14"/>
                <w:color w:val="auto"/>
              </w:rPr>
            </w:pPr>
          </w:p>
        </w:tc>
        <w:tc>
          <w:tcPr>
            <w:tcW w:w="7220" w:type="dxa"/>
            <w:vAlign w:val="bottom"/>
            <w:gridSpan w:val="4"/>
          </w:tcPr>
          <w:p>
            <w:pPr>
              <w:ind w:left="200"/>
              <w:spacing w:after="0"/>
              <w:rPr>
                <w:sz w:val="20"/>
                <w:szCs w:val="20"/>
                <w:color w:val="auto"/>
              </w:rPr>
            </w:pPr>
            <w:r>
              <w:rPr>
                <w:rFonts w:ascii="Arial" w:cs="Arial" w:eastAsia="Arial" w:hAnsi="Arial"/>
                <w:sz w:val="14"/>
                <w:szCs w:val="14"/>
                <w:color w:val="auto"/>
              </w:rPr>
              <w:t>to Vote Processing., c/o Broadridge, 51 Mercedes Way, Edgewood, NY 11717.</w:t>
            </w:r>
          </w:p>
        </w:tc>
        <w:tc>
          <w:tcPr>
            <w:tcW w:w="0" w:type="dxa"/>
            <w:vAlign w:val="bottom"/>
          </w:tcPr>
          <w:p>
            <w:pPr>
              <w:spacing w:after="0"/>
              <w:rPr>
                <w:sz w:val="1"/>
                <w:szCs w:val="1"/>
                <w:color w:val="auto"/>
              </w:rPr>
            </w:pPr>
          </w:p>
        </w:tc>
      </w:tr>
      <w:tr>
        <w:trPr>
          <w:trHeight w:val="594"/>
        </w:trPr>
        <w:tc>
          <w:tcPr>
            <w:tcW w:w="6120" w:type="dxa"/>
            <w:vAlign w:val="bottom"/>
            <w:gridSpan w:val="2"/>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8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40" w:type="dxa"/>
            <w:vAlign w:val="bottom"/>
            <w:gridSpan w:val="2"/>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20"/>
        </w:trPr>
        <w:tc>
          <w:tcPr>
            <w:tcW w:w="422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44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4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40" w:type="dxa"/>
            <w:vAlign w:val="bottom"/>
            <w:gridSpan w:val="2"/>
          </w:tcPr>
          <w:p>
            <w:pPr>
              <w:jc w:val="right"/>
              <w:ind w:right="2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371"/>
        </w:trPr>
        <w:tc>
          <w:tcPr>
            <w:tcW w:w="11440" w:type="dxa"/>
            <w:vAlign w:val="bottom"/>
            <w:gridSpan w:val="5"/>
          </w:tcPr>
          <w:p>
            <w:pPr>
              <w:ind w:left="3240"/>
              <w:spacing w:after="0"/>
              <w:rPr>
                <w:sz w:val="20"/>
                <w:szCs w:val="20"/>
                <w:color w:val="auto"/>
              </w:rPr>
            </w:pPr>
            <w:r>
              <w:rPr>
                <w:rFonts w:ascii="Arial" w:cs="Arial" w:eastAsia="Arial" w:hAnsi="Arial"/>
                <w:sz w:val="16"/>
                <w:szCs w:val="16"/>
                <w:b w:val="1"/>
                <w:bCs w:val="1"/>
                <w:color w:val="auto"/>
              </w:rPr>
              <w:t>THIS PROXY CARD IS VALID ONLY WHEN SIGNED AND DATED.</w:t>
            </w:r>
          </w:p>
        </w:tc>
        <w:tc>
          <w:tcPr>
            <w:tcW w:w="0" w:type="dxa"/>
            <w:vAlign w:val="bottom"/>
          </w:tcPr>
          <w:p>
            <w:pPr>
              <w:spacing w:after="0"/>
              <w:rPr>
                <w:sz w:val="1"/>
                <w:szCs w:val="1"/>
                <w:color w:val="auto"/>
              </w:rPr>
            </w:pPr>
          </w:p>
        </w:tc>
      </w:tr>
      <w:tr>
        <w:trPr>
          <w:trHeight w:val="357"/>
        </w:trPr>
        <w:tc>
          <w:tcPr>
            <w:tcW w:w="4220" w:type="dxa"/>
            <w:vAlign w:val="bottom"/>
          </w:tcPr>
          <w:p>
            <w:pPr>
              <w:spacing w:after="0"/>
              <w:rPr>
                <w:sz w:val="20"/>
                <w:szCs w:val="20"/>
                <w:color w:val="auto"/>
              </w:rPr>
            </w:pPr>
            <w:r>
              <w:rPr>
                <w:rFonts w:ascii="Arial" w:cs="Arial" w:eastAsia="Arial" w:hAnsi="Arial"/>
                <w:sz w:val="14"/>
                <w:szCs w:val="14"/>
                <w:b w:val="1"/>
                <w:bCs w:val="1"/>
                <w:color w:val="auto"/>
              </w:rPr>
              <w:t>The Board of Directors recommends that you vote FOR the</w:t>
            </w:r>
          </w:p>
        </w:tc>
        <w:tc>
          <w:tcPr>
            <w:tcW w:w="1900" w:type="dxa"/>
            <w:vAlign w:val="bottom"/>
          </w:tcPr>
          <w:p>
            <w:pPr>
              <w:ind w:left="220"/>
              <w:spacing w:after="0"/>
              <w:rPr>
                <w:sz w:val="20"/>
                <w:szCs w:val="20"/>
                <w:color w:val="auto"/>
              </w:rPr>
            </w:pPr>
            <w:r>
              <w:rPr>
                <w:rFonts w:ascii="Arial" w:cs="Arial" w:eastAsia="Arial" w:hAnsi="Arial"/>
                <w:sz w:val="14"/>
                <w:szCs w:val="14"/>
                <w:b w:val="1"/>
                <w:bCs w:val="1"/>
                <w:color w:val="auto"/>
              </w:rPr>
              <w:t>For All   Withhold All</w:t>
            </w:r>
          </w:p>
        </w:tc>
        <w:tc>
          <w:tcPr>
            <w:tcW w:w="53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 xml:space="preserve">For All    </w:t>
            </w:r>
            <w:r>
              <w:rPr>
                <w:rFonts w:ascii="Arial" w:cs="Arial" w:eastAsia="Arial" w:hAnsi="Arial"/>
                <w:sz w:val="14"/>
                <w:szCs w:val="14"/>
                <w:color w:val="auto"/>
              </w:rPr>
              <w:t>To withhold authority to vote for any individual nominee(s) mark “For</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20"/>
                <w:szCs w:val="20"/>
                <w:color w:val="auto"/>
              </w:rPr>
            </w:pPr>
            <w:r>
              <w:rPr>
                <w:rFonts w:ascii="Arial" w:cs="Arial" w:eastAsia="Arial" w:hAnsi="Arial"/>
                <w:sz w:val="14"/>
                <w:szCs w:val="14"/>
                <w:b w:val="1"/>
                <w:bCs w:val="1"/>
                <w:color w:val="auto"/>
              </w:rPr>
              <w:t>following:</w:t>
            </w:r>
          </w:p>
        </w:tc>
        <w:tc>
          <w:tcPr>
            <w:tcW w:w="1900" w:type="dxa"/>
            <w:vAlign w:val="bottom"/>
          </w:tcPr>
          <w:p>
            <w:pPr>
              <w:spacing w:after="0"/>
              <w:rPr>
                <w:sz w:val="15"/>
                <w:szCs w:val="15"/>
                <w:color w:val="auto"/>
              </w:rPr>
            </w:pPr>
          </w:p>
        </w:tc>
        <w:tc>
          <w:tcPr>
            <w:tcW w:w="5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 xml:space="preserve">Except   </w:t>
            </w:r>
            <w:r>
              <w:rPr>
                <w:rFonts w:ascii="Arial" w:cs="Arial" w:eastAsia="Arial" w:hAnsi="Arial"/>
                <w:sz w:val="14"/>
                <w:szCs w:val="14"/>
                <w:color w:val="auto"/>
              </w:rPr>
              <w:t>all except” and write the number(s) of the nominee(s) on the line</w:t>
            </w:r>
          </w:p>
        </w:tc>
        <w:tc>
          <w:tcPr>
            <w:tcW w:w="0" w:type="dxa"/>
            <w:vAlign w:val="bottom"/>
          </w:tcPr>
          <w:p>
            <w:pPr>
              <w:spacing w:after="0"/>
              <w:rPr>
                <w:sz w:val="1"/>
                <w:szCs w:val="1"/>
                <w:color w:val="auto"/>
              </w:rPr>
            </w:pPr>
          </w:p>
        </w:tc>
      </w:tr>
      <w:tr>
        <w:trPr>
          <w:trHeight w:val="172"/>
        </w:trPr>
        <w:tc>
          <w:tcPr>
            <w:tcW w:w="42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40" w:type="dxa"/>
            <w:vAlign w:val="bottom"/>
            <w:gridSpan w:val="2"/>
          </w:tcPr>
          <w:p>
            <w:pPr>
              <w:jc w:val="right"/>
              <w:ind w:right="4040"/>
              <w:spacing w:after="0"/>
              <w:rPr>
                <w:sz w:val="20"/>
                <w:szCs w:val="20"/>
                <w:color w:val="auto"/>
              </w:rPr>
            </w:pPr>
            <w:r>
              <w:rPr>
                <w:rFonts w:ascii="Arial" w:cs="Arial" w:eastAsia="Arial" w:hAnsi="Arial"/>
                <w:sz w:val="14"/>
                <w:szCs w:val="14"/>
                <w:color w:val="auto"/>
                <w:w w:val="93"/>
              </w:rPr>
              <w:t>below:</w:t>
            </w:r>
          </w:p>
        </w:tc>
        <w:tc>
          <w:tcPr>
            <w:tcW w:w="0" w:type="dxa"/>
            <w:vAlign w:val="bottom"/>
          </w:tcPr>
          <w:p>
            <w:pPr>
              <w:spacing w:after="0"/>
              <w:rPr>
                <w:sz w:val="1"/>
                <w:szCs w:val="1"/>
                <w:color w:val="auto"/>
              </w:rPr>
            </w:pPr>
          </w:p>
        </w:tc>
      </w:tr>
      <w:tr>
        <w:trPr>
          <w:trHeight w:val="208"/>
        </w:trPr>
        <w:tc>
          <w:tcPr>
            <w:tcW w:w="4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340" w:hanging="208"/>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ectPr>
          <w:pgSz w:w="11900" w:h="16838" w:orient="portrait"/>
          <w:cols w:equalWidth="0" w:num="1">
            <w:col w:w="11440"/>
          </w:cols>
          <w:pgMar w:left="240" w:top="707" w:right="219" w:bottom="1440" w:gutter="0" w:footer="0" w:header="0"/>
        </w:sectPr>
      </w:pPr>
    </w:p>
    <w:p>
      <w:pPr>
        <w:spacing w:after="0" w:line="11" w:lineRule="exact"/>
        <w:rPr>
          <w:sz w:val="20"/>
          <w:szCs w:val="20"/>
          <w:color w:val="auto"/>
        </w:rPr>
      </w:pPr>
    </w:p>
    <w:p>
      <w:pPr>
        <w:spacing w:after="0"/>
        <w:tabs>
          <w:tab w:leader="none" w:pos="2220" w:val="left"/>
          <w:tab w:leader="none" w:pos="4860" w:val="left"/>
        </w:tabs>
        <w:rPr>
          <w:sz w:val="20"/>
          <w:szCs w:val="20"/>
          <w:color w:val="auto"/>
        </w:rPr>
      </w:pPr>
      <w:r>
        <w:rPr>
          <w:rFonts w:ascii="Arial" w:cs="Arial" w:eastAsia="Arial" w:hAnsi="Arial"/>
          <w:sz w:val="14"/>
          <w:szCs w:val="14"/>
          <w:color w:val="auto"/>
        </w:rPr>
        <w:t>01 Brad R. Baldwin</w:t>
      </w:r>
      <w:r>
        <w:rPr>
          <w:sz w:val="20"/>
          <w:szCs w:val="20"/>
          <w:color w:val="auto"/>
        </w:rPr>
        <w:tab/>
      </w:r>
      <w:r>
        <w:rPr>
          <w:rFonts w:ascii="Arial" w:cs="Arial" w:eastAsia="Arial" w:hAnsi="Arial"/>
          <w:sz w:val="14"/>
          <w:szCs w:val="14"/>
          <w:color w:val="auto"/>
        </w:rPr>
        <w:t>02 Zeynep “Zee” Hakimoglu</w:t>
      </w:r>
      <w:r>
        <w:rPr>
          <w:sz w:val="20"/>
          <w:szCs w:val="20"/>
          <w:color w:val="auto"/>
        </w:rPr>
        <w:tab/>
      </w:r>
      <w:r>
        <w:rPr>
          <w:rFonts w:ascii="Arial" w:cs="Arial" w:eastAsia="Arial" w:hAnsi="Arial"/>
          <w:sz w:val="14"/>
          <w:szCs w:val="14"/>
          <w:color w:val="auto"/>
        </w:rPr>
        <w:t>03 Larry R. Hendricks</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Arial" w:cs="Arial" w:eastAsia="Arial" w:hAnsi="Arial"/>
          <w:sz w:val="14"/>
          <w:szCs w:val="14"/>
          <w:color w:val="auto"/>
        </w:rPr>
        <w:t>04 Scott M. Huntsman</w:t>
      </w:r>
    </w:p>
    <w:p>
      <w:pPr>
        <w:spacing w:after="0" w:line="20" w:lineRule="exact"/>
        <w:rPr>
          <w:sz w:val="20"/>
          <w:szCs w:val="20"/>
          <w:color w:val="auto"/>
        </w:rPr>
      </w:pPr>
      <w:r>
        <w:rPr>
          <w:sz w:val="20"/>
          <w:szCs w:val="20"/>
          <w:color w:val="auto"/>
        </w:rPr>
        <w:br w:type="column"/>
      </w:r>
    </w:p>
    <w:p>
      <w:pPr>
        <w:jc w:val="center"/>
        <w:ind w:right="880"/>
        <w:spacing w:after="0"/>
        <w:rPr>
          <w:sz w:val="20"/>
          <w:szCs w:val="20"/>
          <w:color w:val="auto"/>
        </w:rPr>
      </w:pPr>
      <w:r>
        <w:rPr>
          <w:rFonts w:ascii="Arial" w:cs="Arial" w:eastAsia="Arial" w:hAnsi="Arial"/>
          <w:sz w:val="14"/>
          <w:szCs w:val="14"/>
          <w:color w:val="auto"/>
        </w:rPr>
        <w:t>05 E. Bryan Bagley</w:t>
      </w:r>
    </w:p>
    <w:p>
      <w:pPr>
        <w:spacing w:after="0" w:line="1" w:lineRule="exact"/>
        <w:rPr>
          <w:sz w:val="20"/>
          <w:szCs w:val="20"/>
          <w:color w:val="auto"/>
        </w:rPr>
      </w:pPr>
    </w:p>
    <w:p>
      <w:pPr>
        <w:sectPr>
          <w:pgSz w:w="11900" w:h="16838" w:orient="portrait"/>
          <w:cols w:equalWidth="0" w:num="3">
            <w:col w:w="6380" w:space="720"/>
            <w:col w:w="1500" w:space="720"/>
            <w:col w:w="2120"/>
          </w:cols>
          <w:pgMar w:left="240" w:top="707" w:right="21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To transact such other business as may properly come before the Annual Meeting.</w:t>
      </w:r>
    </w:p>
    <w:p>
      <w:pPr>
        <w:sectPr>
          <w:pgSz w:w="11900" w:h="16838" w:orient="portrait"/>
          <w:cols w:equalWidth="0" w:num="1">
            <w:col w:w="11440"/>
          </w:cols>
          <w:pgMar w:left="240" w:top="707" w:right="219" w:bottom="1440" w:gutter="0" w:footer="0" w:header="0"/>
          <w:type w:val="continuous"/>
        </w:sectPr>
      </w:pPr>
    </w:p>
    <w:p>
      <w:pPr>
        <w:spacing w:after="0" w:line="72"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THIS PROXY WILL BE VOTED AS DIRECTED OR, IF NO CONTRARY DIRECTION IS INDICATED, WILL BE VOTED FOR ALL DIRECTORS SET FORTH HEREIN, AND AS SAID PROXIES DEEM ADVISABLE ON SUCH OTHER MATTERS AS MAY COME BEFORE THE MEETING.</w:t>
      </w:r>
    </w:p>
    <w:p>
      <w:pPr>
        <w:spacing w:after="0" w:line="51" w:lineRule="exact"/>
        <w:rPr>
          <w:sz w:val="20"/>
          <w:szCs w:val="20"/>
          <w:color w:val="auto"/>
        </w:rPr>
      </w:pPr>
    </w:p>
    <w:p>
      <w:pPr>
        <w:spacing w:after="0"/>
        <w:tabs>
          <w:tab w:leader="none" w:pos="7080" w:val="left"/>
        </w:tabs>
        <w:rPr>
          <w:sz w:val="20"/>
          <w:szCs w:val="20"/>
          <w:color w:val="auto"/>
        </w:rPr>
      </w:pPr>
      <w:r>
        <w:rPr>
          <w:rFonts w:ascii="Arial" w:cs="Arial" w:eastAsia="Arial" w:hAnsi="Arial"/>
          <w:sz w:val="14"/>
          <w:szCs w:val="14"/>
          <w:color w:val="auto"/>
        </w:rPr>
        <w:t xml:space="preserve">For address changes and/or comments, please check this box and write them on the back where indicated </w:t>
      </w:r>
      <w:r>
        <w:rPr>
          <w:rFonts w:ascii="Arial" w:cs="Arial" w:eastAsia="Arial" w:hAnsi="Arial"/>
          <w:sz w:val="19"/>
          <w:szCs w:val="19"/>
          <w:color w:val="auto"/>
        </w:rPr>
        <w:t>[</w:t>
      </w:r>
      <w:r>
        <w:rPr>
          <w:sz w:val="20"/>
          <w:szCs w:val="20"/>
          <w:color w:val="auto"/>
        </w:rPr>
        <w:tab/>
      </w:r>
      <w:r>
        <w:rPr>
          <w:rFonts w:ascii="Arial" w:cs="Arial" w:eastAsia="Arial" w:hAnsi="Arial"/>
          <w:sz w:val="20"/>
          <w:szCs w:val="20"/>
          <w:color w:val="auto"/>
        </w:rPr>
        <w:t>]</w:t>
      </w:r>
    </w:p>
    <w:p>
      <w:pPr>
        <w:spacing w:after="0" w:line="67" w:lineRule="exact"/>
        <w:rPr>
          <w:sz w:val="20"/>
          <w:szCs w:val="20"/>
          <w:color w:val="auto"/>
        </w:rPr>
      </w:pPr>
    </w:p>
    <w:p>
      <w:pPr>
        <w:spacing w:after="0"/>
        <w:tabs>
          <w:tab w:leader="none" w:pos="3600" w:val="left"/>
          <w:tab w:leader="none" w:pos="3960" w:val="left"/>
          <w:tab w:leader="none" w:pos="4180" w:val="left"/>
          <w:tab w:leader="none" w:pos="4520" w:val="left"/>
          <w:tab w:leader="none" w:pos="5020" w:val="left"/>
        </w:tabs>
        <w:rPr>
          <w:sz w:val="20"/>
          <w:szCs w:val="20"/>
          <w:color w:val="auto"/>
        </w:rPr>
      </w:pPr>
      <w:r>
        <w:rPr>
          <w:rFonts w:ascii="Arial" w:cs="Arial" w:eastAsia="Arial" w:hAnsi="Arial"/>
          <w:sz w:val="14"/>
          <w:szCs w:val="14"/>
          <w:color w:val="auto"/>
        </w:rPr>
        <w:t>Please indicate if you plan to attend this meeting</w:t>
      </w:r>
      <w:r>
        <w:rPr>
          <w:sz w:val="20"/>
          <w:szCs w:val="20"/>
          <w:color w:val="auto"/>
        </w:rPr>
        <w:tab/>
      </w:r>
      <w:r>
        <w:rPr>
          <w:rFonts w:ascii="Arial" w:cs="Arial" w:eastAsia="Arial" w:hAnsi="Arial"/>
          <w:sz w:val="14"/>
          <w:szCs w:val="14"/>
          <w:color w:val="auto"/>
        </w:rPr>
        <w:t>Yes</w:t>
      </w:r>
      <w:r>
        <w:rPr>
          <w:sz w:val="20"/>
          <w:szCs w:val="20"/>
          <w:color w:val="auto"/>
        </w:rPr>
        <w:tab/>
      </w:r>
      <w:r>
        <w:rPr>
          <w:rFonts w:ascii="Arial" w:cs="Arial" w:eastAsia="Arial" w:hAnsi="Arial"/>
          <w:sz w:val="20"/>
          <w:szCs w:val="20"/>
          <w:color w:val="auto"/>
        </w:rPr>
        <w:t>[</w:t>
        <w:tab/>
        <w:t>]</w:t>
      </w:r>
      <w:r>
        <w:rPr>
          <w:sz w:val="20"/>
          <w:szCs w:val="20"/>
          <w:color w:val="auto"/>
        </w:rPr>
        <w:tab/>
      </w:r>
      <w:r>
        <w:rPr>
          <w:rFonts w:ascii="Arial" w:cs="Arial" w:eastAsia="Arial" w:hAnsi="Arial"/>
          <w:sz w:val="14"/>
          <w:szCs w:val="14"/>
          <w:color w:val="auto"/>
        </w:rPr>
        <w:t xml:space="preserve">No </w:t>
      </w:r>
      <w:r>
        <w:rPr>
          <w:rFonts w:ascii="Arial" w:cs="Arial" w:eastAsia="Arial" w:hAnsi="Arial"/>
          <w:sz w:val="19"/>
          <w:szCs w:val="19"/>
          <w:color w:val="auto"/>
        </w:rPr>
        <w:t>[</w:t>
      </w:r>
      <w:r>
        <w:rPr>
          <w:sz w:val="20"/>
          <w:szCs w:val="20"/>
          <w:color w:val="auto"/>
        </w:rPr>
        <w:tab/>
      </w:r>
      <w:r>
        <w:rPr>
          <w:rFonts w:ascii="Arial" w:cs="Arial" w:eastAsia="Arial" w:hAnsi="Arial"/>
          <w:sz w:val="20"/>
          <w:szCs w:val="20"/>
          <w:color w:val="auto"/>
        </w:rPr>
        <w:t>]</w:t>
      </w:r>
    </w:p>
    <w:p>
      <w:pPr>
        <w:spacing w:after="0" w:line="76"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43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4600" w:val="left"/>
          <w:tab w:leader="none" w:pos="6480" w:val="left"/>
          <w:tab w:leader="none" w:pos="101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4"/>
          <w:szCs w:val="14"/>
          <w:color w:val="auto"/>
        </w:rPr>
        <w:t>Date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1</w:t>
      </w:r>
    </w:p>
    <w:p>
      <w:pPr>
        <w:sectPr>
          <w:pgSz w:w="11900" w:h="16838" w:orient="portrait"/>
          <w:cols w:equalWidth="0" w:num="1">
            <w:col w:w="11440"/>
          </w:cols>
          <w:pgMar w:left="240" w:top="707" w:right="2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b w:val="1"/>
          <w:bCs w:val="1"/>
          <w:color w:val="auto"/>
        </w:rPr>
        <w:t xml:space="preserve">Important Notice Regarding the Availability of Proxy Materials for the Annual Meeting: </w:t>
      </w:r>
      <w:r>
        <w:rPr>
          <w:rFonts w:ascii="Arial" w:cs="Arial" w:eastAsia="Arial" w:hAnsi="Arial"/>
          <w:sz w:val="14"/>
          <w:szCs w:val="14"/>
          <w:color w:val="auto"/>
        </w:rPr>
        <w:t>The Notice, Proxy Statement and Annual Report are available at</w:t>
      </w:r>
      <w:r>
        <w:rPr>
          <w:rFonts w:ascii="Arial" w:cs="Arial" w:eastAsia="Arial" w:hAnsi="Arial"/>
          <w:sz w:val="14"/>
          <w:szCs w:val="14"/>
          <w:b w:val="1"/>
          <w:bCs w:val="1"/>
          <w:color w:val="auto"/>
        </w:rPr>
        <w:t xml:space="preserve"> </w:t>
      </w:r>
      <w:r>
        <w:rPr>
          <w:rFonts w:ascii="Arial" w:cs="Arial" w:eastAsia="Arial" w:hAnsi="Arial"/>
          <w:sz w:val="14"/>
          <w:szCs w:val="14"/>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CLEARONE COMMUNICATIONS,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Proxy for Annual Meeting of Shareholders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December 15, 2010</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THIS PROXY IS SOLICITED ON BEHALF OF THE BOARD OF DIRECTORS</w:t>
      </w:r>
    </w:p>
    <w:p>
      <w:pPr>
        <w:spacing w:after="0" w:line="235"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The undersigned shareholder of ClearOne Communications, Inc., a Utah corporation (the “Company”), hereby acknowledges receipt of the Notice of Annual Meeting of Shareholders and Proxy Statement, each dated November 5, 2010, and hereby appoints Zeynep Hakimoglu and Narsi Narayanan, proxies and attorneys-in-fact, with full power to each of substitution in behalf of and in the name of the undersigned, to represent the undersigned at the Annual Meeting of Shareholders to be held on December 15, 2010, at 9:00 a.m., MST, at the Company’s corporate offices, 5225 Wiley Post Way, Suite 500, Salt Lake City, Utah 84116, and at any postponement or adjournment thereof, and to vote all shares of Common Stock which the undersigned would be entitled to vote, if then and there personally present, on the matters set forth on the reverse side.</w:t>
      </w:r>
    </w:p>
    <w:p>
      <w:pPr>
        <w:spacing w:after="0" w:line="205" w:lineRule="exact"/>
        <w:rPr>
          <w:sz w:val="20"/>
          <w:szCs w:val="20"/>
          <w:color w:val="auto"/>
        </w:rPr>
      </w:pPr>
    </w:p>
    <w:p>
      <w:pPr>
        <w:jc w:val="both"/>
        <w:ind w:right="120"/>
        <w:spacing w:after="0" w:line="250" w:lineRule="auto"/>
        <w:rPr>
          <w:sz w:val="20"/>
          <w:szCs w:val="20"/>
          <w:color w:val="auto"/>
        </w:rPr>
      </w:pPr>
      <w:r>
        <w:rPr>
          <w:rFonts w:ascii="Arial" w:cs="Arial" w:eastAsia="Arial" w:hAnsi="Arial"/>
          <w:sz w:val="14"/>
          <w:szCs w:val="14"/>
          <w:color w:val="auto"/>
        </w:rPr>
        <w:t>A majority of such attorneys or substitutes as shall be present and shall act at said meeting or any postponement or adjournment thereof (or, if only one shall be present and act, then that one) shall have and may exercise all the powers of said attorneys-in-fact hereunder. In addition to the following proposals, the proxies are authorized to vote upon such other matters as may properly come before the meeting or any postponement or adjournment thereof.</w:t>
      </w: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Address Changes /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272020" cy="415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1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(If you noted any Address Changes and/or Comments above, please mark corresponding box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2</w:t>
      </w:r>
    </w:p>
    <w:p>
      <w:pPr>
        <w:sectPr>
          <w:pgSz w:w="11900" w:h="16838" w:orient="portrait"/>
          <w:cols w:equalWidth="0" w:num="1">
            <w:col w:w="11400"/>
          </w:cols>
          <w:pgMar w:left="240" w:top="491" w:right="259" w:bottom="1440" w:gutter="0" w:footer="0" w:header="0"/>
        </w:sectPr>
      </w:pPr>
    </w:p>
    <w:bookmarkStart w:id="20" w:name="page21"/>
    <w:bookmarkEnd w:id="2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upperLetter"/>
      <w:start w:val="24"/>
    </w:lvl>
  </w:abstractNum>
  <w:abstractNum w:abstractNumId="2">
    <w:nsid w:val="12200854"/>
    <w:multiLevelType w:val="hybridMultilevel"/>
    <w:lvl w:ilvl="0">
      <w:lvlJc w:val="left"/>
      <w:lvlText w:val="["/>
      <w:numFmt w:val="bullet"/>
      <w:start w:val="1"/>
    </w:lvl>
    <w:lvl w:ilvl="1">
      <w:lvlJc w:val="left"/>
      <w:lvlText w:val="%2)"/>
      <w:numFmt w:val="decimal"/>
      <w:start w:val="1"/>
    </w:lvl>
  </w:abstractNum>
  <w:abstractNum w:abstractNumId="3">
    <w:nsid w:val="4DB127F8"/>
    <w:multiLevelType w:val="hybridMultilevel"/>
    <w:lvl w:ilvl="0">
      <w:lvlJc w:val="left"/>
      <w:lvlText w:val="["/>
      <w:numFmt w:val="bullet"/>
      <w:start w:val="1"/>
    </w:lvl>
    <w:lvl w:ilvl="1">
      <w:lvlJc w:val="left"/>
      <w:lvlText w:val="%2)"/>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Letter"/>
      <w:start w:val="5"/>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lvl w:ilvl="1">
      <w:lvlJc w:val="left"/>
      <w:lvlText w:val="-"/>
      <w:numFmt w:val="bullet"/>
      <w:start w:val="1"/>
    </w:lvl>
  </w:abstractNum>
  <w:abstractNum w:abstractNumId="9">
    <w:nsid w:val="3352255A"/>
    <w:multiLevelType w:val="hybridMultilevel"/>
    <w:lvl w:ilvl="0">
      <w:lvlJc w:val="left"/>
      <w:lvlText w:val="(%1)"/>
      <w:numFmt w:val="decimal"/>
      <w:start w:val="3"/>
    </w:lvl>
  </w:abstractNum>
  <w:abstractNum w:abstractNumId="10">
    <w:nsid w:val="109CF92E"/>
    <w:multiLevelType w:val="hybridMultilevel"/>
    <w:lvl w:ilvl="0">
      <w:lvlJc w:val="left"/>
      <w:lvlText w:val="(%1)"/>
      <w:numFmt w:val="lowerRoman"/>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
      <w:numFmt w:val="bullet"/>
      <w:start w:val="1"/>
    </w:lvl>
  </w:abstractNum>
  <w:abstractNum w:abstractNumId="13">
    <w:nsid w:val="1BEFD79F"/>
    <w:multiLevelType w:val="hybridMultilevel"/>
    <w:lvl w:ilvl="0">
      <w:lvlJc w:val="left"/>
      <w:lvlText w:val="(%1)"/>
      <w:numFmt w:val="decimal"/>
      <w:start w:val="2"/>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2019-12-10T08:07:29Z</dcterms:created>
  <dcterms:modified xsi:type="dcterms:W3CDTF">2019-12-10T08:07:29Z</dcterms:modified>
</cp:coreProperties>
</file>