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144" w:right="144" w:hanging="0"/>
        <w:jc w:val="center"/>
        <w:rPr>
          <w:rFonts w:ascii="Times New Roman" w:hAnsi="Times New Roman"/>
          <w:b/>
          <w:sz w:val="24"/>
        </w:rPr>
      </w:pPr>
      <w:bookmarkStart w:id="0" w:name="clro-20230930.htm"/>
      <w:bookmarkStart w:id="1" w:name="ksclro20230930"/>
      <w:bookmarkEnd w:id="0"/>
      <w:bookmarkEnd w:id="1"/>
      <w:r>
        <w:rPr>
          <w:rFonts w:ascii="Times New Roman" w:hAnsi="Times New Roman"/>
          <w:b/>
          <w:sz w:val="24"/>
        </w:rPr>
        <w:t>UNITED STATES SECURITIES AND EXCHANGE COMMISSION</w:t>
      </w:r>
    </w:p>
    <w:p>
      <w:pPr>
        <w:pStyle w:val="TextBody"/>
        <w:bidi w:val="0"/>
        <w:spacing w:lineRule="auto" w:line="288" w:before="0" w:after="0"/>
        <w:ind w:left="438" w:right="438"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438" w:right="438" w:hanging="0"/>
        <w:jc w:val="center"/>
        <w:rPr/>
      </w:pPr>
      <w:r>
        <w:rPr/>
        <w:t> </w:t>
      </w:r>
    </w:p>
    <w:p>
      <w:pPr>
        <w:pStyle w:val="TextBody"/>
        <w:bidi w:val="0"/>
        <w:spacing w:lineRule="auto" w:line="288" w:before="0" w:after="0"/>
        <w:ind w:left="438" w:right="438" w:hanging="0"/>
        <w:jc w:val="center"/>
        <w:rPr>
          <w:rFonts w:ascii="Times New Roman" w:hAnsi="Times New Roman"/>
          <w:b/>
          <w:sz w:val="36"/>
        </w:rPr>
      </w:pPr>
      <w:r>
        <w:rPr>
          <w:rFonts w:ascii="Times New Roman" w:hAnsi="Times New Roman"/>
          <w:b/>
          <w:sz w:val="36"/>
        </w:rPr>
        <w:t>Form 10-Q</w:t>
      </w:r>
    </w:p>
    <w:p>
      <w:pPr>
        <w:pStyle w:val="TextBody"/>
        <w:bidi w:val="0"/>
        <w:spacing w:lineRule="auto" w:line="288" w:before="0" w:after="0"/>
        <w:ind w:left="438" w:right="438" w:hanging="0"/>
        <w:jc w:val="center"/>
        <w:rPr/>
      </w:pPr>
      <w:r>
        <w:rPr/>
        <w:t> </w:t>
      </w:r>
    </w:p>
    <w:p>
      <w:pPr>
        <w:pStyle w:val="TextBody"/>
        <w:bidi w:val="0"/>
        <w:spacing w:lineRule="auto" w:line="288" w:before="0" w:after="0"/>
        <w:ind w:left="504" w:right="144" w:hanging="0"/>
        <w:jc w:val="both"/>
        <w:rPr>
          <w:rFonts w:ascii="Times New Roman" w:hAnsi="Times New Roman"/>
          <w:sz w:val="20"/>
        </w:rPr>
      </w:pPr>
      <w:r>
        <w:rPr>
          <w:rFonts w:ascii="Times New Roman" w:hAnsi="Times New Roman"/>
          <w:sz w:val="20"/>
        </w:rPr>
        <w:t>(Mark One)</w:t>
      </w:r>
    </w:p>
    <w:p>
      <w:pPr>
        <w:pStyle w:val="TextBody"/>
        <w:bidi w:val="0"/>
        <w:spacing w:lineRule="auto" w:line="288" w:before="0" w:after="0"/>
        <w:ind w:left="50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rFonts w:ascii="Times New Roman" w:hAnsi="Times New Roman"/>
                <w:sz w:val="20"/>
              </w:rPr>
              <w:t xml:space="preserve">For the quarterly period ended </w:t>
            </w:r>
            <w:r>
              <w:rPr>
                <w:rFonts w:ascii="Times New Roman" w:hAnsi="Times New Roman"/>
                <w:sz w:val="20"/>
                <w:u w:val="single"/>
              </w:rPr>
              <w:t>September 30, 2023</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For the transition period _______ to _______</w:t>
            </w:r>
          </w:p>
        </w:tc>
      </w:tr>
    </w:tbl>
    <w:p>
      <w:pPr>
        <w:pStyle w:val="TextBody"/>
        <w:bidi w:val="0"/>
        <w:spacing w:lineRule="auto" w:line="288" w:before="0" w:after="0"/>
        <w:ind w:left="438" w:right="438" w:firstLine="55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Commission file number:</w:t>
      </w:r>
      <w:r>
        <w:rPr>
          <w:rFonts w:ascii="Times New Roman" w:hAnsi="Times New Roman"/>
          <w:b/>
          <w:sz w:val="20"/>
          <w:u w:val="single"/>
        </w:rPr>
        <w:t>001-33660</w:t>
      </w:r>
    </w:p>
    <w:p>
      <w:pPr>
        <w:pStyle w:val="TextBody"/>
        <w:bidi w:val="0"/>
        <w:spacing w:lineRule="auto" w:line="288" w:before="0" w:after="0"/>
        <w:ind w:left="144" w:right="144"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106"/>
        <w:gridCol w:w="75"/>
        <w:gridCol w:w="4024"/>
      </w:tblGrid>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87-0398877</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6106" w:type="dxa"/>
            <w:tcBorders/>
            <w:vAlign w:val="center"/>
          </w:tcPr>
          <w:p>
            <w:pPr>
              <w:pStyle w:val="TableContents"/>
              <w:bidi w:val="0"/>
              <w:spacing w:before="0" w:after="0"/>
              <w:ind w:left="0" w:right="0" w:hanging="0"/>
              <w:jc w:val="center"/>
              <w:rPr/>
            </w:pPr>
            <w:r>
              <w:rPr/>
              <w:t> </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5225 Wiley Post Way, Suite 500, Salt Lake City, Utah</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84116</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88" w:before="0" w:after="0"/>
        <w:ind w:left="0" w:right="0" w:hanging="0"/>
        <w:jc w:val="center"/>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12(b) of the Act:</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2623"/>
        <w:gridCol w:w="161"/>
        <w:gridCol w:w="2180"/>
        <w:gridCol w:w="161"/>
        <w:gridCol w:w="5080"/>
      </w:tblGrid>
      <w:tr>
        <w:trPr/>
        <w:tc>
          <w:tcPr>
            <w:tcW w:w="2623"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pPr>
            <w:r>
              <w:rPr>
                <w:rFonts w:ascii="Times New Roman" w:hAnsi="Times New Roman"/>
                <w:b/>
                <w:sz w:val="20"/>
              </w:rPr>
              <w:t>Trading</w:t>
            </w:r>
            <w:r>
              <w:rPr/>
              <w:t> </w:t>
            </w:r>
            <w:r>
              <w:rPr>
                <w:rFonts w:ascii="Times New Roman" w:hAnsi="Times New Roman"/>
                <w:b/>
                <w:sz w:val="20"/>
              </w:rPr>
              <w:t>Symbol(s)</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pPr>
            <w:r>
              <w:rPr>
                <w:rFonts w:ascii="Times New Roman" w:hAnsi="Times New Roman"/>
                <w:b/>
                <w:sz w:val="20"/>
              </w:rPr>
              <w:t>Name</w:t>
            </w:r>
            <w:r>
              <w:rPr/>
              <w:t> </w:t>
            </w:r>
            <w:r>
              <w:rPr>
                <w:rFonts w:ascii="Times New Roman" w:hAnsi="Times New Roman"/>
                <w:b/>
                <w:sz w:val="20"/>
              </w:rPr>
              <w:t>of</w:t>
            </w:r>
            <w:r>
              <w:rPr/>
              <w:t> </w:t>
            </w:r>
            <w:r>
              <w:rPr>
                <w:rFonts w:ascii="Times New Roman" w:hAnsi="Times New Roman"/>
                <w:b/>
                <w:sz w:val="20"/>
              </w:rPr>
              <w:t>each</w:t>
            </w:r>
            <w:r>
              <w:rPr/>
              <w:t> </w:t>
            </w:r>
            <w:r>
              <w:rPr>
                <w:rFonts w:ascii="Times New Roman" w:hAnsi="Times New Roman"/>
                <w:b/>
                <w:sz w:val="20"/>
              </w:rPr>
              <w:t>exchange on</w:t>
            </w:r>
            <w:r>
              <w:rPr/>
              <w:t> </w:t>
            </w:r>
            <w:r>
              <w:rPr>
                <w:rFonts w:ascii="Times New Roman" w:hAnsi="Times New Roman"/>
                <w:b/>
                <w:sz w:val="20"/>
              </w:rPr>
              <w:t>which</w:t>
            </w:r>
            <w:r>
              <w:rPr/>
              <w:t> </w:t>
            </w:r>
            <w:r>
              <w:rPr>
                <w:rFonts w:ascii="Times New Roman" w:hAnsi="Times New Roman"/>
                <w:b/>
                <w:sz w:val="20"/>
              </w:rPr>
              <w:t>registered</w:t>
            </w:r>
          </w:p>
        </w:tc>
      </w:tr>
      <w:tr>
        <w:trPr/>
        <w:tc>
          <w:tcPr>
            <w:tcW w:w="262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 w:hAnsi="times new roman;times"/>
          <w:sz w:val="20"/>
        </w:rPr>
        <w:t xml:space="preserve"> ☒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723"/>
        <w:gridCol w:w="5482"/>
      </w:tblGrid>
      <w:tr>
        <w:trPr/>
        <w:tc>
          <w:tcPr>
            <w:tcW w:w="4723" w:type="dxa"/>
            <w:tcBorders/>
            <w:vAlign w:val="bottom"/>
          </w:tcPr>
          <w:p>
            <w:pPr>
              <w:pStyle w:val="TableContents"/>
              <w:bidi w:val="0"/>
              <w:spacing w:lineRule="auto" w:line="288" w:before="0" w:after="0"/>
              <w:ind w:left="0" w:right="0" w:hanging="0"/>
              <w:jc w:val="both"/>
              <w:rPr/>
            </w:pPr>
            <w:r>
              <w:rPr>
                <w:rFonts w:ascii="Times New Roman" w:hAnsi="Times New Roman"/>
                <w:sz w:val="20"/>
              </w:rPr>
              <w:t xml:space="preserve">Larger Accelerated Filer </w:t>
            </w:r>
            <w:r>
              <w:rPr/>
              <w:t>☐</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 xml:space="preserve">Accelerated Filer </w:t>
            </w:r>
            <w:r>
              <w:rPr/>
              <w:t>☐ </w:t>
            </w:r>
          </w:p>
        </w:tc>
      </w:tr>
      <w:tr>
        <w:trPr/>
        <w:tc>
          <w:tcPr>
            <w:tcW w:w="4723" w:type="dxa"/>
            <w:tcBorders/>
            <w:vAlign w:val="bottom"/>
          </w:tcPr>
          <w:p>
            <w:pPr>
              <w:pStyle w:val="TableContents"/>
              <w:bidi w:val="0"/>
              <w:spacing w:before="0" w:after="0"/>
              <w:ind w:left="0" w:right="0" w:hanging="0"/>
              <w:jc w:val="both"/>
              <w:rPr>
                <w:rFonts w:ascii="MS Mincho" w:hAnsi="MS Mincho"/>
              </w:rPr>
            </w:pPr>
            <w:r>
              <w:rPr>
                <w:rFonts w:ascii="Times New Roman" w:hAnsi="Times New Roman"/>
                <w:sz w:val="20"/>
              </w:rPr>
              <w:t xml:space="preserve">Non-Accelerated Filer </w:t>
            </w:r>
            <w:r>
              <w:rPr>
                <w:rFonts w:ascii="MS Mincho" w:hAnsi="MS Mincho"/>
              </w:rPr>
              <w:t>☒</w:t>
            </w:r>
          </w:p>
        </w:tc>
        <w:tc>
          <w:tcPr>
            <w:tcW w:w="5482"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r>
      <w:tr>
        <w:trPr/>
        <w:tc>
          <w:tcPr>
            <w:tcW w:w="4723" w:type="dxa"/>
            <w:tcBorders/>
            <w:vAlign w:val="bottom"/>
          </w:tcPr>
          <w:p>
            <w:pPr>
              <w:pStyle w:val="TableContents"/>
              <w:bidi w:val="0"/>
              <w:spacing w:before="0" w:after="0"/>
              <w:ind w:left="0" w:right="0" w:hanging="0"/>
              <w:jc w:val="left"/>
              <w:rPr/>
            </w:pPr>
            <w:r>
              <w:rPr/>
              <w:t> </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Emerging Growth Company ☐</w:t>
            </w:r>
            <w:r>
              <w:rPr/>
              <w:t>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Exchange Act). </w:t>
      </w:r>
      <w:r>
        <w:rPr>
          <w:rFonts w:ascii="times new roman;times" w:hAnsi="times new roman;times"/>
          <w:sz w:val="20"/>
        </w:rPr>
        <w:t xml:space="preserve">☐ </w:t>
      </w:r>
      <w:r>
        <w:rPr>
          <w:rFonts w:ascii="Times New Roman" w:hAnsi="Times New Roman"/>
          <w:sz w:val="20"/>
        </w:rPr>
        <w:t xml:space="preserve">Yes </w:t>
      </w:r>
      <w:r>
        <w:rPr>
          <w:rFonts w:ascii="times new roman;times" w:hAnsi="times new roman;times"/>
          <w:sz w:val="20"/>
        </w:rPr>
        <w:t>☒</w:t>
      </w:r>
      <w:r>
        <w:rPr>
          <w:rFonts w:ascii="times new roman;times" w:hAnsi="times new roman;times"/>
          <w:sz w:val="20"/>
        </w:rPr>
        <w:t xml:space="preserve">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number of shares of ClearOne common stock outstanding as of November 7, 2023 was 23,960,684.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jc w:val="left"/>
        <w:rPr/>
      </w:pPr>
      <w:r>
        <w:rPr/>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QUARTERLY REPORT ON FORM 10-Q FOR THE QUARTER ENDED SEPTEMBER 30, 2023</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INDEX</w:t>
      </w:r>
      <w:r>
        <w:rPr>
          <w:rFonts w:ascii="times new roman;times" w:hAnsi="times new roman;times"/>
          <w:sz w:val="20"/>
        </w:rPr>
        <w:t>​</w:t>
      </w:r>
    </w:p>
    <w:p>
      <w:pPr>
        <w:pStyle w:val="Normal"/>
        <w:bidi w:val="0"/>
        <w:spacing w:before="0" w:after="0"/>
        <w:jc w:val="left"/>
        <w:rPr>
          <w:sz w:val="4"/>
          <w:szCs w:val="4"/>
        </w:rPr>
      </w:pPr>
      <w:r>
        <w:rPr>
          <w:sz w:val="4"/>
          <w:szCs w:val="4"/>
        </w:rPr>
      </w:r>
      <w:bookmarkStart w:id="2" w:name="TOC"/>
      <w:bookmarkStart w:id="3" w:name="TOC"/>
      <w:bookmarkEnd w:id="3"/>
    </w:p>
    <w:tbl>
      <w:tblPr>
        <w:tblW w:w="10205" w:type="dxa"/>
        <w:jc w:val="left"/>
        <w:tblInd w:w="0" w:type="dxa"/>
        <w:tblLayout w:type="fixed"/>
        <w:tblCellMar>
          <w:top w:w="0" w:type="dxa"/>
          <w:left w:w="0" w:type="dxa"/>
          <w:bottom w:w="0" w:type="dxa"/>
          <w:right w:w="0" w:type="dxa"/>
        </w:tblCellMar>
      </w:tblPr>
      <w:tblGrid>
        <w:gridCol w:w="614"/>
        <w:gridCol w:w="9330"/>
        <w:gridCol w:w="261"/>
      </w:tblGrid>
      <w:tr>
        <w:trPr/>
        <w:tc>
          <w:tcPr>
            <w:tcW w:w="614"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0"/>
              <w:ind w:left="0" w:right="0" w:hanging="0"/>
              <w:jc w:val="center"/>
              <w:rPr/>
            </w:pPr>
            <w:r>
              <w:rPr/>
            </w:r>
          </w:p>
        </w:tc>
        <w:tc>
          <w:tcPr>
            <w:tcW w:w="261" w:type="dxa"/>
            <w:tcBorders/>
            <w:vAlign w:val="center"/>
          </w:tcPr>
          <w:p>
            <w:pPr>
              <w:pStyle w:val="TableContents"/>
              <w:bidi w:val="0"/>
              <w:spacing w:before="0" w:after="0"/>
              <w:ind w:left="0" w:right="0" w:hanging="0"/>
              <w:jc w:val="center"/>
              <w:rPr/>
            </w:pPr>
            <w:r>
              <w:rPr/>
            </w:r>
          </w:p>
        </w:tc>
      </w:tr>
      <w:tr>
        <w:trPr/>
        <w:tc>
          <w:tcPr>
            <w:tcW w:w="614" w:type="dxa"/>
            <w:tcBorders/>
            <w:shd w:fill="CCEEFF" w:val="clear"/>
            <w:vAlign w:val="center"/>
          </w:tcPr>
          <w:p>
            <w:pPr>
              <w:pStyle w:val="TableContents"/>
              <w:bidi w:val="0"/>
              <w:spacing w:before="0" w:after="283"/>
              <w:jc w:val="left"/>
              <w:rPr/>
            </w:pPr>
            <w:r>
              <w:rPr/>
            </w:r>
            <w:bookmarkStart w:id="4" w:name="BM_BA_ITXHYI3BG000000000000000000000"/>
            <w:bookmarkStart w:id="5" w:name="BM_BA_ITXHYI3BG000000000000000000000"/>
            <w:bookmarkEnd w:id="5"/>
          </w:p>
        </w:tc>
        <w:tc>
          <w:tcPr>
            <w:tcW w:w="9330" w:type="dxa"/>
            <w:tcBorders/>
            <w:shd w:fill="CCEEFF" w:val="clear"/>
            <w:vAlign w:val="center"/>
          </w:tcPr>
          <w:p>
            <w:pPr>
              <w:pStyle w:val="TableContents"/>
              <w:bidi w:val="0"/>
              <w:spacing w:before="0" w:after="283"/>
              <w:jc w:val="left"/>
              <w:rPr/>
            </w:pPr>
            <w:hyperlink w:anchor="BA_ITXHYI3BG000000000000000000000">
              <w:r>
                <w:rPr>
                  <w:rStyle w:val="InternetLink"/>
                  <w:b/>
                  <w:sz w:val="20"/>
                </w:rPr>
                <w:t>PART I - FINANCIAL INFORMATION</w:t>
              </w:r>
            </w:hyperlink>
          </w:p>
        </w:tc>
        <w:tc>
          <w:tcPr>
            <w:tcW w:w="261" w:type="dxa"/>
            <w:tcBorders/>
            <w:shd w:fill="CCEEFF" w:val="clear"/>
            <w:vAlign w:val="center"/>
          </w:tcPr>
          <w:p>
            <w:pPr>
              <w:pStyle w:val="TableContents"/>
              <w:bidi w:val="0"/>
              <w:spacing w:before="0" w:after="283"/>
              <w:jc w:val="left"/>
              <w:rPr/>
            </w:pPr>
            <w:r>
              <w:rPr/>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sz w:val="20"/>
              </w:rPr>
            </w:pPr>
            <w:r>
              <w:rPr>
                <w:sz w:val="20"/>
              </w:rPr>
              <w:t>Item 1.</w:t>
            </w:r>
            <w:bookmarkStart w:id="6" w:name="BM_BB_DACLJMO6HS00000000000000000000"/>
            <w:bookmarkEnd w:id="6"/>
          </w:p>
        </w:tc>
        <w:tc>
          <w:tcPr>
            <w:tcW w:w="9330" w:type="dxa"/>
            <w:tcBorders/>
            <w:shd w:fill="CCEEFF" w:val="clear"/>
            <w:vAlign w:val="center"/>
          </w:tcPr>
          <w:p>
            <w:pPr>
              <w:pStyle w:val="TableContents"/>
              <w:bidi w:val="0"/>
              <w:spacing w:before="0" w:after="283"/>
              <w:jc w:val="left"/>
              <w:rPr/>
            </w:pPr>
            <w:hyperlink w:anchor="BB_DACLJMO6HS00000000000000000000">
              <w:r>
                <w:rPr>
                  <w:rStyle w:val="InternetLink"/>
                  <w:sz w:val="20"/>
                </w:rPr>
                <w:t>Financial Statements</w:t>
              </w:r>
            </w:hyperlink>
            <w:bookmarkStart w:id="7" w:name="BMP_BB_DACLJMO6HS00000000000000000000"/>
            <w:bookmarkEnd w:id="7"/>
          </w:p>
        </w:tc>
        <w:tc>
          <w:tcPr>
            <w:tcW w:w="261" w:type="dxa"/>
            <w:tcBorders/>
            <w:shd w:fill="CCEEFF" w:val="clear"/>
            <w:vAlign w:val="center"/>
          </w:tcPr>
          <w:p>
            <w:pPr>
              <w:pStyle w:val="TableContents"/>
              <w:bidi w:val="0"/>
              <w:spacing w:before="0" w:after="283"/>
              <w:jc w:val="center"/>
              <w:rPr/>
            </w:pPr>
            <w:r>
              <w:rPr/>
              <w:t>3</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8" w:name="BM_BC_67A6VPX3U800000000000000000000"/>
            <w:bookmarkStart w:id="9" w:name="BM_BC_67A6VPX3U800000000000000000000"/>
            <w:bookmarkEnd w:id="9"/>
          </w:p>
        </w:tc>
        <w:tc>
          <w:tcPr>
            <w:tcW w:w="9330" w:type="dxa"/>
            <w:tcBorders/>
            <w:shd w:fill="CCEEFF" w:val="clear"/>
            <w:vAlign w:val="center"/>
          </w:tcPr>
          <w:p>
            <w:pPr>
              <w:pStyle w:val="TableContents"/>
              <w:bidi w:val="0"/>
              <w:spacing w:before="0" w:after="283"/>
              <w:jc w:val="left"/>
              <w:rPr/>
            </w:pPr>
            <w:hyperlink w:anchor="BC_67A6VPX3U800000000000000000000">
              <w:r>
                <w:rPr>
                  <w:rStyle w:val="InternetLink"/>
                  <w:sz w:val="20"/>
                </w:rPr>
                <w:t>Unaudited Condensed Consolidated Balance Sheets as of September 30, 2023 and December 31, 2022</w:t>
              </w:r>
            </w:hyperlink>
            <w:bookmarkStart w:id="10" w:name="BMP_BC_67A6VPX3U800000000000000000000"/>
            <w:bookmarkEnd w:id="10"/>
          </w:p>
        </w:tc>
        <w:tc>
          <w:tcPr>
            <w:tcW w:w="261" w:type="dxa"/>
            <w:tcBorders/>
            <w:shd w:fill="CCEEFF" w:val="clear"/>
            <w:vAlign w:val="center"/>
          </w:tcPr>
          <w:p>
            <w:pPr>
              <w:pStyle w:val="TableContents"/>
              <w:bidi w:val="0"/>
              <w:spacing w:before="0" w:after="283"/>
              <w:jc w:val="center"/>
              <w:rPr/>
            </w:pPr>
            <w:r>
              <w:rPr/>
              <w:t>3</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11" w:name="BM_BD_G3RUEUCU2O00000000000000000000"/>
            <w:bookmarkStart w:id="12" w:name="BM_BD_G3RUEUCU2O00000000000000000000"/>
            <w:bookmarkEnd w:id="12"/>
          </w:p>
        </w:tc>
        <w:tc>
          <w:tcPr>
            <w:tcW w:w="9330" w:type="dxa"/>
            <w:tcBorders/>
            <w:shd w:fill="CCEEFF" w:val="clear"/>
            <w:vAlign w:val="center"/>
          </w:tcPr>
          <w:p>
            <w:pPr>
              <w:pStyle w:val="TableContents"/>
              <w:bidi w:val="0"/>
              <w:spacing w:before="0" w:after="283"/>
              <w:jc w:val="left"/>
              <w:rPr/>
            </w:pPr>
            <w:hyperlink w:anchor="BD_G3RUEUCU2O00000000000000000000">
              <w:r>
                <w:rPr>
                  <w:rStyle w:val="InternetLink"/>
                  <w:sz w:val="20"/>
                </w:rPr>
                <w:t xml:space="preserve">Unaudited Condensed Consolidated Statements of Operations and Comprehensive Loss for the </w:t>
              </w:r>
            </w:hyperlink>
            <w:hyperlink w:anchor="BD_G3RUEUCU2O00000000000000000000">
              <w:r>
                <w:rPr>
                  <w:rStyle w:val="InternetLink"/>
                  <w:sz w:val="20"/>
                </w:rPr>
                <w:t>three and nine months ended September 30, 2023</w:t>
              </w:r>
            </w:hyperlink>
            <w:hyperlink w:anchor="BD_G3RUEUCU2O00000000000000000000">
              <w:r>
                <w:rPr>
                  <w:rStyle w:val="InternetLink"/>
                  <w:sz w:val="20"/>
                </w:rPr>
                <w:t xml:space="preserve"> and 2022</w:t>
              </w:r>
            </w:hyperlink>
            <w:bookmarkStart w:id="13" w:name="BMP_BD_G3RUEUCU2O00000000000000000000"/>
            <w:bookmarkEnd w:id="13"/>
          </w:p>
        </w:tc>
        <w:tc>
          <w:tcPr>
            <w:tcW w:w="261" w:type="dxa"/>
            <w:tcBorders/>
            <w:shd w:fill="CCEEFF" w:val="clear"/>
            <w:vAlign w:val="center"/>
          </w:tcPr>
          <w:p>
            <w:pPr>
              <w:pStyle w:val="TableContents"/>
              <w:bidi w:val="0"/>
              <w:spacing w:before="0" w:after="283"/>
              <w:jc w:val="center"/>
              <w:rPr/>
            </w:pPr>
            <w:r>
              <w:rPr/>
              <w:t>4</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14" w:name="BM_BE_OCDKM4QLA800000000000000000000"/>
            <w:bookmarkStart w:id="15" w:name="BM_BE_OCDKM4QLA800000000000000000000"/>
            <w:bookmarkEnd w:id="15"/>
          </w:p>
        </w:tc>
        <w:tc>
          <w:tcPr>
            <w:tcW w:w="9330" w:type="dxa"/>
            <w:tcBorders/>
            <w:shd w:fill="CCEEFF" w:val="clear"/>
            <w:vAlign w:val="center"/>
          </w:tcPr>
          <w:p>
            <w:pPr>
              <w:pStyle w:val="TableContents"/>
              <w:bidi w:val="0"/>
              <w:spacing w:before="0" w:after="283"/>
              <w:jc w:val="left"/>
              <w:rPr/>
            </w:pPr>
            <w:hyperlink w:anchor="BE_OCDKM4QLA800000000000000000000">
              <w:r>
                <w:rPr>
                  <w:rStyle w:val="InternetLink"/>
                  <w:sz w:val="20"/>
                </w:rPr>
                <w:t>Unaudited Condensed Consolidated Statements of Cash Flows for the nine months ended September 30, 2023 and 2022</w:t>
              </w:r>
            </w:hyperlink>
            <w:bookmarkStart w:id="16" w:name="BMP_BE_OCDKM4QLA800000000000000000000"/>
            <w:bookmarkEnd w:id="16"/>
          </w:p>
        </w:tc>
        <w:tc>
          <w:tcPr>
            <w:tcW w:w="261" w:type="dxa"/>
            <w:tcBorders/>
            <w:shd w:fill="CCEEFF" w:val="clear"/>
            <w:vAlign w:val="center"/>
          </w:tcPr>
          <w:p>
            <w:pPr>
              <w:pStyle w:val="TableContents"/>
              <w:bidi w:val="0"/>
              <w:spacing w:before="0" w:after="283"/>
              <w:jc w:val="center"/>
              <w:rPr/>
            </w:pPr>
            <w:r>
              <w:rPr/>
              <w:t>5</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17" w:name="BM_BF_IMSU8UN3GG00000000000000000000"/>
            <w:bookmarkStart w:id="18" w:name="BM_BF_IMSU8UN3GG00000000000000000000"/>
            <w:bookmarkEnd w:id="18"/>
          </w:p>
        </w:tc>
        <w:tc>
          <w:tcPr>
            <w:tcW w:w="9330" w:type="dxa"/>
            <w:tcBorders/>
            <w:shd w:fill="CCEEFF" w:val="clear"/>
            <w:vAlign w:val="center"/>
          </w:tcPr>
          <w:p>
            <w:pPr>
              <w:pStyle w:val="TableContents"/>
              <w:bidi w:val="0"/>
              <w:spacing w:before="0" w:after="283"/>
              <w:jc w:val="left"/>
              <w:rPr/>
            </w:pPr>
            <w:hyperlink w:anchor="BF_IMSU8UN3GG00000000000000000000">
              <w:r>
                <w:rPr>
                  <w:rStyle w:val="InternetLink"/>
                  <w:sz w:val="20"/>
                </w:rPr>
                <w:t>Unaudited Notes to Condensed Consolidated Financial Statements</w:t>
              </w:r>
            </w:hyperlink>
            <w:bookmarkStart w:id="19" w:name="BMP_BF_IMSU8UN3GG00000000000000000000"/>
            <w:bookmarkEnd w:id="19"/>
          </w:p>
        </w:tc>
        <w:tc>
          <w:tcPr>
            <w:tcW w:w="261" w:type="dxa"/>
            <w:tcBorders/>
            <w:shd w:fill="CCEEFF" w:val="clear"/>
            <w:vAlign w:val="center"/>
          </w:tcPr>
          <w:p>
            <w:pPr>
              <w:pStyle w:val="TableContents"/>
              <w:bidi w:val="0"/>
              <w:spacing w:before="0" w:after="283"/>
              <w:jc w:val="center"/>
              <w:rPr/>
            </w:pPr>
            <w:r>
              <w:rPr/>
              <w:t>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20" w:name="BM_BG_ZROYRYR1OG00000000000000000000"/>
            <w:bookmarkEnd w:id="20"/>
          </w:p>
        </w:tc>
        <w:tc>
          <w:tcPr>
            <w:tcW w:w="9330" w:type="dxa"/>
            <w:tcBorders/>
            <w:shd w:fill="CCEEFF" w:val="clear"/>
            <w:vAlign w:val="center"/>
          </w:tcPr>
          <w:p>
            <w:pPr>
              <w:pStyle w:val="TableContents"/>
              <w:bidi w:val="0"/>
              <w:spacing w:before="0" w:after="283"/>
              <w:jc w:val="left"/>
              <w:rPr/>
            </w:pPr>
            <w:hyperlink w:anchor="BG_ZROYRYR1OG00000000000000000000">
              <w:r>
                <w:rPr>
                  <w:rStyle w:val="InternetLink"/>
                  <w:sz w:val="20"/>
                </w:rPr>
                <w:t>Management’s Discussion and Analysis of Financial Condition and Results of Operations</w:t>
              </w:r>
            </w:hyperlink>
            <w:bookmarkStart w:id="21" w:name="BMP_BG_ZROYRYR1OG00000000000000000000"/>
            <w:bookmarkEnd w:id="21"/>
          </w:p>
        </w:tc>
        <w:tc>
          <w:tcPr>
            <w:tcW w:w="261" w:type="dxa"/>
            <w:tcBorders/>
            <w:shd w:fill="CCEEFF" w:val="clear"/>
            <w:vAlign w:val="center"/>
          </w:tcPr>
          <w:p>
            <w:pPr>
              <w:pStyle w:val="TableContents"/>
              <w:bidi w:val="0"/>
              <w:spacing w:before="0" w:after="283"/>
              <w:jc w:val="center"/>
              <w:rPr/>
            </w:pPr>
            <w:r>
              <w:rPr/>
              <w:t>19</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22" w:name="BM_BH_U66773D7WW00000000000000000000"/>
            <w:bookmarkEnd w:id="22"/>
          </w:p>
        </w:tc>
        <w:tc>
          <w:tcPr>
            <w:tcW w:w="9330" w:type="dxa"/>
            <w:tcBorders/>
            <w:shd w:fill="CCEEFF" w:val="clear"/>
            <w:vAlign w:val="center"/>
          </w:tcPr>
          <w:p>
            <w:pPr>
              <w:pStyle w:val="TableContents"/>
              <w:bidi w:val="0"/>
              <w:spacing w:before="0" w:after="283"/>
              <w:jc w:val="left"/>
              <w:rPr/>
            </w:pPr>
            <w:hyperlink w:anchor="BH_U66773D7WW00000000000000000000">
              <w:r>
                <w:rPr>
                  <w:rStyle w:val="InternetLink"/>
                  <w:sz w:val="20"/>
                </w:rPr>
                <w:t>Quantitative and Qualitative Disclosures About Market Risk</w:t>
              </w:r>
            </w:hyperlink>
            <w:bookmarkStart w:id="23" w:name="BMP_BH_U66773D7WW00000000000000000000"/>
            <w:bookmarkEnd w:id="23"/>
          </w:p>
        </w:tc>
        <w:tc>
          <w:tcPr>
            <w:tcW w:w="261" w:type="dxa"/>
            <w:tcBorders/>
            <w:shd w:fill="CCEEFF" w:val="clear"/>
            <w:vAlign w:val="center"/>
          </w:tcPr>
          <w:p>
            <w:pPr>
              <w:pStyle w:val="TableContents"/>
              <w:bidi w:val="0"/>
              <w:spacing w:before="0" w:after="283"/>
              <w:jc w:val="center"/>
              <w:rPr/>
            </w:pPr>
            <w:r>
              <w:rPr/>
              <w:t>26</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24" w:name="BM_BI_L8KHXR82WW00000000000000000000"/>
            <w:bookmarkEnd w:id="24"/>
          </w:p>
        </w:tc>
        <w:tc>
          <w:tcPr>
            <w:tcW w:w="9330" w:type="dxa"/>
            <w:tcBorders/>
            <w:shd w:fill="CCEEFF" w:val="clear"/>
            <w:vAlign w:val="center"/>
          </w:tcPr>
          <w:p>
            <w:pPr>
              <w:pStyle w:val="TableContents"/>
              <w:bidi w:val="0"/>
              <w:spacing w:before="0" w:after="283"/>
              <w:jc w:val="left"/>
              <w:rPr/>
            </w:pPr>
            <w:hyperlink w:anchor="BI_L8KHXR82WW00000000000000000000">
              <w:r>
                <w:rPr>
                  <w:rStyle w:val="InternetLink"/>
                  <w:sz w:val="20"/>
                </w:rPr>
                <w:t>Controls and Procedures</w:t>
              </w:r>
            </w:hyperlink>
            <w:bookmarkStart w:id="25" w:name="BMP_BI_L8KHXR82WW00000000000000000000"/>
            <w:bookmarkEnd w:id="25"/>
          </w:p>
        </w:tc>
        <w:tc>
          <w:tcPr>
            <w:tcW w:w="261" w:type="dxa"/>
            <w:tcBorders/>
            <w:shd w:fill="CCEEFF" w:val="clear"/>
            <w:vAlign w:val="center"/>
          </w:tcPr>
          <w:p>
            <w:pPr>
              <w:pStyle w:val="TableContents"/>
              <w:bidi w:val="0"/>
              <w:spacing w:before="0" w:after="283"/>
              <w:jc w:val="center"/>
              <w:rPr/>
            </w:pPr>
            <w:r>
              <w:rPr/>
              <w:t>26</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26" w:name="BM_BJ_TSTI5UOPUO00000000000000000000"/>
            <w:bookmarkStart w:id="27" w:name="BM_BJ_TSTI5UOPUO00000000000000000000"/>
            <w:bookmarkEnd w:id="27"/>
          </w:p>
        </w:tc>
        <w:tc>
          <w:tcPr>
            <w:tcW w:w="9330" w:type="dxa"/>
            <w:tcBorders/>
            <w:shd w:fill="CCEEFF" w:val="clear"/>
            <w:vAlign w:val="center"/>
          </w:tcPr>
          <w:p>
            <w:pPr>
              <w:pStyle w:val="TableContents"/>
              <w:bidi w:val="0"/>
              <w:spacing w:before="0" w:after="283"/>
              <w:jc w:val="left"/>
              <w:rPr/>
            </w:pPr>
            <w:hyperlink w:anchor="BJ_TSTI5UOPUO00000000000000000000">
              <w:r>
                <w:rPr>
                  <w:rStyle w:val="InternetLink"/>
                  <w:b/>
                  <w:sz w:val="20"/>
                </w:rPr>
                <w:t>PART II - OTHER INFORMATION</w:t>
              </w:r>
            </w:hyperlink>
          </w:p>
        </w:tc>
        <w:tc>
          <w:tcPr>
            <w:tcW w:w="261" w:type="dxa"/>
            <w:tcBorders/>
            <w:shd w:fill="CCEEFF" w:val="clear"/>
            <w:vAlign w:val="center"/>
          </w:tcPr>
          <w:p>
            <w:pPr>
              <w:pStyle w:val="TableContents"/>
              <w:bidi w:val="0"/>
              <w:spacing w:before="0" w:after="283"/>
              <w:jc w:val="left"/>
              <w:rPr/>
            </w:pPr>
            <w:r>
              <w:rPr/>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28" w:name="BM_BK_UH0QH1ST6800000000000000000000"/>
            <w:bookmarkEnd w:id="28"/>
          </w:p>
        </w:tc>
        <w:tc>
          <w:tcPr>
            <w:tcW w:w="9330" w:type="dxa"/>
            <w:tcBorders/>
            <w:shd w:fill="CCEEFF" w:val="clear"/>
            <w:vAlign w:val="center"/>
          </w:tcPr>
          <w:p>
            <w:pPr>
              <w:pStyle w:val="TableContents"/>
              <w:bidi w:val="0"/>
              <w:spacing w:before="0" w:after="283"/>
              <w:jc w:val="left"/>
              <w:rPr/>
            </w:pPr>
            <w:hyperlink w:anchor="BK_UH0QH1ST6800000000000000000000">
              <w:r>
                <w:rPr>
                  <w:rStyle w:val="InternetLink"/>
                  <w:sz w:val="20"/>
                </w:rPr>
                <w:t>Legal Proceedings</w:t>
              </w:r>
            </w:hyperlink>
            <w:bookmarkStart w:id="29" w:name="BMP_BK_UH0QH1ST6800000000000000000000"/>
            <w:bookmarkEnd w:id="29"/>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30" w:name="BM_BL_C8C33AXDV400000000000000000000"/>
            <w:bookmarkEnd w:id="30"/>
          </w:p>
        </w:tc>
        <w:tc>
          <w:tcPr>
            <w:tcW w:w="9330" w:type="dxa"/>
            <w:tcBorders/>
            <w:shd w:fill="CCEEFF" w:val="clear"/>
            <w:vAlign w:val="center"/>
          </w:tcPr>
          <w:p>
            <w:pPr>
              <w:pStyle w:val="TableContents"/>
              <w:bidi w:val="0"/>
              <w:spacing w:before="0" w:after="283"/>
              <w:jc w:val="left"/>
              <w:rPr/>
            </w:pPr>
            <w:hyperlink w:anchor="BL_C8C33AXDV400000000000000000000">
              <w:r>
                <w:rPr>
                  <w:rStyle w:val="InternetLink"/>
                  <w:sz w:val="20"/>
                </w:rPr>
                <w:t>Risk Factors</w:t>
              </w:r>
            </w:hyperlink>
            <w:bookmarkStart w:id="31" w:name="BMP_BL_C8C33AXDV400000000000000000000"/>
            <w:bookmarkEnd w:id="31"/>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32" w:name="BM_BM_PXV2XAM1KG00000000000000000000"/>
            <w:bookmarkEnd w:id="32"/>
          </w:p>
        </w:tc>
        <w:tc>
          <w:tcPr>
            <w:tcW w:w="9330" w:type="dxa"/>
            <w:tcBorders/>
            <w:shd w:fill="CCEEFF" w:val="clear"/>
            <w:vAlign w:val="center"/>
          </w:tcPr>
          <w:p>
            <w:pPr>
              <w:pStyle w:val="TableContents"/>
              <w:bidi w:val="0"/>
              <w:spacing w:before="0" w:after="283"/>
              <w:jc w:val="left"/>
              <w:rPr/>
            </w:pPr>
            <w:hyperlink w:anchor="BM_PXV2XAM1KG00000000000000000000">
              <w:r>
                <w:rPr>
                  <w:rStyle w:val="InternetLink"/>
                  <w:sz w:val="20"/>
                </w:rPr>
                <w:t>Unregistered Sales of Equity Securities and Use of Proceeds</w:t>
              </w:r>
            </w:hyperlink>
            <w:bookmarkStart w:id="33" w:name="BMP_BM_PXV2XAM1KG00000000000000000000"/>
            <w:bookmarkEnd w:id="33"/>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34" w:name="BM_BN_EVKECWSW2800000000000000000000"/>
            <w:bookmarkEnd w:id="34"/>
          </w:p>
        </w:tc>
        <w:tc>
          <w:tcPr>
            <w:tcW w:w="9330" w:type="dxa"/>
            <w:tcBorders/>
            <w:shd w:fill="CCEEFF" w:val="clear"/>
            <w:vAlign w:val="center"/>
          </w:tcPr>
          <w:p>
            <w:pPr>
              <w:pStyle w:val="TableContents"/>
              <w:bidi w:val="0"/>
              <w:spacing w:before="0" w:after="283"/>
              <w:jc w:val="left"/>
              <w:rPr/>
            </w:pPr>
            <w:hyperlink w:anchor="BN_EVKECWSW2800000000000000000000">
              <w:r>
                <w:rPr>
                  <w:rStyle w:val="InternetLink"/>
                  <w:sz w:val="20"/>
                </w:rPr>
                <w:t>Defaults Upon Senior Securities</w:t>
              </w:r>
            </w:hyperlink>
            <w:bookmarkStart w:id="35" w:name="BMP_BN_EVKECWSW2800000000000000000000"/>
            <w:bookmarkEnd w:id="35"/>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36" w:name="BM_BO_VVB037J0C000000000000000000000"/>
            <w:bookmarkEnd w:id="36"/>
          </w:p>
        </w:tc>
        <w:tc>
          <w:tcPr>
            <w:tcW w:w="9330" w:type="dxa"/>
            <w:tcBorders/>
            <w:shd w:fill="CCEEFF" w:val="clear"/>
            <w:vAlign w:val="center"/>
          </w:tcPr>
          <w:p>
            <w:pPr>
              <w:pStyle w:val="TableContents"/>
              <w:bidi w:val="0"/>
              <w:spacing w:before="0" w:after="283"/>
              <w:jc w:val="left"/>
              <w:rPr/>
            </w:pPr>
            <w:hyperlink w:anchor="BO_VVB037J0C000000000000000000000">
              <w:r>
                <w:rPr>
                  <w:rStyle w:val="InternetLink"/>
                  <w:sz w:val="20"/>
                </w:rPr>
                <w:t>Mine Safety Disclosures</w:t>
              </w:r>
            </w:hyperlink>
            <w:bookmarkStart w:id="37" w:name="BMP_BO_VVB037J0C000000000000000000000"/>
            <w:bookmarkEnd w:id="37"/>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38" w:name="BM_BP_0LWBX5JVNK00000000000000000000"/>
            <w:bookmarkEnd w:id="38"/>
          </w:p>
        </w:tc>
        <w:tc>
          <w:tcPr>
            <w:tcW w:w="9330" w:type="dxa"/>
            <w:tcBorders/>
            <w:shd w:fill="CCEEFF" w:val="clear"/>
            <w:vAlign w:val="center"/>
          </w:tcPr>
          <w:p>
            <w:pPr>
              <w:pStyle w:val="TableContents"/>
              <w:bidi w:val="0"/>
              <w:spacing w:before="0" w:after="283"/>
              <w:jc w:val="left"/>
              <w:rPr/>
            </w:pPr>
            <w:hyperlink w:anchor="BP_0LWBX5JVNK00000000000000000000">
              <w:r>
                <w:rPr>
                  <w:rStyle w:val="InternetLink"/>
                  <w:sz w:val="20"/>
                </w:rPr>
                <w:t>Other Information</w:t>
              </w:r>
            </w:hyperlink>
            <w:bookmarkStart w:id="39" w:name="BMP_BP_0LWBX5JVNK00000000000000000000"/>
            <w:bookmarkEnd w:id="39"/>
          </w:p>
        </w:tc>
        <w:tc>
          <w:tcPr>
            <w:tcW w:w="261" w:type="dxa"/>
            <w:tcBorders/>
            <w:shd w:fill="CCEEFF" w:val="clear"/>
            <w:vAlign w:val="center"/>
          </w:tcPr>
          <w:p>
            <w:pPr>
              <w:pStyle w:val="TableContents"/>
              <w:bidi w:val="0"/>
              <w:spacing w:before="0" w:after="283"/>
              <w:jc w:val="center"/>
              <w:rPr/>
            </w:pPr>
            <w:r>
              <w:rPr/>
              <w:t>27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40" w:name="BM_BQ_3RYBS14R3400000000000000000000"/>
            <w:bookmarkEnd w:id="40"/>
          </w:p>
        </w:tc>
        <w:tc>
          <w:tcPr>
            <w:tcW w:w="9330" w:type="dxa"/>
            <w:tcBorders/>
            <w:shd w:fill="CCEEFF" w:val="clear"/>
            <w:vAlign w:val="center"/>
          </w:tcPr>
          <w:p>
            <w:pPr>
              <w:pStyle w:val="TableContents"/>
              <w:bidi w:val="0"/>
              <w:spacing w:before="0" w:after="283"/>
              <w:jc w:val="left"/>
              <w:rPr/>
            </w:pPr>
            <w:hyperlink w:anchor="BQ_3RYBS14R3400000000000000000000">
              <w:r>
                <w:rPr>
                  <w:rStyle w:val="InternetLink"/>
                  <w:sz w:val="20"/>
                </w:rPr>
                <w:t>Exhibits</w:t>
              </w:r>
            </w:hyperlink>
            <w:bookmarkStart w:id="41" w:name="BMP_BQ_3RYBS14R3400000000000000000000"/>
            <w:bookmarkEnd w:id="41"/>
          </w:p>
        </w:tc>
        <w:tc>
          <w:tcPr>
            <w:tcW w:w="261" w:type="dxa"/>
            <w:tcBorders/>
            <w:shd w:fill="CCEEFF" w:val="clear"/>
            <w:vAlign w:val="center"/>
          </w:tcPr>
          <w:p>
            <w:pPr>
              <w:pStyle w:val="TableContents"/>
              <w:bidi w:val="0"/>
              <w:spacing w:before="0" w:after="283"/>
              <w:jc w:val="center"/>
              <w:rPr/>
            </w:pPr>
            <w:r>
              <w:rPr/>
              <w:t>28</w:t>
            </w:r>
          </w:p>
        </w:tc>
      </w:tr>
    </w:tbl>
    <w:p>
      <w:pPr>
        <w:pStyle w:val="TextBody"/>
        <w:bidi w:val="0"/>
        <w:spacing w:before="0" w:after="0"/>
        <w:ind w:left="144" w:right="14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144" w:right="144" w:hanging="0"/>
        <w:jc w:val="center"/>
        <w:rPr/>
      </w:pPr>
      <w:r>
        <w:rPr/>
        <w:t> </w:t>
      </w:r>
    </w:p>
    <w:p>
      <w:pPr>
        <w:pStyle w:val="TextBody"/>
        <w:bidi w:val="0"/>
        <w:spacing w:lineRule="auto" w:line="288"/>
        <w:ind w:left="0" w:right="0" w:hanging="0"/>
        <w:jc w:val="both"/>
        <w:rPr/>
      </w:pPr>
      <w:hyperlink r:id="rId2">
        <w:bookmarkStart w:id="42" w:name="BA_ITXHYI3BG000000000000000000000"/>
        <w:bookmarkEnd w:id="42"/>
        <w:r>
          <w:rPr>
            <w:rStyle w:val="InternetLink"/>
            <w:rFonts w:ascii="Times New Roman" w:hAnsi="Times New Roman"/>
            <w:b/>
            <w:strike w:val="false"/>
            <w:dstrike w:val="false"/>
            <w:color w:val="000000"/>
            <w:sz w:val="20"/>
            <w:u w:val="none"/>
            <w:effect w:val="none"/>
          </w:rPr>
          <w:t>PART I - FINANCIAL INFORMATION</w:t>
        </w:r>
      </w:hyperlink>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both"/>
        <w:rPr/>
      </w:pPr>
      <w:hyperlink r:id="rId3">
        <w:bookmarkStart w:id="43" w:name="BB_DACLJMO6HS00000000000000000000"/>
        <w:bookmarkEnd w:id="43"/>
        <w:r>
          <w:rPr>
            <w:rStyle w:val="InternetLink"/>
            <w:rFonts w:ascii="Times New Roman" w:hAnsi="Times New Roman"/>
            <w:b/>
            <w:strike w:val="false"/>
            <w:dstrike w:val="false"/>
            <w:color w:val="000000"/>
            <w:sz w:val="20"/>
            <w:u w:val="none"/>
            <w:effect w:val="none"/>
          </w:rPr>
          <w:t xml:space="preserve">Item </w:t>
        </w:r>
      </w:hyperlink>
      <w:hyperlink r:id="rId4">
        <w:r>
          <w:rPr>
            <w:rStyle w:val="InternetLink"/>
            <w:rFonts w:ascii="Times New Roman" w:hAnsi="Times New Roman"/>
            <w:b/>
            <w:strike w:val="false"/>
            <w:dstrike w:val="false"/>
            <w:color w:val="000000"/>
            <w:sz w:val="20"/>
            <w:u w:val="none"/>
            <w:effect w:val="none"/>
          </w:rPr>
          <w:t>1</w:t>
        </w:r>
      </w:hyperlink>
      <w:hyperlink r:id="rId5">
        <w:r>
          <w:rPr>
            <w:rStyle w:val="InternetLink"/>
            <w:rFonts w:ascii="Times New Roman" w:hAnsi="Times New Roman"/>
            <w:b/>
            <w:strike w:val="false"/>
            <w:dstrike w:val="false"/>
            <w:color w:val="000000"/>
            <w:sz w:val="20"/>
            <w:u w:val="none"/>
            <w:effect w:val="none"/>
          </w:rPr>
          <w:t>. FINANCIAL STATEMENTS</w:t>
        </w:r>
      </w:hyperlink>
    </w:p>
    <w:p>
      <w:pPr>
        <w:pStyle w:val="TextBody"/>
        <w:bidi w:val="0"/>
        <w:spacing w:lineRule="auto" w:line="288"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6">
        <w:bookmarkStart w:id="44" w:name="BC_67A6VPX3U800000000000000000000"/>
        <w:bookmarkEnd w:id="44"/>
        <w:r>
          <w:rPr>
            <w:rStyle w:val="InternetLink"/>
            <w:rFonts w:ascii="Times New Roman" w:hAnsi="Times New Roman"/>
            <w:b/>
            <w:strike w:val="false"/>
            <w:dstrike w:val="false"/>
            <w:color w:val="000000"/>
            <w:sz w:val="20"/>
            <w:u w:val="none"/>
            <w:effect w:val="none"/>
          </w:rPr>
          <w:t>UNAUDITED CONDENSED CONSOLIDATED BALANCE SHEETS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par value)</w:t>
      </w:r>
    </w:p>
    <w:p>
      <w:pPr>
        <w:pStyle w:val="TextBody"/>
        <w:bidi w:val="0"/>
        <w:spacing w:lineRule="auto" w:line="288" w:before="0" w:after="0"/>
        <w:ind w:left="144" w:right="144"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082"/>
        <w:gridCol w:w="93"/>
        <w:gridCol w:w="247"/>
        <w:gridCol w:w="1127"/>
        <w:gridCol w:w="109"/>
        <w:gridCol w:w="93"/>
        <w:gridCol w:w="235"/>
        <w:gridCol w:w="1094"/>
        <w:gridCol w:w="125"/>
      </w:tblGrid>
      <w:tr>
        <w:trPr/>
        <w:tc>
          <w:tcPr>
            <w:tcW w:w="7082"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137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September 30, 2023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13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2022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center"/>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center"/>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left"/>
              <w:rPr/>
            </w:pPr>
            <w:r>
              <w:rPr/>
              <w:t xml:space="preserve">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13,694</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984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283"/>
              <w:jc w:val="left"/>
              <w:rPr/>
            </w:pPr>
            <w:r>
              <w:rPr/>
              <w:t>Current marketable securities</w:t>
            </w:r>
          </w:p>
        </w:tc>
        <w:tc>
          <w:tcPr>
            <w:tcW w:w="93"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r>
          </w:p>
        </w:tc>
        <w:tc>
          <w:tcPr>
            <w:tcW w:w="1127" w:type="dxa"/>
            <w:tcBorders/>
            <w:vAlign w:val="center"/>
          </w:tcPr>
          <w:p>
            <w:pPr>
              <w:pStyle w:val="TableContents"/>
              <w:bidi w:val="0"/>
              <w:spacing w:before="0" w:after="283"/>
              <w:jc w:val="right"/>
              <w:rPr/>
            </w:pPr>
            <w:r>
              <w:rPr/>
              <w:t>5,698</w:t>
            </w:r>
          </w:p>
        </w:tc>
        <w:tc>
          <w:tcPr>
            <w:tcW w:w="109" w:type="dxa"/>
            <w:tcBorders/>
            <w:vAlign w:val="center"/>
          </w:tcPr>
          <w:p>
            <w:pPr>
              <w:pStyle w:val="TableContents"/>
              <w:bidi w:val="0"/>
              <w:spacing w:before="0" w:after="283"/>
              <w:jc w:val="left"/>
              <w:rPr/>
            </w:pPr>
            <w:r>
              <w:rPr/>
            </w:r>
          </w:p>
        </w:tc>
        <w:tc>
          <w:tcPr>
            <w:tcW w:w="93"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r>
          </w:p>
        </w:tc>
        <w:tc>
          <w:tcPr>
            <w:tcW w:w="1094"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r>
          </w:p>
        </w:tc>
      </w:tr>
      <w:tr>
        <w:trPr/>
        <w:tc>
          <w:tcPr>
            <w:tcW w:w="7082"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Legal settlement receivable</w:t>
            </w:r>
          </w:p>
        </w:tc>
        <w:tc>
          <w:tcPr>
            <w:tcW w:w="93" w:type="dxa"/>
            <w:tcBorders/>
            <w:shd w:fill="CCEEFF" w:val="clear"/>
            <w:vAlign w:val="center"/>
          </w:tcPr>
          <w:p>
            <w:pPr>
              <w:pStyle w:val="TableContents"/>
              <w:bidi w:val="0"/>
              <w:spacing w:before="0" w:after="283"/>
              <w:jc w:val="left"/>
              <w:rPr/>
            </w:pPr>
            <w:r>
              <w:rPr/>
            </w:r>
          </w:p>
        </w:tc>
        <w:tc>
          <w:tcPr>
            <w:tcW w:w="247" w:type="dxa"/>
            <w:tcBorders/>
            <w:shd w:fill="CCEEFF" w:val="clear"/>
            <w:vAlign w:val="center"/>
          </w:tcPr>
          <w:p>
            <w:pPr>
              <w:pStyle w:val="TableContents"/>
              <w:bidi w:val="0"/>
              <w:spacing w:before="0" w:after="283"/>
              <w:jc w:val="left"/>
              <w:rPr/>
            </w:pPr>
            <w:r>
              <w:rPr/>
            </w:r>
          </w:p>
        </w:tc>
        <w:tc>
          <w:tcPr>
            <w:tcW w:w="112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r>
          </w:p>
        </w:tc>
        <w:tc>
          <w:tcPr>
            <w:tcW w:w="93" w:type="dxa"/>
            <w:tcBorders/>
            <w:shd w:fill="CCEEFF" w:val="clear"/>
            <w:vAlign w:val="center"/>
          </w:tcPr>
          <w:p>
            <w:pPr>
              <w:pStyle w:val="TableContents"/>
              <w:bidi w:val="0"/>
              <w:spacing w:before="0" w:after="283"/>
              <w:jc w:val="left"/>
              <w:rPr/>
            </w:pPr>
            <w:r>
              <w:rPr/>
            </w:r>
          </w:p>
        </w:tc>
        <w:tc>
          <w:tcPr>
            <w:tcW w:w="235"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right"/>
              <w:rPr/>
            </w:pPr>
            <w:r>
              <w:rPr/>
              <w:t>55,000</w:t>
            </w:r>
          </w:p>
        </w:tc>
        <w:tc>
          <w:tcPr>
            <w:tcW w:w="125" w:type="dxa"/>
            <w:tcBorders/>
            <w:shd w:fill="CCEEFF" w:val="clear"/>
            <w:vAlign w:val="center"/>
          </w:tcPr>
          <w:p>
            <w:pPr>
              <w:pStyle w:val="TableContents"/>
              <w:bidi w:val="0"/>
              <w:spacing w:before="0" w:after="283"/>
              <w:jc w:val="left"/>
              <w:rPr/>
            </w:pPr>
            <w:r>
              <w:rPr/>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Receivables, net of allowance of $326</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3,874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3,603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8,664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8,961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Income tax receivable</w:t>
            </w:r>
          </w:p>
        </w:tc>
        <w:tc>
          <w:tcPr>
            <w:tcW w:w="93"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r>
          </w:p>
        </w:tc>
        <w:tc>
          <w:tcPr>
            <w:tcW w:w="1127" w:type="dxa"/>
            <w:tcBorders/>
            <w:vAlign w:val="center"/>
          </w:tcPr>
          <w:p>
            <w:pPr>
              <w:pStyle w:val="TableContents"/>
              <w:bidi w:val="0"/>
              <w:spacing w:before="0" w:after="283"/>
              <w:jc w:val="right"/>
              <w:rPr/>
            </w:pPr>
            <w:r>
              <w:rPr/>
              <w:t>6,381</w:t>
            </w:r>
          </w:p>
        </w:tc>
        <w:tc>
          <w:tcPr>
            <w:tcW w:w="109" w:type="dxa"/>
            <w:tcBorders/>
            <w:vAlign w:val="center"/>
          </w:tcPr>
          <w:p>
            <w:pPr>
              <w:pStyle w:val="TableContents"/>
              <w:bidi w:val="0"/>
              <w:spacing w:before="0" w:after="283"/>
              <w:jc w:val="left"/>
              <w:rPr/>
            </w:pPr>
            <w:r>
              <w:rPr/>
            </w:r>
          </w:p>
        </w:tc>
        <w:tc>
          <w:tcPr>
            <w:tcW w:w="93"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r>
          </w:p>
        </w:tc>
        <w:tc>
          <w:tcPr>
            <w:tcW w:w="1094" w:type="dxa"/>
            <w:tcBorders/>
            <w:vAlign w:val="center"/>
          </w:tcPr>
          <w:p>
            <w:pPr>
              <w:pStyle w:val="TableContents"/>
              <w:bidi w:val="0"/>
              <w:spacing w:before="0" w:after="283"/>
              <w:jc w:val="right"/>
              <w:rPr/>
            </w:pPr>
            <w:r>
              <w:rPr/>
              <w:t>1,071</w:t>
            </w:r>
          </w:p>
        </w:tc>
        <w:tc>
          <w:tcPr>
            <w:tcW w:w="125" w:type="dxa"/>
            <w:tcBorders/>
            <w:vAlign w:val="center"/>
          </w:tcPr>
          <w:p>
            <w:pPr>
              <w:pStyle w:val="TableContents"/>
              <w:bidi w:val="0"/>
              <w:spacing w:before="0" w:after="283"/>
              <w:jc w:val="left"/>
              <w:rPr/>
            </w:pPr>
            <w:r>
              <w:rPr/>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3,776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7,808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current assets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42,087</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77,427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283"/>
              <w:jc w:val="left"/>
              <w:rPr/>
            </w:pPr>
            <w:r>
              <w:rPr/>
              <w:t>Long-term marketable securities</w:t>
            </w:r>
          </w:p>
        </w:tc>
        <w:tc>
          <w:tcPr>
            <w:tcW w:w="93" w:type="dxa"/>
            <w:tcBorders/>
            <w:shd w:fill="CCEEFF" w:val="clear"/>
            <w:vAlign w:val="center"/>
          </w:tcPr>
          <w:p>
            <w:pPr>
              <w:pStyle w:val="TableContents"/>
              <w:bidi w:val="0"/>
              <w:spacing w:before="0" w:after="283"/>
              <w:jc w:val="left"/>
              <w:rPr/>
            </w:pPr>
            <w:r>
              <w:rPr/>
            </w:r>
          </w:p>
        </w:tc>
        <w:tc>
          <w:tcPr>
            <w:tcW w:w="247" w:type="dxa"/>
            <w:tcBorders/>
            <w:shd w:fill="CCEEFF" w:val="clear"/>
            <w:vAlign w:val="center"/>
          </w:tcPr>
          <w:p>
            <w:pPr>
              <w:pStyle w:val="TableContents"/>
              <w:bidi w:val="0"/>
              <w:spacing w:before="0" w:after="283"/>
              <w:jc w:val="left"/>
              <w:rPr/>
            </w:pPr>
            <w:r>
              <w:rPr/>
            </w:r>
          </w:p>
        </w:tc>
        <w:tc>
          <w:tcPr>
            <w:tcW w:w="1127" w:type="dxa"/>
            <w:tcBorders/>
            <w:shd w:fill="CCEEFF" w:val="clear"/>
            <w:vAlign w:val="center"/>
          </w:tcPr>
          <w:p>
            <w:pPr>
              <w:pStyle w:val="TableContents"/>
              <w:bidi w:val="0"/>
              <w:spacing w:before="0" w:after="283"/>
              <w:jc w:val="right"/>
              <w:rPr/>
            </w:pPr>
            <w:r>
              <w:rPr/>
              <w:t>583</w:t>
            </w:r>
          </w:p>
        </w:tc>
        <w:tc>
          <w:tcPr>
            <w:tcW w:w="109" w:type="dxa"/>
            <w:tcBorders/>
            <w:shd w:fill="CCEEFF" w:val="clear"/>
            <w:vAlign w:val="center"/>
          </w:tcPr>
          <w:p>
            <w:pPr>
              <w:pStyle w:val="TableContents"/>
              <w:bidi w:val="0"/>
              <w:spacing w:before="0" w:after="283"/>
              <w:jc w:val="left"/>
              <w:rPr/>
            </w:pPr>
            <w:r>
              <w:rPr/>
            </w:r>
          </w:p>
        </w:tc>
        <w:tc>
          <w:tcPr>
            <w:tcW w:w="93" w:type="dxa"/>
            <w:tcBorders/>
            <w:shd w:fill="CCEEFF" w:val="clear"/>
            <w:vAlign w:val="center"/>
          </w:tcPr>
          <w:p>
            <w:pPr>
              <w:pStyle w:val="TableContents"/>
              <w:bidi w:val="0"/>
              <w:spacing w:before="0" w:after="283"/>
              <w:jc w:val="left"/>
              <w:rPr/>
            </w:pPr>
            <w:r>
              <w:rPr/>
            </w:r>
          </w:p>
        </w:tc>
        <w:tc>
          <w:tcPr>
            <w:tcW w:w="235"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inventories, net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2,870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2,707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Property and equipment, net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590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383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1,081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Intangibles, net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1,794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2,071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assets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112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assets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49,117</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83,750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center"/>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center"/>
              <w:rPr/>
            </w:pPr>
            <w:r>
              <w:rPr/>
              <w:t xml:space="preserve">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1,759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1,284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2,340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3,041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283"/>
              <w:jc w:val="right"/>
              <w:rPr/>
            </w:pPr>
            <w:r>
              <w:rPr/>
              <w:t>38</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r>
              <w:rPr>
                <w:rFonts w:ascii="Times New Roman" w:hAnsi="Times New Roman"/>
                <w:sz w:val="20"/>
              </w:rPr>
              <w:t xml:space="preserve">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debt</w:t>
            </w:r>
          </w:p>
        </w:tc>
        <w:tc>
          <w:tcPr>
            <w:tcW w:w="93" w:type="dxa"/>
            <w:tcBorders/>
            <w:shd w:fill="CCEEFF" w:val="clear"/>
            <w:vAlign w:val="center"/>
          </w:tcPr>
          <w:p>
            <w:pPr>
              <w:pStyle w:val="TableContents"/>
              <w:bidi w:val="0"/>
              <w:spacing w:before="0" w:after="283"/>
              <w:jc w:val="left"/>
              <w:rPr/>
            </w:pPr>
            <w:r>
              <w:rPr/>
            </w:r>
          </w:p>
        </w:tc>
        <w:tc>
          <w:tcPr>
            <w:tcW w:w="247" w:type="dxa"/>
            <w:tcBorders/>
            <w:shd w:fill="CCEEFF" w:val="clear"/>
            <w:vAlign w:val="center"/>
          </w:tcPr>
          <w:p>
            <w:pPr>
              <w:pStyle w:val="TableContents"/>
              <w:bidi w:val="0"/>
              <w:spacing w:before="0" w:after="283"/>
              <w:jc w:val="left"/>
              <w:rPr/>
            </w:pPr>
            <w:r>
              <w:rPr/>
            </w:r>
          </w:p>
        </w:tc>
        <w:tc>
          <w:tcPr>
            <w:tcW w:w="1127" w:type="dxa"/>
            <w:tcBorders/>
            <w:shd w:fill="CCEEFF" w:val="clear"/>
            <w:vAlign w:val="center"/>
          </w:tcPr>
          <w:p>
            <w:pPr>
              <w:pStyle w:val="TableContents"/>
              <w:bidi w:val="0"/>
              <w:spacing w:before="0" w:after="283"/>
              <w:jc w:val="right"/>
              <w:rPr/>
            </w:pPr>
            <w:r>
              <w:rPr/>
              <w:t>1,204</w:t>
            </w:r>
          </w:p>
        </w:tc>
        <w:tc>
          <w:tcPr>
            <w:tcW w:w="109" w:type="dxa"/>
            <w:tcBorders/>
            <w:shd w:fill="CCEEFF" w:val="clear"/>
            <w:vAlign w:val="center"/>
          </w:tcPr>
          <w:p>
            <w:pPr>
              <w:pStyle w:val="TableContents"/>
              <w:bidi w:val="0"/>
              <w:spacing w:before="0" w:after="283"/>
              <w:jc w:val="left"/>
              <w:rPr/>
            </w:pPr>
            <w:r>
              <w:rPr/>
            </w:r>
          </w:p>
        </w:tc>
        <w:tc>
          <w:tcPr>
            <w:tcW w:w="93" w:type="dxa"/>
            <w:tcBorders/>
            <w:shd w:fill="CCEEFF" w:val="clear"/>
            <w:vAlign w:val="center"/>
          </w:tcPr>
          <w:p>
            <w:pPr>
              <w:pStyle w:val="TableContents"/>
              <w:bidi w:val="0"/>
              <w:spacing w:before="0" w:after="283"/>
              <w:jc w:val="left"/>
              <w:rPr/>
            </w:pPr>
            <w:r>
              <w:rPr/>
            </w:r>
          </w:p>
        </w:tc>
        <w:tc>
          <w:tcPr>
            <w:tcW w:w="235"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right"/>
              <w:rPr/>
            </w:pPr>
            <w:r>
              <w:rPr/>
              <w:t>3,732</w:t>
            </w:r>
          </w:p>
        </w:tc>
        <w:tc>
          <w:tcPr>
            <w:tcW w:w="125" w:type="dxa"/>
            <w:tcBorders/>
            <w:shd w:fill="CCEEFF" w:val="clear"/>
            <w:vAlign w:val="center"/>
          </w:tcPr>
          <w:p>
            <w:pPr>
              <w:pStyle w:val="TableContents"/>
              <w:bidi w:val="0"/>
              <w:spacing w:before="0" w:after="283"/>
              <w:jc w:val="left"/>
              <w:rPr/>
            </w:pPr>
            <w:r>
              <w:rPr/>
            </w:r>
          </w:p>
        </w:tc>
      </w:tr>
      <w:tr>
        <w:trPr/>
        <w:tc>
          <w:tcPr>
            <w:tcW w:w="7082" w:type="dxa"/>
            <w:tcBorders/>
            <w:vAlign w:val="center"/>
          </w:tcPr>
          <w:p>
            <w:pPr>
              <w:pStyle w:val="TableContents"/>
              <w:bidi w:val="0"/>
              <w:spacing w:before="0" w:after="0"/>
              <w:ind w:left="240" w:right="0" w:hanging="0"/>
              <w:jc w:val="left"/>
              <w:rPr/>
            </w:pPr>
            <w:r>
              <w:rPr/>
              <w:t xml:space="preserve">Total current liabilities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5,341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8,120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liability, net of current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755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long-term liabilities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1,008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1,008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7,104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9,620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left"/>
              <w:rPr/>
            </w:pPr>
            <w:r>
              <w:rPr/>
              <w:t xml:space="preserve">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widowControl/>
              <w:bidi w:val="0"/>
              <w:spacing w:before="0" w:after="0"/>
              <w:ind w:left="0" w:right="0" w:hanging="0"/>
              <w:jc w:val="left"/>
              <w:rPr>
                <w:rFonts w:ascii="Times New Roman" w:hAnsi="Times New Roman"/>
                <w:sz w:val="20"/>
              </w:rPr>
            </w:pPr>
            <w:r>
              <w:rPr>
                <w:rFonts w:ascii="Times New Roman" w:hAnsi="Times New Roman"/>
                <w:sz w:val="20"/>
              </w:rPr>
              <w:t>Common stock, par value $0.001, 50,000,000 shares authorized, 23,960,684 and  23,955,767 shares issued and outstanding</w:t>
            </w:r>
            <w:r>
              <w:rPr>
                <w:rFonts w:ascii="Times New Roman" w:hAnsi="Times New Roman"/>
                <w:b w:val="false"/>
                <w:i w:val="false"/>
                <w:caps w:val="false"/>
                <w:smallCaps w:val="false"/>
                <w:color w:val="000000"/>
                <w:spacing w:val="0"/>
                <w:sz w:val="20"/>
              </w:rPr>
              <w:t>, respectively</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Additional paid-in capital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46,015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74,910 </w:t>
            </w:r>
          </w:p>
        </w:tc>
        <w:tc>
          <w:tcPr>
            <w:tcW w:w="125" w:type="dxa"/>
            <w:tcBorders/>
            <w:shd w:fill="CCEEFF" w:val="clear"/>
            <w:vAlign w:val="center"/>
          </w:tcPr>
          <w:p>
            <w:pPr>
              <w:pStyle w:val="TableContents"/>
              <w:bidi w:val="0"/>
              <w:spacing w:before="0" w:after="0"/>
              <w:ind w:left="0" w:right="0" w:hanging="0"/>
              <w:jc w:val="left"/>
              <w:rPr/>
            </w:pPr>
            <w:r>
              <w:rPr/>
              <w:t xml:space="preserve">  </w:t>
            </w:r>
          </w:p>
        </w:tc>
      </w:tr>
      <w:tr>
        <w:trPr/>
        <w:tc>
          <w:tcPr>
            <w:tcW w:w="70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w:t>
            </w:r>
          </w:p>
        </w:tc>
        <w:tc>
          <w:tcPr>
            <w:tcW w:w="10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(288 </w:t>
            </w:r>
          </w:p>
        </w:tc>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0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(3,718</w:t>
            </w:r>
          </w:p>
        </w:tc>
        <w:tc>
          <w:tcPr>
            <w:tcW w:w="10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pPr>
            <w:r>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082"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shareholders' equity </w:t>
            </w:r>
          </w:p>
        </w:tc>
        <w:tc>
          <w:tcPr>
            <w:tcW w:w="93"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11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42,013 </w:t>
            </w:r>
          </w:p>
        </w:tc>
        <w:tc>
          <w:tcPr>
            <w:tcW w:w="109" w:type="dxa"/>
            <w:tcBorders/>
            <w:vAlign w:val="center"/>
          </w:tcPr>
          <w:p>
            <w:pPr>
              <w:pStyle w:val="TableContents"/>
              <w:bidi w:val="0"/>
              <w:spacing w:before="0" w:after="0"/>
              <w:ind w:left="0" w:right="0" w:hanging="0"/>
              <w:jc w:val="left"/>
              <w:rPr/>
            </w:pPr>
            <w:r>
              <w:rPr/>
              <w:t xml:space="preserve">  </w:t>
            </w:r>
          </w:p>
        </w:tc>
        <w:tc>
          <w:tcPr>
            <w:tcW w:w="93"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c>
          <w:tcPr>
            <w:tcW w:w="109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74,130 </w:t>
            </w:r>
          </w:p>
        </w:tc>
        <w:tc>
          <w:tcPr>
            <w:tcW w:w="125" w:type="dxa"/>
            <w:tcBorders/>
            <w:vAlign w:val="center"/>
          </w:tcPr>
          <w:p>
            <w:pPr>
              <w:pStyle w:val="TableContents"/>
              <w:bidi w:val="0"/>
              <w:spacing w:before="0" w:after="0"/>
              <w:ind w:left="0" w:right="0" w:hanging="0"/>
              <w:jc w:val="left"/>
              <w:rPr/>
            </w:pPr>
            <w:r>
              <w:rPr/>
              <w:t xml:space="preserve">  </w:t>
            </w:r>
          </w:p>
        </w:tc>
      </w:tr>
      <w:tr>
        <w:trPr/>
        <w:tc>
          <w:tcPr>
            <w:tcW w:w="708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and shareholders' equity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49,117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3" w:type="dxa"/>
            <w:tcBorders/>
            <w:shd w:fill="CCEEFF" w:val="clear"/>
            <w:vAlign w:val="center"/>
          </w:tcPr>
          <w:p>
            <w:pPr>
              <w:pStyle w:val="TableContents"/>
              <w:bidi w:val="0"/>
              <w:spacing w:before="0" w:after="0"/>
              <w:ind w:left="0" w:right="0" w:hanging="0"/>
              <w:jc w:val="left"/>
              <w:rPr/>
            </w:pPr>
            <w:r>
              <w:rPr/>
              <w:t xml:space="preserve">  </w:t>
            </w:r>
          </w:p>
        </w:tc>
        <w:tc>
          <w:tcPr>
            <w:tcW w:w="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83,750 </w:t>
            </w:r>
          </w:p>
        </w:tc>
        <w:tc>
          <w:tcPr>
            <w:tcW w:w="125"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7">
        <w:bookmarkStart w:id="45" w:name="BD_G3RUEUCU2O00000000000000000000"/>
        <w:bookmarkEnd w:id="45"/>
        <w:r>
          <w:rPr>
            <w:rStyle w:val="InternetLink"/>
            <w:rFonts w:ascii="Times New Roman" w:hAnsi="Times New Roman"/>
            <w:b/>
            <w:strike w:val="false"/>
            <w:dstrike w:val="false"/>
            <w:color w:val="000000"/>
            <w:sz w:val="20"/>
            <w:u w:val="none"/>
            <w:effect w:val="none"/>
          </w:rPr>
          <w:t>UNAUDITED CONDENSED CONSOLIDATED STATEMENTS OF OPERATIONS AND</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COMPREHENSIVE LOSS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178"/>
        <w:gridCol w:w="110"/>
        <w:gridCol w:w="190"/>
        <w:gridCol w:w="1151"/>
        <w:gridCol w:w="135"/>
        <w:gridCol w:w="129"/>
        <w:gridCol w:w="190"/>
        <w:gridCol w:w="1106"/>
        <w:gridCol w:w="120"/>
        <w:gridCol w:w="23"/>
        <w:gridCol w:w="151"/>
        <w:gridCol w:w="1155"/>
        <w:gridCol w:w="114"/>
        <w:gridCol w:w="27"/>
        <w:gridCol w:w="151"/>
        <w:gridCol w:w="1155"/>
        <w:gridCol w:w="120"/>
      </w:tblGrid>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901"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September 30,</w:t>
            </w:r>
            <w:r>
              <w:rPr>
                <w:rFonts w:ascii="Times New Roman" w:hAnsi="Times New Roman"/>
                <w:b/>
                <w:sz w:val="20"/>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53"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120" w:type="dxa"/>
            <w:tcBorders/>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34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296"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06" w:type="dxa"/>
            <w:gridSpan w:val="2"/>
            <w:tcBorders/>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306" w:type="dxa"/>
            <w:gridSpan w:val="2"/>
            <w:tcBorders/>
            <w:vAlign w:val="center"/>
          </w:tcPr>
          <w:p>
            <w:pPr>
              <w:pStyle w:val="TableContents"/>
              <w:bidi w:val="0"/>
              <w:spacing w:before="0" w:after="283"/>
              <w:jc w:val="center"/>
              <w:rPr>
                <w:b/>
              </w:rPr>
            </w:pPr>
            <w:r>
              <w:rPr>
                <w:b/>
              </w:rPr>
              <w:t>2022</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4,889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6,264</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14,550</w:t>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21,184</w:t>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3,273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3,694</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9,771</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12,991</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Gross profit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1,616</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2,570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4,779</w:t>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8,193</w:t>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left"/>
              <w:rPr/>
            </w:pPr>
            <w:r>
              <w:rPr/>
              <w:t xml:space="preserve">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left"/>
              <w:rPr/>
            </w:pPr>
            <w:r>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1,119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1,151</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3,634</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4,273</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889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2,805</w:t>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3,406</w:t>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1,097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1,673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3,373</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5,146</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3,105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3,700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9,812</w:t>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12,825</w:t>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left"/>
              <w:rPr/>
            </w:pPr>
            <w:r>
              <w:rPr/>
              <w:t xml:space="preserve">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left"/>
              <w:rPr/>
            </w:pPr>
            <w:r>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(1,489</w:t>
            </w:r>
          </w:p>
        </w:tc>
        <w:tc>
          <w:tcPr>
            <w:tcW w:w="135"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(1,130 </w:t>
            </w:r>
          </w:p>
        </w:tc>
        <w:tc>
          <w:tcPr>
            <w:tcW w:w="1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(5,033</w:t>
            </w:r>
          </w:p>
        </w:tc>
        <w:tc>
          <w:tcPr>
            <w:tcW w:w="114"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(4,632</w:t>
            </w:r>
          </w:p>
        </w:tc>
        <w:tc>
          <w:tcPr>
            <w:tcW w:w="120" w:type="dxa"/>
            <w:tcBorders/>
            <w:shd w:fill="CCEEFF" w:val="clear"/>
            <w:vAlign w:val="center"/>
          </w:tcPr>
          <w:p>
            <w:pPr>
              <w:pStyle w:val="TableContents"/>
              <w:bidi w:val="0"/>
              <w:spacing w:before="0" w:after="283"/>
              <w:jc w:val="left"/>
              <w:rPr/>
            </w:pPr>
            <w:r>
              <w:rPr/>
              <w:t>)</w:t>
            </w:r>
          </w:p>
        </w:tc>
      </w:tr>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left"/>
              <w:rPr/>
            </w:pPr>
            <w:r>
              <w:rPr/>
              <w:t xml:space="preserve">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left"/>
              <w:rPr/>
            </w:pPr>
            <w:r>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283"/>
              <w:jc w:val="left"/>
              <w:rPr/>
            </w:pPr>
            <w:r>
              <w:rPr/>
              <w:t>Interest expense</w:t>
            </w:r>
          </w:p>
        </w:tc>
        <w:tc>
          <w:tcPr>
            <w:tcW w:w="11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1151" w:type="dxa"/>
            <w:tcBorders/>
            <w:shd w:fill="CCEEFF" w:val="clear"/>
            <w:vAlign w:val="center"/>
          </w:tcPr>
          <w:p>
            <w:pPr>
              <w:pStyle w:val="TableContents"/>
              <w:bidi w:val="0"/>
              <w:spacing w:before="0" w:after="283"/>
              <w:jc w:val="right"/>
              <w:rPr/>
            </w:pPr>
            <w:r>
              <w:rPr/>
              <w:t>(86)</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1106" w:type="dxa"/>
            <w:tcBorders/>
            <w:shd w:fill="CCEEFF" w:val="clear"/>
            <w:vAlign w:val="center"/>
          </w:tcPr>
          <w:p>
            <w:pPr>
              <w:pStyle w:val="TableContents"/>
              <w:bidi w:val="0"/>
              <w:spacing w:before="0" w:after="283"/>
              <w:jc w:val="right"/>
              <w:rPr/>
            </w:pPr>
            <w:r>
              <w:rPr/>
              <w:t>(90</w:t>
            </w:r>
          </w:p>
        </w:tc>
        <w:tc>
          <w:tcPr>
            <w:tcW w:w="120"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(469</w:t>
            </w:r>
          </w:p>
        </w:tc>
        <w:tc>
          <w:tcPr>
            <w:tcW w:w="114"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(285</w:t>
            </w:r>
          </w:p>
        </w:tc>
        <w:tc>
          <w:tcPr>
            <w:tcW w:w="120" w:type="dxa"/>
            <w:tcBorders/>
            <w:shd w:fill="CCEEFF" w:val="clear"/>
            <w:vAlign w:val="center"/>
          </w:tcPr>
          <w:p>
            <w:pPr>
              <w:pStyle w:val="TableContents"/>
              <w:bidi w:val="0"/>
              <w:spacing w:before="0" w:after="283"/>
              <w:jc w:val="left"/>
              <w:rPr/>
            </w:pPr>
            <w:r>
              <w:rPr/>
              <w:t>)</w:t>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(loss), net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w:t>
            </w:r>
          </w:p>
        </w:tc>
        <w:tc>
          <w:tcPr>
            <w:tcW w:w="1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20"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2,346</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1,505</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before income taxes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(1,332</w:t>
            </w:r>
          </w:p>
        </w:tc>
        <w:tc>
          <w:tcPr>
            <w:tcW w:w="135"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(1,223</w:t>
            </w:r>
          </w:p>
        </w:tc>
        <w:tc>
          <w:tcPr>
            <w:tcW w:w="120"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(3,156</w:t>
            </w:r>
          </w:p>
        </w:tc>
        <w:tc>
          <w:tcPr>
            <w:tcW w:w="114" w:type="dxa"/>
            <w:tcBorders/>
            <w:vAlign w:val="center"/>
          </w:tcPr>
          <w:p>
            <w:pPr>
              <w:pStyle w:val="TableContents"/>
              <w:bidi w:val="0"/>
              <w:spacing w:before="0" w:after="283"/>
              <w:jc w:val="left"/>
              <w:rPr/>
            </w:pPr>
            <w:r>
              <w:rPr/>
              <w:t>)</w:t>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(3,412</w:t>
            </w:r>
          </w:p>
        </w:tc>
        <w:tc>
          <w:tcPr>
            <w:tcW w:w="120" w:type="dxa"/>
            <w:tcBorders/>
            <w:vAlign w:val="center"/>
          </w:tcPr>
          <w:p>
            <w:pPr>
              <w:pStyle w:val="TableContents"/>
              <w:bidi w:val="0"/>
              <w:spacing w:before="0" w:after="283"/>
              <w:jc w:val="left"/>
              <w:rPr/>
            </w:pPr>
            <w:r>
              <w:rPr/>
              <w:t>)</w:t>
            </w:r>
          </w:p>
        </w:tc>
      </w:tr>
      <w:tr>
        <w:trPr/>
        <w:tc>
          <w:tcPr>
            <w:tcW w:w="4178"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income taxes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pPr>
            <w:r>
              <w:rPr/>
              <w:t>19</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46</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60</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ind w:left="0" w:right="0" w:hanging="0"/>
              <w:jc w:val="left"/>
              <w:rPr/>
            </w:pPr>
            <w:r>
              <w:rPr/>
            </w:r>
          </w:p>
        </w:tc>
      </w:tr>
      <w:tr>
        <w:trPr/>
        <w:tc>
          <w:tcPr>
            <w:tcW w:w="417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10"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(1,351</w:t>
            </w:r>
          </w:p>
        </w:tc>
        <w:tc>
          <w:tcPr>
            <w:tcW w:w="135"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(1,248</w:t>
            </w:r>
          </w:p>
        </w:tc>
        <w:tc>
          <w:tcPr>
            <w:tcW w:w="12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5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bottom"/>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(3,202</w:t>
            </w:r>
          </w:p>
        </w:tc>
        <w:tc>
          <w:tcPr>
            <w:tcW w:w="114" w:type="dxa"/>
            <w:tcBorders/>
            <w:vAlign w:val="center"/>
          </w:tcPr>
          <w:p>
            <w:pPr>
              <w:pStyle w:val="TableContents"/>
              <w:bidi w:val="0"/>
              <w:spacing w:before="0" w:after="0"/>
              <w:ind w:left="0" w:right="0" w:hanging="0"/>
              <w:jc w:val="left"/>
              <w:rPr/>
            </w:pPr>
            <w:r>
              <w:rPr/>
              <w:t>)</w:t>
            </w:r>
          </w:p>
        </w:tc>
        <w:tc>
          <w:tcPr>
            <w:tcW w:w="27"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(3,472</w:t>
            </w:r>
          </w:p>
        </w:tc>
        <w:tc>
          <w:tcPr>
            <w:tcW w:w="120" w:type="dxa"/>
            <w:tcBorders/>
            <w:vAlign w:val="center"/>
          </w:tcPr>
          <w:p>
            <w:pPr>
              <w:pStyle w:val="TableContents"/>
              <w:bidi w:val="0"/>
              <w:spacing w:before="0" w:after="0"/>
              <w:jc w:val="left"/>
              <w:rPr/>
            </w:pPr>
            <w:r>
              <w:rPr/>
              <w:t>)</w:t>
            </w:r>
          </w:p>
        </w:tc>
      </w:tr>
      <w:tr>
        <w:trPr/>
        <w:tc>
          <w:tcPr>
            <w:tcW w:w="4178"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23,960,313</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23,952,555</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23,957,311</w:t>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23,933,033</w:t>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23,960,313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23,952,555</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23,957,311</w:t>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23,933,033</w:t>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left"/>
              <w:rPr/>
            </w:pPr>
            <w:r>
              <w:rPr/>
              <w:t xml:space="preserve">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left"/>
              <w:rPr/>
            </w:pPr>
            <w:r>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share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p>
        </w:tc>
        <w:tc>
          <w:tcPr>
            <w:tcW w:w="135"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(0.05</w:t>
            </w:r>
          </w:p>
        </w:tc>
        <w:tc>
          <w:tcPr>
            <w:tcW w:w="120"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(0.13</w:t>
            </w:r>
          </w:p>
        </w:tc>
        <w:tc>
          <w:tcPr>
            <w:tcW w:w="114"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(0.15</w:t>
            </w:r>
          </w:p>
        </w:tc>
        <w:tc>
          <w:tcPr>
            <w:tcW w:w="120" w:type="dxa"/>
            <w:tcBorders/>
            <w:shd w:fill="CCEEFF" w:val="clear"/>
            <w:vAlign w:val="center"/>
          </w:tcPr>
          <w:p>
            <w:pPr>
              <w:pStyle w:val="TableContents"/>
              <w:bidi w:val="0"/>
              <w:spacing w:before="0" w:after="283"/>
              <w:jc w:val="left"/>
              <w:rPr/>
            </w:pPr>
            <w:r>
              <w:rPr/>
              <w:t>)</w:t>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share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p>
        </w:tc>
        <w:tc>
          <w:tcPr>
            <w:tcW w:w="135"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(0.05</w:t>
            </w:r>
          </w:p>
        </w:tc>
        <w:tc>
          <w:tcPr>
            <w:tcW w:w="1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(0.13</w:t>
            </w:r>
          </w:p>
        </w:tc>
        <w:tc>
          <w:tcPr>
            <w:tcW w:w="114" w:type="dxa"/>
            <w:tcBorders/>
            <w:vAlign w:val="center"/>
          </w:tcPr>
          <w:p>
            <w:pPr>
              <w:pStyle w:val="TableContents"/>
              <w:bidi w:val="0"/>
              <w:spacing w:before="0" w:after="283"/>
              <w:jc w:val="left"/>
              <w:rPr/>
            </w:pPr>
            <w:r>
              <w:rPr/>
              <w:t>)</w:t>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(0.15</w:t>
            </w:r>
          </w:p>
        </w:tc>
        <w:tc>
          <w:tcPr>
            <w:tcW w:w="120" w:type="dxa"/>
            <w:tcBorders/>
            <w:vAlign w:val="center"/>
          </w:tcPr>
          <w:p>
            <w:pPr>
              <w:pStyle w:val="TableContents"/>
              <w:bidi w:val="0"/>
              <w:spacing w:before="0" w:after="283"/>
              <w:jc w:val="left"/>
              <w:rPr/>
            </w:pPr>
            <w:r>
              <w:rPr/>
              <w:t>)</w:t>
            </w:r>
          </w:p>
        </w:tc>
      </w:tr>
      <w:tr>
        <w:trPr/>
        <w:tc>
          <w:tcPr>
            <w:tcW w:w="4178" w:type="dxa"/>
            <w:tcBorders/>
            <w:shd w:fill="CCEEFF" w:val="clear"/>
            <w:vAlign w:val="center"/>
          </w:tcPr>
          <w:p>
            <w:pPr>
              <w:pStyle w:val="TableContents"/>
              <w:bidi w:val="0"/>
              <w:spacing w:before="0" w:after="0"/>
              <w:ind w:left="0" w:right="0" w:hanging="0"/>
              <w:jc w:val="left"/>
              <w:rPr/>
            </w:pPr>
            <w:r>
              <w:rPr/>
              <w:t xml:space="preserve">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left"/>
              <w:rPr/>
            </w:pPr>
            <w:r>
              <w:rPr/>
              <w:t xml:space="preserve">  </w:t>
            </w:r>
          </w:p>
        </w:tc>
        <w:tc>
          <w:tcPr>
            <w:tcW w:w="135"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lef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14"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1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left"/>
              <w:rPr/>
            </w:pPr>
            <w:r>
              <w:rPr/>
              <w:t xml:space="preserve">  </w:t>
            </w:r>
          </w:p>
        </w:tc>
        <w:tc>
          <w:tcPr>
            <w:tcW w:w="135"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left"/>
              <w:rPr/>
            </w:pPr>
            <w:r>
              <w:rPr/>
              <w:t xml:space="preserve">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14"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17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Net loss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(1,351</w:t>
            </w:r>
          </w:p>
        </w:tc>
        <w:tc>
          <w:tcPr>
            <w:tcW w:w="135"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(1,248</w:t>
            </w:r>
          </w:p>
        </w:tc>
        <w:tc>
          <w:tcPr>
            <w:tcW w:w="120"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(3,202</w:t>
            </w:r>
          </w:p>
        </w:tc>
        <w:tc>
          <w:tcPr>
            <w:tcW w:w="114"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3,472</w:t>
            </w:r>
          </w:p>
        </w:tc>
        <w:tc>
          <w:tcPr>
            <w:tcW w:w="120" w:type="dxa"/>
            <w:tcBorders/>
            <w:shd w:fill="CCEEFF" w:val="clear"/>
            <w:vAlign w:val="center"/>
          </w:tcPr>
          <w:p>
            <w:pPr>
              <w:pStyle w:val="TableContents"/>
              <w:bidi w:val="0"/>
              <w:spacing w:before="0" w:after="283"/>
              <w:jc w:val="left"/>
              <w:rPr/>
            </w:pPr>
            <w:r>
              <w:rPr/>
              <w:t>)</w:t>
            </w:r>
          </w:p>
        </w:tc>
      </w:tr>
      <w:tr>
        <w:trPr/>
        <w:tc>
          <w:tcPr>
            <w:tcW w:w="4178"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Unrealized loss on available-for-sale securities, net of tax </w:t>
            </w:r>
          </w:p>
        </w:tc>
        <w:tc>
          <w:tcPr>
            <w:tcW w:w="11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5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c>
          <w:tcPr>
            <w:tcW w:w="135"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1106"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(17</w:t>
            </w:r>
          </w:p>
        </w:tc>
        <w:tc>
          <w:tcPr>
            <w:tcW w:w="114" w:type="dxa"/>
            <w:tcBorders/>
            <w:vAlign w:val="center"/>
          </w:tcPr>
          <w:p>
            <w:pPr>
              <w:pStyle w:val="TableContents"/>
              <w:bidi w:val="0"/>
              <w:spacing w:before="0" w:after="283"/>
              <w:jc w:val="left"/>
              <w:rPr/>
            </w:pPr>
            <w:r>
              <w:rPr/>
              <w:t>)</w:t>
            </w:r>
          </w:p>
        </w:tc>
        <w:tc>
          <w:tcPr>
            <w:tcW w:w="27"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15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2</w:t>
            </w:r>
          </w:p>
        </w:tc>
        <w:tc>
          <w:tcPr>
            <w:tcW w:w="120" w:type="dxa"/>
            <w:tcBorders/>
            <w:vAlign w:val="center"/>
          </w:tcPr>
          <w:p>
            <w:pPr>
              <w:pStyle w:val="TableContents"/>
              <w:bidi w:val="0"/>
              <w:spacing w:before="0" w:after="283"/>
              <w:jc w:val="left"/>
              <w:rPr/>
            </w:pPr>
            <w:r>
              <w:rPr/>
              <w:t>)</w:t>
            </w:r>
          </w:p>
        </w:tc>
      </w:tr>
      <w:tr>
        <w:trPr/>
        <w:tc>
          <w:tcPr>
            <w:tcW w:w="417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CCEEFF" w:val="clear"/>
            <w:vAlign w:val="bottom"/>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120"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1"/>
              </w:rPr>
            </w:pPr>
            <w:r>
              <w:rPr>
                <w:rFonts w:ascii="times new roman" w:hAnsi="times new roman"/>
                <w:b w:val="false"/>
                <w:i w:val="false"/>
                <w:caps w:val="false"/>
                <w:smallCaps w:val="false"/>
                <w:color w:val="000000"/>
                <w:spacing w:val="0"/>
                <w:sz w:val="21"/>
              </w:rPr>
              <w:t>(3</w:t>
            </w:r>
          </w:p>
        </w:tc>
        <w:tc>
          <w:tcPr>
            <w:tcW w:w="114" w:type="dxa"/>
            <w:tcBorders/>
            <w:shd w:fill="CCEEFF" w:val="clear"/>
            <w:vAlign w:val="center"/>
          </w:tcPr>
          <w:p>
            <w:pPr>
              <w:pStyle w:val="TableContents"/>
              <w:bidi w:val="0"/>
              <w:spacing w:before="0" w:after="283"/>
              <w:jc w:val="left"/>
              <w:rPr/>
            </w:pPr>
            <w:r>
              <w:rPr/>
              <w:t>)</w:t>
            </w:r>
          </w:p>
        </w:tc>
        <w:tc>
          <w:tcPr>
            <w:tcW w:w="27" w:type="dxa"/>
            <w:tcBorders/>
            <w:shd w:fill="CCEEFF" w:val="clear"/>
            <w:vAlign w:val="center"/>
          </w:tcPr>
          <w:p>
            <w:pPr>
              <w:pStyle w:val="TableContents"/>
              <w:bidi w:val="0"/>
              <w:spacing w:before="0" w:after="283"/>
              <w:jc w:val="left"/>
              <w:rPr/>
            </w:pPr>
            <w:r>
              <w:rPr/>
            </w:r>
          </w:p>
        </w:tc>
        <w:tc>
          <w:tcPr>
            <w:tcW w:w="151" w:type="dxa"/>
            <w:tcBorders/>
            <w:shd w:fill="CCEEFF" w:val="clear"/>
            <w:vAlign w:val="center"/>
          </w:tcPr>
          <w:p>
            <w:pPr>
              <w:pStyle w:val="TableContents"/>
              <w:bidi w:val="0"/>
              <w:spacing w:before="0" w:after="283"/>
              <w:jc w:val="left"/>
              <w:rPr/>
            </w:pPr>
            <w:r>
              <w:rPr/>
            </w:r>
          </w:p>
        </w:tc>
        <w:tc>
          <w:tcPr>
            <w:tcW w:w="1155"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45</w:t>
            </w:r>
          </w:p>
        </w:tc>
        <w:tc>
          <w:tcPr>
            <w:tcW w:w="120" w:type="dxa"/>
            <w:tcBorders/>
            <w:shd w:fill="CCEEFF" w:val="clear"/>
            <w:vAlign w:val="bottom"/>
          </w:tcPr>
          <w:p>
            <w:pPr>
              <w:pStyle w:val="TableContents"/>
              <w:bidi w:val="0"/>
              <w:spacing w:before="0" w:after="283"/>
              <w:jc w:val="left"/>
              <w:rPr/>
            </w:pPr>
            <w:r>
              <w:rPr/>
              <w:t>)</w:t>
            </w:r>
          </w:p>
        </w:tc>
      </w:tr>
      <w:tr>
        <w:trPr/>
        <w:tc>
          <w:tcPr>
            <w:tcW w:w="417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10" w:type="dxa"/>
            <w:tcBorders/>
            <w:vAlign w:val="bottom"/>
          </w:tcPr>
          <w:p>
            <w:pPr>
              <w:pStyle w:val="TableContents"/>
              <w:bidi w:val="0"/>
              <w:spacing w:lineRule="auto" w:line="288" w:before="0" w:after="0"/>
              <w:ind w:left="0" w:right="0" w:hanging="0"/>
              <w:jc w:val="left"/>
              <w:rPr/>
            </w:pPr>
            <w:r>
              <w:rPr/>
              <w:t xml:space="preserve">  </w:t>
            </w:r>
          </w:p>
        </w:tc>
        <w:tc>
          <w:tcPr>
            <w:tcW w:w="1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5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(1,389</w:t>
            </w:r>
          </w:p>
        </w:tc>
        <w:tc>
          <w:tcPr>
            <w:tcW w:w="135" w:type="dxa"/>
            <w:tcBorders/>
            <w:vAlign w:val="bottom"/>
          </w:tcPr>
          <w:p>
            <w:pPr>
              <w:pStyle w:val="TableContents"/>
              <w:bidi w:val="0"/>
              <w:spacing w:before="0" w:after="283"/>
              <w:jc w:val="left"/>
              <w:rPr/>
            </w:pPr>
            <w:r>
              <w:rPr/>
              <w:t>)</w:t>
            </w:r>
          </w:p>
        </w:tc>
        <w:tc>
          <w:tcPr>
            <w:tcW w:w="129" w:type="dxa"/>
            <w:tcBorders/>
            <w:vAlign w:val="bottom"/>
          </w:tcPr>
          <w:p>
            <w:pPr>
              <w:pStyle w:val="TableContents"/>
              <w:bidi w:val="0"/>
              <w:spacing w:before="0" w:after="0"/>
              <w:ind w:left="0" w:right="0" w:hanging="0"/>
              <w:jc w:val="left"/>
              <w:rPr/>
            </w:pPr>
            <w:r>
              <w:rPr/>
              <w:t xml:space="preserve">  </w:t>
            </w:r>
          </w:p>
        </w:tc>
        <w:tc>
          <w:tcPr>
            <w:tcW w:w="1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(1,270</w:t>
            </w:r>
          </w:p>
        </w:tc>
        <w:tc>
          <w:tcPr>
            <w:tcW w:w="12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vAlign w:val="bottom"/>
          </w:tcPr>
          <w:p>
            <w:pPr>
              <w:pStyle w:val="TableContents"/>
              <w:bidi w:val="0"/>
              <w:spacing w:before="0" w:after="283"/>
              <w:jc w:val="left"/>
              <w:rPr/>
            </w:pPr>
            <w:r>
              <w:rPr/>
            </w:r>
          </w:p>
        </w:tc>
        <w:tc>
          <w:tcPr>
            <w:tcW w:w="15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(3,222</w:t>
            </w:r>
          </w:p>
        </w:tc>
        <w:tc>
          <w:tcPr>
            <w:tcW w:w="114" w:type="dxa"/>
            <w:tcBorders/>
            <w:vAlign w:val="bottom"/>
          </w:tcPr>
          <w:p>
            <w:pPr>
              <w:pStyle w:val="TableContents"/>
              <w:bidi w:val="0"/>
              <w:spacing w:before="0" w:after="283"/>
              <w:jc w:val="left"/>
              <w:rPr/>
            </w:pPr>
            <w:r>
              <w:rPr/>
              <w:t>)</w:t>
            </w:r>
          </w:p>
        </w:tc>
        <w:tc>
          <w:tcPr>
            <w:tcW w:w="27" w:type="dxa"/>
            <w:tcBorders/>
            <w:vAlign w:val="bottom"/>
          </w:tcPr>
          <w:p>
            <w:pPr>
              <w:pStyle w:val="TableContents"/>
              <w:bidi w:val="0"/>
              <w:spacing w:before="0" w:after="283"/>
              <w:jc w:val="left"/>
              <w:rPr/>
            </w:pPr>
            <w:r>
              <w:rPr/>
            </w:r>
          </w:p>
        </w:tc>
        <w:tc>
          <w:tcPr>
            <w:tcW w:w="15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3,519</w:t>
            </w:r>
          </w:p>
        </w:tc>
        <w:tc>
          <w:tcPr>
            <w:tcW w:w="120" w:type="dxa"/>
            <w:tcBorders/>
            <w:vAlign w:val="bottom"/>
          </w:tcPr>
          <w:p>
            <w:pPr>
              <w:pStyle w:val="TableContents"/>
              <w:bidi w:val="0"/>
              <w:spacing w:before="0" w:after="283"/>
              <w:jc w:val="left"/>
              <w:rPr/>
            </w:pPr>
            <w:r>
              <w:rPr/>
              <w:t>)</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t> </w:t>
      </w:r>
    </w:p>
    <w:p>
      <w:pPr>
        <w:pStyle w:val="TextBody"/>
        <w:bidi w:val="0"/>
        <w:spacing w:lineRule="auto" w:line="288" w:before="0" w:after="0"/>
        <w:ind w:left="24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8">
        <w:bookmarkStart w:id="46" w:name="BE_OCDKM4QLA800000000000000000000"/>
        <w:bookmarkEnd w:id="46"/>
        <w:r>
          <w:rPr>
            <w:rStyle w:val="InternetLink"/>
            <w:rFonts w:ascii="Times New Roman" w:hAnsi="Times New Roman"/>
            <w:b/>
            <w:strike w:val="false"/>
            <w:dstrike w:val="false"/>
            <w:color w:val="000000"/>
            <w:sz w:val="20"/>
            <w:u w:val="none"/>
            <w:effect w:val="none"/>
          </w:rPr>
          <w:t>UNAUDITED CONDENSED CONSOLIDATED STATEMENTS OF CASH FLOWS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018"/>
        <w:gridCol w:w="118"/>
        <w:gridCol w:w="263"/>
        <w:gridCol w:w="1178"/>
        <w:gridCol w:w="185"/>
        <w:gridCol w:w="185"/>
        <w:gridCol w:w="263"/>
        <w:gridCol w:w="850"/>
        <w:gridCol w:w="145"/>
      </w:tblGrid>
      <w:tr>
        <w:trPr/>
        <w:tc>
          <w:tcPr>
            <w:tcW w:w="7018" w:type="dxa"/>
            <w:tcBorders/>
            <w:vAlign w:val="center"/>
          </w:tcPr>
          <w:p>
            <w:pPr>
              <w:pStyle w:val="TableContents"/>
              <w:bidi w:val="0"/>
              <w:spacing w:before="0" w:after="0"/>
              <w:ind w:left="0" w:right="0" w:hanging="0"/>
              <w:jc w:val="left"/>
              <w:rPr/>
            </w:pPr>
            <w:r>
              <w:rPr/>
              <w:t xml:space="preserve">  </w:t>
            </w:r>
          </w:p>
        </w:tc>
        <w:tc>
          <w:tcPr>
            <w:tcW w:w="118" w:type="dxa"/>
            <w:tcBorders/>
            <w:vAlign w:val="center"/>
          </w:tcPr>
          <w:p>
            <w:pPr>
              <w:pStyle w:val="TableContents"/>
              <w:bidi w:val="0"/>
              <w:spacing w:before="0" w:after="0"/>
              <w:ind w:left="0" w:right="0" w:hanging="0"/>
              <w:jc w:val="left"/>
              <w:rPr/>
            </w:pPr>
            <w:r>
              <w:rPr/>
              <w:t xml:space="preserve">  </w:t>
            </w:r>
          </w:p>
        </w:tc>
        <w:tc>
          <w:tcPr>
            <w:tcW w:w="2924"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Nine Months Ended September 30,</w:t>
            </w:r>
            <w:r>
              <w:rPr>
                <w:rFonts w:ascii="Times New Roman" w:hAnsi="Times New Roman"/>
                <w:b/>
                <w:sz w:val="20"/>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pPr>
            <w:r>
              <w:rPr/>
              <w:t xml:space="preserve">  </w:t>
            </w:r>
          </w:p>
        </w:tc>
        <w:tc>
          <w:tcPr>
            <w:tcW w:w="118" w:type="dxa"/>
            <w:tcBorders/>
            <w:vAlign w:val="center"/>
          </w:tcPr>
          <w:p>
            <w:pPr>
              <w:pStyle w:val="TableContents"/>
              <w:bidi w:val="0"/>
              <w:spacing w:before="0" w:after="0"/>
              <w:ind w:left="0" w:right="0" w:hanging="0"/>
              <w:jc w:val="left"/>
              <w:rPr/>
            </w:pPr>
            <w:r>
              <w:rPr/>
              <w:t xml:space="preserve">  </w:t>
            </w:r>
          </w:p>
        </w:tc>
        <w:tc>
          <w:tcPr>
            <w:tcW w:w="144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11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(3,202</w:t>
            </w:r>
          </w:p>
        </w:tc>
        <w:tc>
          <w:tcPr>
            <w:tcW w:w="185"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(3,472</w:t>
            </w:r>
          </w:p>
        </w:tc>
        <w:tc>
          <w:tcPr>
            <w:tcW w:w="145" w:type="dxa"/>
            <w:tcBorders/>
            <w:vAlign w:val="center"/>
          </w:tcPr>
          <w:p>
            <w:pPr>
              <w:pStyle w:val="TableContents"/>
              <w:bidi w:val="0"/>
              <w:spacing w:before="0" w:after="0"/>
              <w:jc w:val="left"/>
              <w:rPr/>
            </w:pPr>
            <w:r>
              <w:rPr/>
              <w:t>)</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Adjustments to reconcile net loss to net cash provided by (used in) operating activities: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Depreciation and amortization expense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2,390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right-of-use assets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449</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80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90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of inventory to net realizable value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105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221 </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widowControl/>
              <w:bidi w:val="0"/>
              <w:spacing w:before="0" w:after="0"/>
              <w:ind w:left="0" w:right="0" w:hanging="0"/>
              <w:jc w:val="left"/>
              <w:rPr/>
            </w:pPr>
            <w:r>
              <w:rPr/>
              <w:t xml:space="preserve">    </w:t>
            </w:r>
            <w:r>
              <w:rPr>
                <w:rFonts w:ascii="Times New Roman" w:hAnsi="Times New Roman"/>
                <w:b w:val="false"/>
                <w:color w:val="000000"/>
                <w:spacing w:val="0"/>
                <w:sz w:val="20"/>
              </w:rPr>
              <w:t>Gain recognized on Paycheck Protection Plan Loan forgiveness</w:t>
            </w:r>
          </w:p>
        </w:tc>
        <w:tc>
          <w:tcPr>
            <w:tcW w:w="118"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1178" w:type="dxa"/>
            <w:tcBorders/>
            <w:vAlign w:val="center"/>
          </w:tcPr>
          <w:p>
            <w:pPr>
              <w:pStyle w:val="TableContents"/>
              <w:bidi w:val="0"/>
              <w:spacing w:before="0" w:after="283"/>
              <w:ind w:left="0" w:right="0" w:hanging="0"/>
              <w:jc w:val="right"/>
              <w:rPr/>
            </w:pPr>
            <w:r>
              <w:rPr/>
              <w:t>—</w:t>
            </w:r>
          </w:p>
        </w:tc>
        <w:tc>
          <w:tcPr>
            <w:tcW w:w="185" w:type="dxa"/>
            <w:tcBorders/>
            <w:vAlign w:val="center"/>
          </w:tcPr>
          <w:p>
            <w:pPr>
              <w:pStyle w:val="TableContents"/>
              <w:bidi w:val="0"/>
              <w:spacing w:before="0" w:after="283"/>
              <w:ind w:left="0" w:right="0" w:hanging="0"/>
              <w:jc w:val="left"/>
              <w:rPr/>
            </w:pPr>
            <w:r>
              <w:rPr/>
            </w:r>
          </w:p>
        </w:tc>
        <w:tc>
          <w:tcPr>
            <w:tcW w:w="185"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850" w:type="dxa"/>
            <w:tcBorders/>
            <w:vAlign w:val="center"/>
          </w:tcPr>
          <w:p>
            <w:pPr>
              <w:pStyle w:val="TableContents"/>
              <w:bidi w:val="0"/>
              <w:spacing w:before="0" w:after="283"/>
              <w:ind w:left="0" w:right="0" w:hanging="0"/>
              <w:jc w:val="right"/>
              <w:rPr>
                <w:sz w:val="20"/>
              </w:rPr>
            </w:pPr>
            <w:r>
              <w:rPr>
                <w:sz w:val="20"/>
              </w:rPr>
              <w:t>(1,528</w:t>
            </w:r>
          </w:p>
        </w:tc>
        <w:tc>
          <w:tcPr>
            <w:tcW w:w="145" w:type="dxa"/>
            <w:tcBorders/>
            <w:vAlign w:val="center"/>
          </w:tcPr>
          <w:p>
            <w:pPr>
              <w:pStyle w:val="TableContents"/>
              <w:bidi w:val="0"/>
              <w:spacing w:before="0" w:after="0"/>
              <w:ind w:left="0" w:right="0" w:hanging="0"/>
              <w:jc w:val="left"/>
              <w:rPr>
                <w:sz w:val="20"/>
              </w:rPr>
            </w:pPr>
            <w:r>
              <w:rPr>
                <w:sz w:val="20"/>
              </w:rPr>
              <w:t>)</w:t>
            </w:r>
          </w:p>
        </w:tc>
      </w:tr>
      <w:tr>
        <w:trPr/>
        <w:tc>
          <w:tcPr>
            <w:tcW w:w="7018" w:type="dxa"/>
            <w:tcBorders/>
            <w:shd w:fill="CCEEFF" w:val="clear"/>
            <w:vAlign w:val="center"/>
          </w:tcPr>
          <w:p>
            <w:pPr>
              <w:pStyle w:val="TableContents"/>
              <w:bidi w:val="0"/>
              <w:spacing w:before="0" w:after="0"/>
              <w:ind w:left="0" w:right="0" w:hanging="0"/>
              <w:jc w:val="left"/>
              <w:rPr/>
            </w:pPr>
            <w:r>
              <w:rPr/>
              <w:t xml:space="preserve">    </w:t>
            </w:r>
            <w:r>
              <w:rPr>
                <w:sz w:val="20"/>
              </w:rPr>
              <w:t>Gain (loss) on disposal of assets and sale of marketable securities</w:t>
            </w:r>
          </w:p>
        </w:tc>
        <w:tc>
          <w:tcPr>
            <w:tcW w:w="118"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1178" w:type="dxa"/>
            <w:tcBorders/>
            <w:shd w:fill="CCEEFF" w:val="clear"/>
            <w:vAlign w:val="center"/>
          </w:tcPr>
          <w:p>
            <w:pPr>
              <w:pStyle w:val="TableContents"/>
              <w:bidi w:val="0"/>
              <w:spacing w:before="0" w:after="283"/>
              <w:ind w:left="0" w:right="0" w:hanging="0"/>
              <w:jc w:val="right"/>
              <w:rPr>
                <w:sz w:val="20"/>
              </w:rPr>
            </w:pPr>
            <w:r>
              <w:rPr>
                <w:sz w:val="20"/>
              </w:rPr>
              <w:t>(12</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850" w:type="dxa"/>
            <w:tcBorders/>
            <w:shd w:fill="CCEEFF" w:val="clear"/>
            <w:vAlign w:val="center"/>
          </w:tcPr>
          <w:p>
            <w:pPr>
              <w:pStyle w:val="TableContents"/>
              <w:bidi w:val="0"/>
              <w:spacing w:before="0" w:after="283"/>
              <w:ind w:left="0" w:right="0" w:hanging="0"/>
              <w:jc w:val="right"/>
              <w:rPr/>
            </w:pPr>
            <w:r>
              <w:rPr/>
              <w:t>—</w:t>
            </w:r>
          </w:p>
        </w:tc>
        <w:tc>
          <w:tcPr>
            <w:tcW w:w="145" w:type="dxa"/>
            <w:tcBorders/>
            <w:shd w:fill="CCEEFF" w:val="clear"/>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Receivables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868</w:t>
            </w:r>
          </w:p>
        </w:tc>
        <w:tc>
          <w:tcPr>
            <w:tcW w:w="14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Legal settlement receivable </w:t>
            </w:r>
          </w:p>
        </w:tc>
        <w:tc>
          <w:tcPr>
            <w:tcW w:w="118"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1178" w:type="dxa"/>
            <w:tcBorders/>
            <w:vAlign w:val="center"/>
          </w:tcPr>
          <w:p>
            <w:pPr>
              <w:pStyle w:val="TableContents"/>
              <w:bidi w:val="0"/>
              <w:spacing w:before="0" w:after="283"/>
              <w:ind w:left="0" w:right="0" w:hanging="0"/>
              <w:jc w:val="right"/>
              <w:rPr>
                <w:sz w:val="20"/>
              </w:rPr>
            </w:pPr>
            <w:r>
              <w:rPr>
                <w:sz w:val="20"/>
              </w:rPr>
              <w:t>55,000</w:t>
            </w:r>
          </w:p>
        </w:tc>
        <w:tc>
          <w:tcPr>
            <w:tcW w:w="185" w:type="dxa"/>
            <w:tcBorders/>
            <w:vAlign w:val="center"/>
          </w:tcPr>
          <w:p>
            <w:pPr>
              <w:pStyle w:val="TableContents"/>
              <w:bidi w:val="0"/>
              <w:spacing w:before="0" w:after="283"/>
              <w:ind w:left="0" w:right="0" w:hanging="0"/>
              <w:jc w:val="left"/>
              <w:rPr/>
            </w:pPr>
            <w:r>
              <w:rPr/>
            </w:r>
          </w:p>
        </w:tc>
        <w:tc>
          <w:tcPr>
            <w:tcW w:w="185"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850" w:type="dxa"/>
            <w:tcBorders/>
            <w:vAlign w:val="center"/>
          </w:tcPr>
          <w:p>
            <w:pPr>
              <w:pStyle w:val="TableContents"/>
              <w:bidi w:val="0"/>
              <w:spacing w:before="0" w:after="283"/>
              <w:ind w:left="0" w:right="0" w:hanging="0"/>
              <w:jc w:val="right"/>
              <w:rPr/>
            </w:pPr>
            <w:r>
              <w:rPr/>
              <w:t>—</w:t>
            </w:r>
          </w:p>
        </w:tc>
        <w:tc>
          <w:tcPr>
            <w:tcW w:w="145" w:type="dxa"/>
            <w:tcBorders/>
            <w:vAlign w:val="center"/>
          </w:tcPr>
          <w:p>
            <w:pPr>
              <w:pStyle w:val="TableContents"/>
              <w:bidi w:val="0"/>
              <w:spacing w:before="0" w:after="283"/>
              <w:jc w:val="left"/>
              <w:rPr/>
            </w:pPr>
            <w:r>
              <w:rPr/>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4,035</w:t>
            </w:r>
          </w:p>
        </w:tc>
        <w:tc>
          <w:tcPr>
            <w:tcW w:w="185" w:type="dxa"/>
            <w:tcBorders/>
            <w:vAlign w:val="center"/>
          </w:tcPr>
          <w:p>
            <w:pPr>
              <w:pStyle w:val="TableContents"/>
              <w:bidi w:val="0"/>
              <w:spacing w:before="0" w:after="283"/>
              <w:ind w:left="0" w:right="0" w:hanging="0"/>
              <w:jc w:val="left"/>
              <w:rPr>
                <w:sz w:val="4"/>
                <w:szCs w:val="4"/>
              </w:rPr>
            </w:pPr>
            <w:r>
              <w:rPr>
                <w:sz w:val="4"/>
                <w:szCs w:val="4"/>
              </w:rPr>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2,051</w:t>
            </w:r>
          </w:p>
        </w:tc>
        <w:tc>
          <w:tcPr>
            <w:tcW w:w="145"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(3,336</w:t>
            </w:r>
          </w:p>
        </w:tc>
        <w:tc>
          <w:tcPr>
            <w:tcW w:w="145" w:type="dxa"/>
            <w:tcBorders/>
            <w:shd w:fill="CCEEFF" w:val="clear"/>
            <w:vAlign w:val="center"/>
          </w:tcPr>
          <w:p>
            <w:pPr>
              <w:pStyle w:val="TableContents"/>
              <w:bidi w:val="0"/>
              <w:spacing w:before="0" w:after="0"/>
              <w:jc w:val="left"/>
              <w:rPr>
                <w:sz w:val="20"/>
              </w:rPr>
            </w:pPr>
            <w:r>
              <w:rPr>
                <w:sz w:val="20"/>
              </w:rPr>
              <w:t>)</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w:t>
            </w:r>
          </w:p>
        </w:tc>
        <w:tc>
          <w:tcPr>
            <w:tcW w:w="185"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p>
        </w:tc>
        <w:tc>
          <w:tcPr>
            <w:tcW w:w="145" w:type="dxa"/>
            <w:tcBorders/>
            <w:vAlign w:val="center"/>
          </w:tcPr>
          <w:p>
            <w:pPr>
              <w:pStyle w:val="TableContents"/>
              <w:bidi w:val="0"/>
              <w:spacing w:before="0" w:after="0"/>
              <w:jc w:val="left"/>
              <w:rPr/>
            </w:pPr>
            <w:r>
              <w:rPr/>
              <w:t>)</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taxes receivable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(5,310</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185"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45"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liabilities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w:t>
            </w:r>
          </w:p>
        </w:tc>
        <w:tc>
          <w:tcPr>
            <w:tcW w:w="145" w:type="dxa"/>
            <w:tcBorders/>
            <w:shd w:fill="CCEEFF" w:val="clear"/>
            <w:vAlign w:val="center"/>
          </w:tcPr>
          <w:p>
            <w:pPr>
              <w:pStyle w:val="TableContents"/>
              <w:bidi w:val="0"/>
              <w:spacing w:before="0" w:after="0"/>
              <w:jc w:val="left"/>
              <w:rPr>
                <w:sz w:val="20"/>
              </w:rPr>
            </w:pPr>
            <w:r>
              <w:rPr>
                <w:sz w:val="20"/>
              </w:rPr>
              <w:t>)</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operating activities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51,143</w:t>
            </w:r>
          </w:p>
        </w:tc>
        <w:tc>
          <w:tcPr>
            <w:tcW w:w="185" w:type="dxa"/>
            <w:tcBorders/>
            <w:vAlign w:val="center"/>
          </w:tcPr>
          <w:p>
            <w:pPr>
              <w:pStyle w:val="TableContents"/>
              <w:bidi w:val="0"/>
              <w:spacing w:before="0" w:after="283"/>
              <w:ind w:left="0" w:right="0" w:hanging="0"/>
              <w:jc w:val="left"/>
              <w:rPr>
                <w:sz w:val="4"/>
                <w:szCs w:val="4"/>
              </w:rPr>
            </w:pPr>
            <w:r>
              <w:rPr>
                <w:sz w:val="4"/>
                <w:szCs w:val="4"/>
              </w:rPr>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(2,060</w:t>
            </w:r>
          </w:p>
        </w:tc>
        <w:tc>
          <w:tcPr>
            <w:tcW w:w="145" w:type="dxa"/>
            <w:tcBorders/>
            <w:vAlign w:val="center"/>
          </w:tcPr>
          <w:p>
            <w:pPr>
              <w:pStyle w:val="TableContents"/>
              <w:bidi w:val="0"/>
              <w:spacing w:before="0" w:after="0"/>
              <w:jc w:val="left"/>
              <w:rPr/>
            </w:pPr>
            <w:r>
              <w:rPr/>
              <w:t>)</w:t>
            </w:r>
          </w:p>
        </w:tc>
      </w:tr>
      <w:tr>
        <w:trPr/>
        <w:tc>
          <w:tcPr>
            <w:tcW w:w="7018" w:type="dxa"/>
            <w:tcBorders/>
            <w:shd w:fill="CCEEFF" w:val="clear"/>
            <w:vAlign w:val="center"/>
          </w:tcPr>
          <w:p>
            <w:pPr>
              <w:pStyle w:val="TableContents"/>
              <w:bidi w:val="0"/>
              <w:spacing w:before="0" w:after="0"/>
              <w:ind w:left="0" w:right="0" w:hanging="0"/>
              <w:jc w:val="left"/>
              <w:rPr/>
            </w:pPr>
            <w:r>
              <w:rPr/>
              <w:t xml:space="preserve">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investing activities: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property and equipment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45" w:type="dxa"/>
            <w:tcBorders/>
            <w:shd w:fill="CCEEFF" w:val="clear"/>
            <w:vAlign w:val="center"/>
          </w:tcPr>
          <w:p>
            <w:pPr>
              <w:pStyle w:val="TableContents"/>
              <w:bidi w:val="0"/>
              <w:spacing w:before="0" w:after="0"/>
              <w:jc w:val="left"/>
              <w:rPr>
                <w:sz w:val="20"/>
              </w:rPr>
            </w:pPr>
            <w:r>
              <w:rPr>
                <w:sz w:val="20"/>
              </w:rPr>
              <w:t>)</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intangibles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w:t>
            </w:r>
          </w:p>
        </w:tc>
        <w:tc>
          <w:tcPr>
            <w:tcW w:w="185"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w:t>
            </w:r>
          </w:p>
        </w:tc>
        <w:tc>
          <w:tcPr>
            <w:tcW w:w="145" w:type="dxa"/>
            <w:tcBorders/>
            <w:vAlign w:val="center"/>
          </w:tcPr>
          <w:p>
            <w:pPr>
              <w:pStyle w:val="TableContents"/>
              <w:bidi w:val="0"/>
              <w:spacing w:before="0" w:after="0"/>
              <w:jc w:val="left"/>
              <w:rPr>
                <w:sz w:val="20"/>
              </w:rPr>
            </w:pPr>
            <w:r>
              <w:rPr>
                <w:sz w:val="20"/>
              </w:rPr>
              <w:t>)</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Capitalized patent defense costs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p>
        </w:tc>
        <w:tc>
          <w:tcPr>
            <w:tcW w:w="145" w:type="dxa"/>
            <w:tcBorders/>
            <w:shd w:fill="CCEEFF" w:val="clear"/>
            <w:vAlign w:val="center"/>
          </w:tcPr>
          <w:p>
            <w:pPr>
              <w:pStyle w:val="TableContents"/>
              <w:bidi w:val="0"/>
              <w:spacing w:before="0" w:after="0"/>
              <w:jc w:val="left"/>
              <w:rPr>
                <w:sz w:val="20"/>
              </w:rPr>
            </w:pPr>
            <w:r>
              <w:rPr>
                <w:sz w:val="20"/>
              </w:rPr>
              <w:t>)</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maturities and sales of marketable securities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3,094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3,008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Purchases of marketable securities</w:t>
            </w:r>
          </w:p>
        </w:tc>
        <w:tc>
          <w:tcPr>
            <w:tcW w:w="118"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1178" w:type="dxa"/>
            <w:tcBorders/>
            <w:shd w:fill="CCEEFF" w:val="clear"/>
            <w:vAlign w:val="center"/>
          </w:tcPr>
          <w:p>
            <w:pPr>
              <w:pStyle w:val="TableContents"/>
              <w:bidi w:val="0"/>
              <w:spacing w:before="0" w:after="283"/>
              <w:ind w:left="0" w:right="0" w:hanging="0"/>
              <w:jc w:val="right"/>
              <w:rPr>
                <w:sz w:val="20"/>
              </w:rPr>
            </w:pPr>
            <w:r>
              <w:rPr>
                <w:sz w:val="20"/>
              </w:rPr>
              <w:t>(9,389</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850" w:type="dxa"/>
            <w:tcBorders/>
            <w:shd w:fill="CCEEFF" w:val="clear"/>
            <w:vAlign w:val="center"/>
          </w:tcPr>
          <w:p>
            <w:pPr>
              <w:pStyle w:val="TableContents"/>
              <w:bidi w:val="0"/>
              <w:spacing w:before="0" w:after="283"/>
              <w:ind w:left="0" w:right="0" w:hanging="0"/>
              <w:jc w:val="right"/>
              <w:rPr/>
            </w:pPr>
            <w:r>
              <w:rPr/>
              <w:t>—</w:t>
            </w:r>
          </w:p>
        </w:tc>
        <w:tc>
          <w:tcPr>
            <w:tcW w:w="145" w:type="dxa"/>
            <w:tcBorders/>
            <w:shd w:fill="CCEEFF" w:val="clear"/>
            <w:vAlign w:val="center"/>
          </w:tcPr>
          <w:p>
            <w:pPr>
              <w:pStyle w:val="TableContents"/>
              <w:bidi w:val="0"/>
              <w:spacing w:before="0" w:after="283"/>
              <w:jc w:val="left"/>
              <w:rPr/>
            </w:pPr>
            <w:r>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investing activities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(6,778</w:t>
            </w:r>
          </w:p>
        </w:tc>
        <w:tc>
          <w:tcPr>
            <w:tcW w:w="185" w:type="dxa"/>
            <w:tcBorders/>
            <w:vAlign w:val="bottom"/>
          </w:tcPr>
          <w:p>
            <w:pPr>
              <w:pStyle w:val="TableContents"/>
              <w:bidi w:val="0"/>
              <w:spacing w:before="0" w:after="0"/>
              <w:ind w:left="0" w:right="0" w:hanging="0"/>
              <w:jc w:val="left"/>
              <w:rPr/>
            </w:pPr>
            <w:r>
              <w:rPr/>
              <w:t>)</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2,256</w:t>
            </w:r>
          </w:p>
        </w:tc>
        <w:tc>
          <w:tcPr>
            <w:tcW w:w="145"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CCEEFF" w:val="clear"/>
            <w:vAlign w:val="center"/>
          </w:tcPr>
          <w:p>
            <w:pPr>
              <w:pStyle w:val="TableContents"/>
              <w:bidi w:val="0"/>
              <w:spacing w:before="0" w:after="0"/>
              <w:ind w:left="0" w:right="0" w:hanging="0"/>
              <w:jc w:val="left"/>
              <w:rPr/>
            </w:pPr>
            <w:r>
              <w:rPr/>
              <w:t xml:space="preserve">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283"/>
              <w:ind w:left="0" w:right="0" w:hanging="0"/>
              <w:jc w:val="left"/>
              <w:rPr/>
            </w:pPr>
            <w:r>
              <w:rPr/>
              <w:t>Dividend payment</w:t>
            </w:r>
          </w:p>
        </w:tc>
        <w:tc>
          <w:tcPr>
            <w:tcW w:w="118"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1178" w:type="dxa"/>
            <w:tcBorders/>
            <w:shd w:fill="CCEEFF" w:val="clear"/>
            <w:vAlign w:val="center"/>
          </w:tcPr>
          <w:p>
            <w:pPr>
              <w:pStyle w:val="TableContents"/>
              <w:bidi w:val="0"/>
              <w:spacing w:before="0" w:after="283"/>
              <w:ind w:left="0" w:right="0" w:hanging="0"/>
              <w:jc w:val="right"/>
              <w:rPr/>
            </w:pPr>
            <w:r>
              <w:rPr/>
              <w:t>(28,979</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850" w:type="dxa"/>
            <w:tcBorders/>
            <w:shd w:fill="CCEEFF" w:val="clear"/>
            <w:vAlign w:val="center"/>
          </w:tcPr>
          <w:p>
            <w:pPr>
              <w:pStyle w:val="TableContents"/>
              <w:bidi w:val="0"/>
              <w:spacing w:before="0" w:after="283"/>
              <w:ind w:left="0" w:right="0" w:hanging="0"/>
              <w:jc w:val="right"/>
              <w:rPr/>
            </w:pPr>
            <w:r>
              <w:rPr/>
              <w:t>—</w:t>
            </w:r>
          </w:p>
        </w:tc>
        <w:tc>
          <w:tcPr>
            <w:tcW w:w="145" w:type="dxa"/>
            <w:tcBorders/>
            <w:shd w:fill="CCEEFF" w:val="clear"/>
            <w:vAlign w:val="center"/>
          </w:tcPr>
          <w:p>
            <w:pPr>
              <w:pStyle w:val="TableContents"/>
              <w:bidi w:val="0"/>
              <w:spacing w:before="0" w:after="283"/>
              <w:jc w:val="left"/>
              <w:rPr/>
            </w:pPr>
            <w:r>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proceeds from equity-based compensation programs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145" w:type="dxa"/>
            <w:tcBorders/>
            <w:vAlign w:val="center"/>
          </w:tcPr>
          <w:p>
            <w:pPr>
              <w:pStyle w:val="TableContents"/>
              <w:pBdr/>
              <w:bidi w:val="0"/>
              <w:spacing w:before="0" w:after="0"/>
              <w:ind w:left="18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Paycheck Protection Program loan refund upon full forgiveness net of loan payments </w:t>
            </w:r>
          </w:p>
        </w:tc>
        <w:tc>
          <w:tcPr>
            <w:tcW w:w="118"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117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ind w:left="0" w:right="0" w:hanging="0"/>
              <w:jc w:val="left"/>
              <w:rPr/>
            </w:pPr>
            <w:r>
              <w:rPr/>
            </w:r>
          </w:p>
        </w:tc>
        <w:tc>
          <w:tcPr>
            <w:tcW w:w="185" w:type="dxa"/>
            <w:tcBorders/>
            <w:shd w:fill="CCEEFF" w:val="clear"/>
            <w:vAlign w:val="center"/>
          </w:tcPr>
          <w:p>
            <w:pPr>
              <w:pStyle w:val="TableContents"/>
              <w:bidi w:val="0"/>
              <w:spacing w:before="0" w:after="283"/>
              <w:ind w:left="0" w:right="0" w:hanging="0"/>
              <w:jc w:val="left"/>
              <w:rPr/>
            </w:pPr>
            <w:r>
              <w:rPr/>
            </w:r>
          </w:p>
        </w:tc>
        <w:tc>
          <w:tcPr>
            <w:tcW w:w="263" w:type="dxa"/>
            <w:tcBorders/>
            <w:shd w:fill="CCEEFF" w:val="clear"/>
            <w:vAlign w:val="center"/>
          </w:tcPr>
          <w:p>
            <w:pPr>
              <w:pStyle w:val="TableContents"/>
              <w:bidi w:val="0"/>
              <w:spacing w:before="0" w:after="283"/>
              <w:jc w:val="left"/>
              <w:rPr/>
            </w:pPr>
            <w:r>
              <w:rPr/>
            </w:r>
          </w:p>
        </w:tc>
        <w:tc>
          <w:tcPr>
            <w:tcW w:w="850" w:type="dxa"/>
            <w:tcBorders/>
            <w:shd w:fill="CCEEFF" w:val="clear"/>
            <w:vAlign w:val="center"/>
          </w:tcPr>
          <w:p>
            <w:pPr>
              <w:pStyle w:val="TableContents"/>
              <w:bidi w:val="0"/>
              <w:spacing w:before="0" w:after="283"/>
              <w:ind w:left="0" w:right="0" w:hanging="0"/>
              <w:jc w:val="right"/>
              <w:rPr>
                <w:sz w:val="20"/>
              </w:rPr>
            </w:pPr>
            <w:r>
              <w:rPr>
                <w:sz w:val="20"/>
              </w:rPr>
              <w:t>768</w:t>
            </w:r>
          </w:p>
        </w:tc>
        <w:tc>
          <w:tcPr>
            <w:tcW w:w="145" w:type="dxa"/>
            <w:tcBorders/>
            <w:shd w:fill="CCEEFF" w:val="clear"/>
            <w:vAlign w:val="center"/>
          </w:tcPr>
          <w:p>
            <w:pPr>
              <w:pStyle w:val="TableContents"/>
              <w:bidi w:val="0"/>
              <w:spacing w:before="0" w:after="283"/>
              <w:jc w:val="left"/>
              <w:rPr/>
            </w:pPr>
            <w:r>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Principal payments of debt </w:t>
            </w:r>
          </w:p>
        </w:tc>
        <w:tc>
          <w:tcPr>
            <w:tcW w:w="118"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1178" w:type="dxa"/>
            <w:tcBorders/>
            <w:vAlign w:val="center"/>
          </w:tcPr>
          <w:p>
            <w:pPr>
              <w:pStyle w:val="TableContents"/>
              <w:bidi w:val="0"/>
              <w:spacing w:before="0" w:after="283"/>
              <w:ind w:left="0" w:right="0" w:hanging="0"/>
              <w:jc w:val="right"/>
              <w:rPr>
                <w:sz w:val="20"/>
              </w:rPr>
            </w:pPr>
            <w:r>
              <w:rPr>
                <w:sz w:val="20"/>
              </w:rPr>
              <w:t>(2,675</w:t>
            </w:r>
          </w:p>
        </w:tc>
        <w:tc>
          <w:tcPr>
            <w:tcW w:w="185"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283"/>
              <w:ind w:left="0" w:right="0" w:hanging="0"/>
              <w:jc w:val="left"/>
              <w:rPr/>
            </w:pPr>
            <w:r>
              <w:rPr/>
            </w:r>
          </w:p>
        </w:tc>
        <w:tc>
          <w:tcPr>
            <w:tcW w:w="263" w:type="dxa"/>
            <w:tcBorders/>
            <w:vAlign w:val="center"/>
          </w:tcPr>
          <w:p>
            <w:pPr>
              <w:pStyle w:val="TableContents"/>
              <w:bidi w:val="0"/>
              <w:spacing w:before="0" w:after="283"/>
              <w:jc w:val="left"/>
              <w:rPr/>
            </w:pPr>
            <w:r>
              <w:rPr/>
            </w:r>
          </w:p>
        </w:tc>
        <w:tc>
          <w:tcPr>
            <w:tcW w:w="850" w:type="dxa"/>
            <w:tcBorders/>
            <w:vAlign w:val="center"/>
          </w:tcPr>
          <w:p>
            <w:pPr>
              <w:pStyle w:val="TableContents"/>
              <w:bidi w:val="0"/>
              <w:spacing w:before="0" w:after="283"/>
              <w:ind w:left="0" w:right="0" w:hanging="0"/>
              <w:jc w:val="right"/>
              <w:rPr>
                <w:sz w:val="20"/>
              </w:rPr>
            </w:pPr>
            <w:r>
              <w:rPr>
                <w:sz w:val="20"/>
              </w:rPr>
              <w:t>(540</w:t>
            </w:r>
          </w:p>
        </w:tc>
        <w:tc>
          <w:tcPr>
            <w:tcW w:w="145" w:type="dxa"/>
            <w:tcBorders/>
            <w:vAlign w:val="center"/>
          </w:tcPr>
          <w:p>
            <w:pPr>
              <w:pStyle w:val="TableContents"/>
              <w:bidi w:val="0"/>
              <w:spacing w:before="0" w:after="0"/>
              <w:jc w:val="left"/>
              <w:rPr>
                <w:sz w:val="20"/>
              </w:rPr>
            </w:pPr>
            <w:r>
              <w:rPr>
                <w:sz w:val="20"/>
              </w:rPr>
              <w:t>)</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financing activities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(31,650</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w:t>
            </w:r>
          </w:p>
        </w:tc>
        <w:tc>
          <w:tcPr>
            <w:tcW w:w="145" w:type="dxa"/>
            <w:tcBorders/>
            <w:shd w:fill="CCEEFF" w:val="clear"/>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left"/>
              <w:rPr/>
            </w:pPr>
            <w:r>
              <w:rPr/>
              <w:t xml:space="preserve">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 </w:t>
            </w:r>
          </w:p>
        </w:tc>
        <w:tc>
          <w:tcPr>
            <w:tcW w:w="14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018" w:type="dxa"/>
            <w:tcBorders/>
            <w:vAlign w:val="center"/>
          </w:tcPr>
          <w:p>
            <w:pPr>
              <w:pStyle w:val="TableContents"/>
              <w:bidi w:val="0"/>
              <w:spacing w:before="0" w:after="0"/>
              <w:ind w:left="0" w:right="0" w:hanging="0"/>
              <w:jc w:val="left"/>
              <w:rPr/>
            </w:pPr>
            <w:r>
              <w:rPr/>
              <w:t xml:space="preserve">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increase in cash and cash equivalents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12,710</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w:t>
            </w:r>
          </w:p>
        </w:tc>
        <w:tc>
          <w:tcPr>
            <w:tcW w:w="145" w:type="dxa"/>
            <w:tcBorders/>
            <w:shd w:fill="CCEEFF" w:val="clear"/>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beginning of the period </w:t>
            </w:r>
          </w:p>
        </w:tc>
        <w:tc>
          <w:tcPr>
            <w:tcW w:w="118"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117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984 </w:t>
            </w:r>
          </w:p>
        </w:tc>
        <w:tc>
          <w:tcPr>
            <w:tcW w:w="185" w:type="dxa"/>
            <w:tcBorders/>
            <w:vAlign w:val="center"/>
          </w:tcPr>
          <w:p>
            <w:pPr>
              <w:pStyle w:val="TableContents"/>
              <w:pBdr/>
              <w:bidi w:val="0"/>
              <w:spacing w:before="0" w:after="0"/>
              <w:ind w:left="0" w:right="0" w:hanging="0"/>
              <w:jc w:val="left"/>
              <w:rPr/>
            </w:pPr>
            <w:r>
              <w:rPr/>
              <w:t xml:space="preserve">  </w:t>
            </w:r>
          </w:p>
        </w:tc>
        <w:tc>
          <w:tcPr>
            <w:tcW w:w="185" w:type="dxa"/>
            <w:tcBorders/>
            <w:vAlign w:val="center"/>
          </w:tcPr>
          <w:p>
            <w:pPr>
              <w:pStyle w:val="TableContents"/>
              <w:pBdr/>
              <w:bidi w:val="0"/>
              <w:spacing w:before="0" w:after="0"/>
              <w:ind w:left="0" w:right="0" w:hanging="0"/>
              <w:jc w:val="left"/>
              <w:rPr/>
            </w:pPr>
            <w:r>
              <w:rPr/>
              <w:t xml:space="preserve">  </w:t>
            </w:r>
          </w:p>
        </w:tc>
        <w:tc>
          <w:tcPr>
            <w:tcW w:w="263" w:type="dxa"/>
            <w:tcBorders/>
            <w:vAlign w:val="center"/>
          </w:tcPr>
          <w:p>
            <w:pPr>
              <w:pStyle w:val="TableContents"/>
              <w:pBdr/>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1,071 </w:t>
            </w:r>
          </w:p>
        </w:tc>
        <w:tc>
          <w:tcPr>
            <w:tcW w:w="145" w:type="dxa"/>
            <w:tcBorders/>
            <w:vAlign w:val="center"/>
          </w:tcPr>
          <w:p>
            <w:pPr>
              <w:pStyle w:val="TableContents"/>
              <w:pBdr/>
              <w:bidi w:val="0"/>
              <w:spacing w:before="0" w:after="0"/>
              <w:ind w:left="0" w:right="0" w:hanging="0"/>
              <w:jc w:val="left"/>
              <w:rPr/>
            </w:pPr>
            <w:r>
              <w:rPr/>
              <w:t xml:space="preserve">  </w:t>
            </w:r>
          </w:p>
        </w:tc>
      </w:tr>
      <w:tr>
        <w:trPr/>
        <w:tc>
          <w:tcPr>
            <w:tcW w:w="70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end of the period  </w:t>
            </w:r>
          </w:p>
        </w:tc>
        <w:tc>
          <w:tcPr>
            <w:tcW w:w="118"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13,694</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5" w:type="dxa"/>
            <w:tcBorders/>
            <w:shd w:fill="CCEEFF" w:val="clear"/>
            <w:vAlign w:val="center"/>
          </w:tcPr>
          <w:p>
            <w:pPr>
              <w:pStyle w:val="TableContents"/>
              <w:pBdr/>
              <w:bidi w:val="0"/>
              <w:spacing w:before="0" w:after="0"/>
              <w:ind w:left="0" w:right="0" w:hanging="0"/>
              <w:jc w:val="left"/>
              <w:rPr/>
            </w:pPr>
            <w:r>
              <w:rPr/>
              <w:t xml:space="preserve">  </w:t>
            </w:r>
          </w:p>
        </w:tc>
        <w:tc>
          <w:tcPr>
            <w:tcW w:w="263"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1,450</w:t>
            </w:r>
          </w:p>
        </w:tc>
        <w:tc>
          <w:tcPr>
            <w:tcW w:w="145" w:type="dxa"/>
            <w:tcBorders/>
            <w:shd w:fill="CCEEFF" w:val="clear"/>
            <w:vAlign w:val="center"/>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is a summary of supplemental cash flow activities:</w:t>
      </w:r>
    </w:p>
    <w:p>
      <w:pPr>
        <w:pStyle w:val="TextBody"/>
        <w:bidi w:val="0"/>
        <w:spacing w:before="0" w:after="0"/>
        <w:ind w:left="144" w:right="144"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226"/>
        <w:gridCol w:w="223"/>
        <w:gridCol w:w="628"/>
        <w:gridCol w:w="1959"/>
        <w:gridCol w:w="443"/>
        <w:gridCol w:w="443"/>
        <w:gridCol w:w="627"/>
        <w:gridCol w:w="1404"/>
        <w:gridCol w:w="252"/>
      </w:tblGrid>
      <w:tr>
        <w:trPr/>
        <w:tc>
          <w:tcPr>
            <w:tcW w:w="4226" w:type="dxa"/>
            <w:tcBorders/>
            <w:vAlign w:val="center"/>
          </w:tcPr>
          <w:p>
            <w:pPr>
              <w:pStyle w:val="TableContents"/>
              <w:bidi w:val="0"/>
              <w:spacing w:before="0" w:after="0"/>
              <w:ind w:left="0" w:right="0" w:hanging="0"/>
              <w:jc w:val="left"/>
              <w:rPr/>
            </w:pPr>
            <w:r>
              <w:rPr/>
              <w:t xml:space="preserve">  </w:t>
            </w:r>
          </w:p>
        </w:tc>
        <w:tc>
          <w:tcPr>
            <w:tcW w:w="223" w:type="dxa"/>
            <w:tcBorders/>
            <w:vAlign w:val="center"/>
          </w:tcPr>
          <w:p>
            <w:pPr>
              <w:pStyle w:val="TableContents"/>
              <w:bidi w:val="0"/>
              <w:spacing w:before="0" w:after="0"/>
              <w:ind w:left="0" w:right="0" w:hanging="0"/>
              <w:jc w:val="left"/>
              <w:rPr/>
            </w:pPr>
            <w:r>
              <w:rPr/>
              <w:t xml:space="preserve">  </w:t>
            </w:r>
          </w:p>
        </w:tc>
        <w:tc>
          <w:tcPr>
            <w:tcW w:w="5504"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Nine Months Ended September 30, </w:t>
            </w:r>
          </w:p>
        </w:tc>
        <w:tc>
          <w:tcPr>
            <w:tcW w:w="252" w:type="dxa"/>
            <w:tcBorders/>
            <w:vAlign w:val="center"/>
          </w:tcPr>
          <w:p>
            <w:pPr>
              <w:pStyle w:val="TableContents"/>
              <w:bidi w:val="0"/>
              <w:spacing w:before="0" w:after="0"/>
              <w:ind w:left="0" w:right="0" w:hanging="0"/>
              <w:jc w:val="left"/>
              <w:rPr/>
            </w:pPr>
            <w:r>
              <w:rPr/>
              <w:t xml:space="preserve">  </w:t>
            </w:r>
          </w:p>
        </w:tc>
      </w:tr>
      <w:tr>
        <w:trPr/>
        <w:tc>
          <w:tcPr>
            <w:tcW w:w="4226" w:type="dxa"/>
            <w:tcBorders/>
            <w:vAlign w:val="center"/>
          </w:tcPr>
          <w:p>
            <w:pPr>
              <w:pStyle w:val="TableContents"/>
              <w:bidi w:val="0"/>
              <w:spacing w:before="0" w:after="0"/>
              <w:ind w:left="0" w:right="0" w:hanging="0"/>
              <w:jc w:val="left"/>
              <w:rPr/>
            </w:pPr>
            <w:r>
              <w:rPr/>
              <w:t xml:space="preserve">  </w:t>
            </w:r>
          </w:p>
        </w:tc>
        <w:tc>
          <w:tcPr>
            <w:tcW w:w="223" w:type="dxa"/>
            <w:tcBorders/>
            <w:vAlign w:val="center"/>
          </w:tcPr>
          <w:p>
            <w:pPr>
              <w:pStyle w:val="TableContents"/>
              <w:bidi w:val="0"/>
              <w:spacing w:before="0" w:after="0"/>
              <w:ind w:left="0" w:right="0" w:hanging="0"/>
              <w:jc w:val="left"/>
              <w:rPr/>
            </w:pPr>
            <w:r>
              <w:rPr/>
              <w:t xml:space="preserve">  </w:t>
            </w:r>
          </w:p>
        </w:tc>
        <w:tc>
          <w:tcPr>
            <w:tcW w:w="258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443" w:type="dxa"/>
            <w:tcBorders/>
            <w:vAlign w:val="center"/>
          </w:tcPr>
          <w:p>
            <w:pPr>
              <w:pStyle w:val="TableContents"/>
              <w:bidi w:val="0"/>
              <w:spacing w:before="0" w:after="0"/>
              <w:ind w:left="0" w:right="0" w:hanging="0"/>
              <w:jc w:val="left"/>
              <w:rPr/>
            </w:pPr>
            <w:r>
              <w:rPr/>
              <w:t xml:space="preserve">  </w:t>
            </w:r>
          </w:p>
        </w:tc>
        <w:tc>
          <w:tcPr>
            <w:tcW w:w="443" w:type="dxa"/>
            <w:tcBorders/>
            <w:vAlign w:val="center"/>
          </w:tcPr>
          <w:p>
            <w:pPr>
              <w:pStyle w:val="TableContents"/>
              <w:bidi w:val="0"/>
              <w:spacing w:before="0" w:after="0"/>
              <w:ind w:left="0" w:right="0" w:hanging="0"/>
              <w:jc w:val="left"/>
              <w:rPr/>
            </w:pPr>
            <w:r>
              <w:rPr/>
              <w:t xml:space="preserve">  </w:t>
            </w:r>
          </w:p>
        </w:tc>
        <w:tc>
          <w:tcPr>
            <w:tcW w:w="203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252" w:type="dxa"/>
            <w:tcBorders/>
            <w:vAlign w:val="center"/>
          </w:tcPr>
          <w:p>
            <w:pPr>
              <w:pStyle w:val="TableContents"/>
              <w:bidi w:val="0"/>
              <w:spacing w:before="0" w:after="0"/>
              <w:ind w:left="0" w:right="0" w:hanging="0"/>
              <w:jc w:val="left"/>
              <w:rPr/>
            </w:pPr>
            <w:r>
              <w:rPr/>
              <w:t xml:space="preserve">  </w:t>
            </w:r>
          </w:p>
        </w:tc>
      </w:tr>
      <w:tr>
        <w:trPr/>
        <w:tc>
          <w:tcPr>
            <w:tcW w:w="42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223" w:type="dxa"/>
            <w:tcBorders/>
            <w:shd w:fill="CCEEFF" w:val="clear"/>
            <w:vAlign w:val="center"/>
          </w:tcPr>
          <w:p>
            <w:pPr>
              <w:pStyle w:val="TableContents"/>
              <w:bidi w:val="0"/>
              <w:spacing w:before="0" w:after="0"/>
              <w:ind w:left="0" w:right="0" w:hanging="0"/>
              <w:jc w:val="left"/>
              <w:rPr/>
            </w:pPr>
            <w:r>
              <w:rPr/>
              <w:t xml:space="preserve">  </w:t>
            </w:r>
          </w:p>
        </w:tc>
        <w:tc>
          <w:tcPr>
            <w:tcW w:w="6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6,650 </w:t>
            </w:r>
          </w:p>
        </w:tc>
        <w:tc>
          <w:tcPr>
            <w:tcW w:w="443" w:type="dxa"/>
            <w:tcBorders/>
            <w:shd w:fill="CCEEFF" w:val="clear"/>
            <w:vAlign w:val="center"/>
          </w:tcPr>
          <w:p>
            <w:pPr>
              <w:pStyle w:val="TableContents"/>
              <w:bidi w:val="0"/>
              <w:spacing w:before="0" w:after="0"/>
              <w:ind w:left="0" w:right="0" w:hanging="0"/>
              <w:jc w:val="left"/>
              <w:rPr/>
            </w:pPr>
            <w:r>
              <w:rPr/>
              <w:t xml:space="preserve">  </w:t>
            </w:r>
          </w:p>
        </w:tc>
        <w:tc>
          <w:tcPr>
            <w:tcW w:w="443" w:type="dxa"/>
            <w:tcBorders/>
            <w:shd w:fill="CCEEFF" w:val="clear"/>
            <w:vAlign w:val="center"/>
          </w:tcPr>
          <w:p>
            <w:pPr>
              <w:pStyle w:val="TableContents"/>
              <w:bidi w:val="0"/>
              <w:spacing w:before="0" w:after="0"/>
              <w:ind w:left="0" w:right="0" w:hanging="0"/>
              <w:jc w:val="left"/>
              <w:rPr/>
            </w:pPr>
            <w:r>
              <w:rPr/>
              <w:t xml:space="preserve">  </w:t>
            </w:r>
          </w:p>
        </w:tc>
        <w:tc>
          <w:tcPr>
            <w:tcW w:w="6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68 </w:t>
            </w:r>
          </w:p>
        </w:tc>
        <w:tc>
          <w:tcPr>
            <w:tcW w:w="252" w:type="dxa"/>
            <w:tcBorders/>
            <w:shd w:fill="CCEEFF" w:val="clear"/>
            <w:vAlign w:val="center"/>
          </w:tcPr>
          <w:p>
            <w:pPr>
              <w:pStyle w:val="TableContents"/>
              <w:bidi w:val="0"/>
              <w:spacing w:before="0" w:after="0"/>
              <w:ind w:left="0" w:right="0" w:hanging="0"/>
              <w:jc w:val="left"/>
              <w:rPr/>
            </w:pPr>
            <w:r>
              <w:rPr/>
              <w:t xml:space="preserve">  </w:t>
            </w:r>
          </w:p>
        </w:tc>
      </w:tr>
      <w:tr>
        <w:trPr/>
        <w:tc>
          <w:tcPr>
            <w:tcW w:w="4226" w:type="dxa"/>
            <w:tcBorders/>
            <w:vAlign w:val="center"/>
          </w:tcPr>
          <w:p>
            <w:pPr>
              <w:pStyle w:val="TableContents"/>
              <w:bidi w:val="0"/>
              <w:spacing w:before="0" w:after="283"/>
              <w:jc w:val="left"/>
              <w:rPr/>
            </w:pPr>
            <w:r>
              <w:rPr/>
              <w:t>Cash paid for interest</w:t>
            </w:r>
          </w:p>
        </w:tc>
        <w:tc>
          <w:tcPr>
            <w:tcW w:w="2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right"/>
              <w:rPr/>
            </w:pPr>
            <w:r>
              <w:rPr/>
              <w:t>311</w:t>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right"/>
              <w:rPr/>
            </w:pPr>
            <w:r>
              <w:rPr/>
              <w:t>140</w:t>
            </w:r>
          </w:p>
        </w:tc>
        <w:tc>
          <w:tcPr>
            <w:tcW w:w="2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9">
        <w:bookmarkStart w:id="47" w:name="BF_IMSU8UN3GG00000000000000000000"/>
        <w:bookmarkEnd w:id="47"/>
        <w:r>
          <w:rPr>
            <w:rStyle w:val="InternetLink"/>
            <w:rFonts w:ascii="Times New Roman" w:hAnsi="Times New Roman"/>
            <w:b/>
            <w:strike w:val="false"/>
            <w:dstrike w:val="false"/>
            <w:color w:val="000000"/>
            <w:sz w:val="20"/>
            <w:u w:val="none"/>
            <w:effect w:val="none"/>
          </w:rPr>
          <w:t>UNAUDITED NOTES TO CONDENSED CONSOLIDATED FINANCIAL STATEMENTS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 Inc., together with its subsidiaries (collectively, “ClearOne” or the “Company”), is a global market leader enabling conferencing, collaboration, and AV</w:t>
      </w:r>
      <w:r>
        <w:rPr>
          <w:rFonts w:ascii="times new roman;times" w:hAnsi="times new roman;times"/>
          <w:sz w:val="20"/>
        </w:rPr>
        <w:t> </w:t>
      </w:r>
      <w:r>
        <w:rPr>
          <w:rFonts w:ascii="Times New Roman" w:hAnsi="Times New Roman"/>
          <w:sz w:val="20"/>
        </w:rPr>
        <w:t>streaming solutions for voice and visual communications. The performance and simplicity of our advanced, comprehensive solutions offer unprecedented levels of functionality, reliability and scalability.</w:t>
      </w:r>
    </w:p>
    <w:p>
      <w:pPr>
        <w:pStyle w:val="TextBody"/>
        <w:bidi w:val="0"/>
        <w:spacing w:lineRule="auto" w:line="288"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fiscal year for ClearOne is the twelve months ending on December 31. The condensed consolidated financial statements include the accounts of ClearOne and its subsidiaries. All significant inter-company accounts and transactions have been eliminated. </w:t>
      </w:r>
    </w:p>
    <w:p>
      <w:pPr>
        <w:pStyle w:val="TextBody"/>
        <w:bidi w:val="0"/>
        <w:spacing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2023 and December 31, 2022, the results of operations for the three and nine months ended September 30, 2023 and 2022, and the cash flows for the nine </w:t>
      </w:r>
      <w:r>
        <w:rPr>
          <w:rFonts w:ascii="Times New Roman" w:hAnsi="Times New Roman"/>
          <w:b w:val="false"/>
          <w:i w:val="false"/>
          <w:caps w:val="false"/>
          <w:smallCaps w:val="false"/>
          <w:color w:val="000000"/>
          <w:spacing w:val="0"/>
          <w:sz w:val="20"/>
        </w:rPr>
        <w:t>months ended September 30, 2023 </w:t>
      </w:r>
      <w:r>
        <w:rPr>
          <w:rFonts w:ascii="Times New Roman" w:hAnsi="Times New Roman"/>
          <w:sz w:val="20"/>
        </w:rPr>
        <w:t>and 2022. The results of operations for the three and nine months ended September 30, 2023 and 2022</w:t>
      </w:r>
      <w:r>
        <w:rPr>
          <w:rFonts w:ascii="times new roman;times" w:hAnsi="times new roman;times"/>
          <w:sz w:val="20"/>
        </w:rPr>
        <w:t> </w:t>
      </w:r>
      <w:r>
        <w:rPr>
          <w:rFonts w:ascii="Times New Roman" w:hAnsi="Times New Roman"/>
          <w:sz w:val="20"/>
        </w:rPr>
        <w:t>are not necessarily indicative of the results for a full-year period. These interim unaudited condensed consolidated financial statements should be read in conjunction with the financial statements included in our Annual Report on Form 10-K for the year ended December 31, 2022</w:t>
      </w:r>
      <w:r>
        <w:rPr>
          <w:rFonts w:ascii="times new roman;times" w:hAnsi="times new roman;times"/>
          <w:sz w:val="20"/>
        </w:rPr>
        <w:t> </w:t>
      </w:r>
      <w:r>
        <w:rPr>
          <w:rFonts w:ascii="Times New Roman" w:hAnsi="Times New Roman"/>
          <w:sz w:val="20"/>
        </w:rPr>
        <w:t>filed with the SEC.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significant accounting policies were described in Note 1 to the audited consolidated financial statements included in the Company’s annual report on Form 10-K for the year ended December 31, 2022. There have been no changes to these policies during the quarter ended September 30, 2023 that are of significance or potential significance to the Company.</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Recent accounting pronouncements:</w:t>
      </w:r>
      <w:r>
        <w:rPr>
          <w:rFonts w:ascii="times new roman;times" w:hAnsi="times new roman;times"/>
          <w:b w:val="false"/>
          <w:i w:val="false"/>
          <w:caps w:val="false"/>
          <w:smallCaps w:val="false"/>
          <w:color w:val="000000"/>
          <w:spacing w:val="0"/>
          <w:sz w:val="20"/>
        </w:rPr>
        <w:t> </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June 2016, the Financial Accounting Standards Board (FASB) issued Accounting Standards Update (ASU) 2016-13, Financial Instruments - Credit Losses (Topic 326). The new standard amends guidance on reporting credit losses for assets held at amortized cost basis and available-for-sale debt securities. In February 2020, the FASB issued ASU 2020-02, Financial Instruments-Credit Losses (Topic 326) and Leases (Topic 842) - Amendments to SEC Paragraphs Pursuant to SEC Staff Accounting Bulletin No. 119 and Update to SEC Section on Effective Date Related to Accounting Standards Update No. 2016-02, Leases (Topic 842), which amends the effective date of the original pronouncement for smaller reporting companies. ASU 2016-13 and its amendments will be effective for the Company for interim and annual periods in fiscal years beginning after December 15, 2022. CECL estimates of expected credit losses on trade receivables over their life will be required to be recorded at inception, based on historical information, current conditions, and reasonable and supportable forecasts. The Company adopted the standard in its first quarter of 2023. There was no material impact on the results of operations.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Company has determined that recently issued accounting standards, </w:t>
      </w:r>
      <w:r>
        <w:rPr>
          <w:rFonts w:ascii="Times New Roman" w:hAnsi="Times New Roman"/>
          <w:b w:val="false"/>
          <w:i w:val="false"/>
          <w:caps w:val="false"/>
          <w:smallCaps w:val="false"/>
          <w:color w:val="000000"/>
          <w:spacing w:val="0"/>
          <w:sz w:val="20"/>
        </w:rPr>
        <w:t>other than the above discussed,</w:t>
      </w:r>
      <w:r>
        <w:rPr>
          <w:rFonts w:ascii="Times New Roman" w:hAnsi="Times New Roman"/>
          <w:b w:val="false"/>
          <w:i w:val="false"/>
          <w:caps w:val="false"/>
          <w:smallCaps w:val="false"/>
          <w:color w:val="000000"/>
          <w:spacing w:val="0"/>
          <w:sz w:val="20"/>
        </w:rPr>
        <w:t> will not have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material impact on its consolidated financial position, results of operations or cash flows.</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TextBody"/>
        <w:widowControl/>
        <w:bidi w:val="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jc w:val="left"/>
        <w:rPr/>
      </w:pPr>
      <w:r>
        <w:rPr/>
      </w:r>
    </w:p>
    <w:p>
      <w:pPr>
        <w:pStyle w:val="TextBody"/>
        <w:widowControl/>
        <w:bidi w:val="0"/>
        <w:jc w:val="left"/>
        <w:rPr/>
      </w:pPr>
      <w:hyperlink w:anchor="TOC">
        <w:r>
          <w:rPr>
            <w:rStyle w:val="InternetLink"/>
            <w:rFonts w:ascii="times new roman;times" w:hAnsi="times new roman;times"/>
            <w:b w:val="false"/>
            <w:i w:val="false"/>
            <w:caps w:val="false"/>
            <w:smallCaps w:val="false"/>
            <w:color w:val="000000"/>
            <w:spacing w:val="0"/>
            <w:sz w:val="20"/>
          </w:rPr>
          <w:t>Table of Contents</w:t>
        </w:r>
      </w:hyperlink>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lineRule="auto" w:line="288" w:before="0" w:after="0"/>
        <w:ind w:left="144" w:right="144"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(Dollars in thousands, except per share amounts)</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Liquidity: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September 30, 2023, our cash and cash equivalents were approximately $13,694 compared to $984</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as of December 31, 2022. Our working capital was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$36,746 as of September 30, 2023. Net cash provided by operating activities was $51,143</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for the nine months ended September 30, 2023,</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 increase of $53,203 compared to $2,060 of cash used in operating activities for the nine months ended September 30, 2022.  The Company believes, although there can be no assurance, that the current cash position and effective management of working capital, will provide the liquidity needed to meet our operating needs through at least November 8,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2. Revenue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04"/>
        <w:gridCol w:w="156"/>
        <w:gridCol w:w="406"/>
        <w:gridCol w:w="1264"/>
        <w:gridCol w:w="286"/>
        <w:gridCol w:w="285"/>
        <w:gridCol w:w="406"/>
        <w:gridCol w:w="1264"/>
        <w:gridCol w:w="156"/>
        <w:gridCol w:w="30"/>
        <w:gridCol w:w="312"/>
        <w:gridCol w:w="1480"/>
        <w:gridCol w:w="57"/>
        <w:gridCol w:w="57"/>
        <w:gridCol w:w="313"/>
        <w:gridCol w:w="1479"/>
        <w:gridCol w:w="50"/>
      </w:tblGrid>
      <w:tr>
        <w:trPr/>
        <w:tc>
          <w:tcPr>
            <w:tcW w:w="2204" w:type="dxa"/>
            <w:tcBorders/>
            <w:vAlign w:val="center"/>
          </w:tcPr>
          <w:p>
            <w:pPr>
              <w:pStyle w:val="TableContents"/>
              <w:bidi w:val="0"/>
              <w:spacing w:before="0" w:after="0"/>
              <w:ind w:left="0" w:right="0" w:hanging="0"/>
              <w:jc w:val="left"/>
              <w:rPr/>
            </w:pPr>
            <w:r>
              <w:rPr/>
              <w:t xml:space="preserve">  </w:t>
            </w:r>
          </w:p>
        </w:tc>
        <w:tc>
          <w:tcPr>
            <w:tcW w:w="156" w:type="dxa"/>
            <w:tcBorders/>
            <w:vAlign w:val="center"/>
          </w:tcPr>
          <w:p>
            <w:pPr>
              <w:pStyle w:val="TableContents"/>
              <w:bidi w:val="0"/>
              <w:spacing w:before="0" w:after="0"/>
              <w:ind w:left="0" w:right="0" w:hanging="0"/>
              <w:jc w:val="left"/>
              <w:rPr/>
            </w:pPr>
            <w:r>
              <w:rPr/>
              <w:t xml:space="preserve">  </w:t>
            </w:r>
          </w:p>
        </w:tc>
        <w:tc>
          <w:tcPr>
            <w:tcW w:w="3911"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September 30, </w:t>
            </w:r>
          </w:p>
        </w:tc>
        <w:tc>
          <w:tcPr>
            <w:tcW w:w="156" w:type="dxa"/>
            <w:tcBorders/>
            <w:vAlign w:val="center"/>
          </w:tcPr>
          <w:p>
            <w:pPr>
              <w:pStyle w:val="TableContents"/>
              <w:bidi w:val="0"/>
              <w:spacing w:before="0" w:after="0"/>
              <w:ind w:left="0" w:right="0" w:hanging="0"/>
              <w:jc w:val="left"/>
              <w:rPr/>
            </w:pPr>
            <w:r>
              <w:rPr/>
              <w:t xml:space="preserve">  </w:t>
            </w:r>
          </w:p>
        </w:tc>
        <w:tc>
          <w:tcPr>
            <w:tcW w:w="30" w:type="dxa"/>
            <w:tcBorders/>
            <w:vAlign w:val="center"/>
          </w:tcPr>
          <w:p>
            <w:pPr>
              <w:pStyle w:val="TableContents"/>
              <w:bidi w:val="0"/>
              <w:spacing w:before="0" w:after="283"/>
              <w:jc w:val="left"/>
              <w:rPr/>
            </w:pPr>
            <w:r>
              <w:rPr/>
            </w:r>
          </w:p>
        </w:tc>
        <w:tc>
          <w:tcPr>
            <w:tcW w:w="3698"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50" w:type="dxa"/>
            <w:tcBorders/>
            <w:vAlign w:val="center"/>
          </w:tcPr>
          <w:p>
            <w:pPr>
              <w:pStyle w:val="TableContents"/>
              <w:bidi w:val="0"/>
              <w:spacing w:before="0" w:after="283"/>
              <w:jc w:val="left"/>
              <w:rPr/>
            </w:pPr>
            <w:r>
              <w:rPr/>
            </w:r>
          </w:p>
        </w:tc>
      </w:tr>
      <w:tr>
        <w:trPr/>
        <w:tc>
          <w:tcPr>
            <w:tcW w:w="2204" w:type="dxa"/>
            <w:tcBorders/>
            <w:vAlign w:val="center"/>
          </w:tcPr>
          <w:p>
            <w:pPr>
              <w:pStyle w:val="TableContents"/>
              <w:bidi w:val="0"/>
              <w:spacing w:before="0" w:after="0"/>
              <w:ind w:left="0" w:right="0" w:hanging="0"/>
              <w:jc w:val="left"/>
              <w:rPr/>
            </w:pPr>
            <w:r>
              <w:rPr/>
              <w:t xml:space="preserve">  </w:t>
            </w:r>
          </w:p>
        </w:tc>
        <w:tc>
          <w:tcPr>
            <w:tcW w:w="156" w:type="dxa"/>
            <w:tcBorders/>
            <w:vAlign w:val="center"/>
          </w:tcPr>
          <w:p>
            <w:pPr>
              <w:pStyle w:val="TableContents"/>
              <w:bidi w:val="0"/>
              <w:spacing w:before="0" w:after="0"/>
              <w:ind w:left="0" w:right="0" w:hanging="0"/>
              <w:jc w:val="left"/>
              <w:rPr/>
            </w:pPr>
            <w:r>
              <w:rPr/>
              <w:t xml:space="preserve">  </w:t>
            </w:r>
          </w:p>
        </w:tc>
        <w:tc>
          <w:tcPr>
            <w:tcW w:w="167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286" w:type="dxa"/>
            <w:tcBorders/>
            <w:vAlign w:val="center"/>
          </w:tcPr>
          <w:p>
            <w:pPr>
              <w:pStyle w:val="TableContents"/>
              <w:bidi w:val="0"/>
              <w:spacing w:before="0" w:after="0"/>
              <w:ind w:left="0" w:right="0" w:hanging="0"/>
              <w:jc w:val="left"/>
              <w:rPr/>
            </w:pPr>
            <w:r>
              <w:rPr/>
              <w:t xml:space="preserve">  </w:t>
            </w:r>
          </w:p>
        </w:tc>
        <w:tc>
          <w:tcPr>
            <w:tcW w:w="285" w:type="dxa"/>
            <w:tcBorders/>
            <w:vAlign w:val="center"/>
          </w:tcPr>
          <w:p>
            <w:pPr>
              <w:pStyle w:val="TableContents"/>
              <w:bidi w:val="0"/>
              <w:spacing w:before="0" w:after="0"/>
              <w:ind w:left="0" w:right="0" w:hanging="0"/>
              <w:jc w:val="left"/>
              <w:rPr/>
            </w:pPr>
            <w:r>
              <w:rPr/>
              <w:t xml:space="preserve">  </w:t>
            </w:r>
          </w:p>
        </w:tc>
        <w:tc>
          <w:tcPr>
            <w:tcW w:w="167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56" w:type="dxa"/>
            <w:tcBorders/>
            <w:vAlign w:val="center"/>
          </w:tcPr>
          <w:p>
            <w:pPr>
              <w:pStyle w:val="TableContents"/>
              <w:bidi w:val="0"/>
              <w:spacing w:before="0" w:after="0"/>
              <w:ind w:left="0" w:right="0" w:hanging="0"/>
              <w:jc w:val="left"/>
              <w:rPr/>
            </w:pPr>
            <w:r>
              <w:rPr/>
              <w:t xml:space="preserve">  </w:t>
            </w:r>
          </w:p>
        </w:tc>
        <w:tc>
          <w:tcPr>
            <w:tcW w:w="30" w:type="dxa"/>
            <w:tcBorders/>
            <w:vAlign w:val="center"/>
          </w:tcPr>
          <w:p>
            <w:pPr>
              <w:pStyle w:val="TableContents"/>
              <w:bidi w:val="0"/>
              <w:spacing w:before="0" w:after="283"/>
              <w:jc w:val="left"/>
              <w:rPr/>
            </w:pPr>
            <w:r>
              <w:rPr/>
            </w:r>
          </w:p>
        </w:tc>
        <w:tc>
          <w:tcPr>
            <w:tcW w:w="1792"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2023</w:t>
            </w:r>
          </w:p>
        </w:tc>
        <w:tc>
          <w:tcPr>
            <w:tcW w:w="57" w:type="dxa"/>
            <w:tcBorders/>
            <w:vAlign w:val="center"/>
          </w:tcPr>
          <w:p>
            <w:pPr>
              <w:pStyle w:val="TableContents"/>
              <w:bidi w:val="0"/>
              <w:spacing w:before="0" w:after="283"/>
              <w:jc w:val="left"/>
              <w:rPr/>
            </w:pPr>
            <w:r>
              <w:rPr/>
            </w:r>
          </w:p>
        </w:tc>
        <w:tc>
          <w:tcPr>
            <w:tcW w:w="57" w:type="dxa"/>
            <w:tcBorders/>
            <w:vAlign w:val="center"/>
          </w:tcPr>
          <w:p>
            <w:pPr>
              <w:pStyle w:val="TableContents"/>
              <w:bidi w:val="0"/>
              <w:spacing w:before="0" w:after="283"/>
              <w:jc w:val="left"/>
              <w:rPr/>
            </w:pPr>
            <w:r>
              <w:rPr/>
            </w:r>
          </w:p>
        </w:tc>
        <w:tc>
          <w:tcPr>
            <w:tcW w:w="1792"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2022</w:t>
            </w:r>
          </w:p>
        </w:tc>
        <w:tc>
          <w:tcPr>
            <w:tcW w:w="50" w:type="dxa"/>
            <w:tcBorders/>
            <w:vAlign w:val="center"/>
          </w:tcPr>
          <w:p>
            <w:pPr>
              <w:pStyle w:val="TableContents"/>
              <w:bidi w:val="0"/>
              <w:spacing w:before="0" w:after="283"/>
              <w:jc w:val="left"/>
              <w:rPr/>
            </w:pPr>
            <w:r>
              <w:rPr/>
            </w:r>
          </w:p>
        </w:tc>
      </w:tr>
      <w:tr>
        <w:trPr/>
        <w:tc>
          <w:tcPr>
            <w:tcW w:w="2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Audio conferencing </w:t>
            </w:r>
          </w:p>
        </w:tc>
        <w:tc>
          <w:tcPr>
            <w:tcW w:w="156" w:type="dxa"/>
            <w:tcBorders/>
            <w:shd w:fill="CCEEFF" w:val="clear"/>
            <w:vAlign w:val="center"/>
          </w:tcPr>
          <w:p>
            <w:pPr>
              <w:pStyle w:val="TableContents"/>
              <w:bidi w:val="0"/>
              <w:spacing w:before="0" w:after="0"/>
              <w:ind w:left="0" w:right="0" w:hanging="0"/>
              <w:jc w:val="left"/>
              <w:rPr/>
            </w:pPr>
            <w:r>
              <w:rPr/>
              <w:t xml:space="preserve">  </w:t>
            </w:r>
          </w:p>
        </w:tc>
        <w:tc>
          <w:tcPr>
            <w:tcW w:w="4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1,867 </w:t>
            </w:r>
          </w:p>
        </w:tc>
        <w:tc>
          <w:tcPr>
            <w:tcW w:w="286" w:type="dxa"/>
            <w:tcBorders/>
            <w:shd w:fill="CCEEFF" w:val="clear"/>
            <w:vAlign w:val="center"/>
          </w:tcPr>
          <w:p>
            <w:pPr>
              <w:pStyle w:val="TableContents"/>
              <w:bidi w:val="0"/>
              <w:spacing w:before="0" w:after="0"/>
              <w:ind w:left="0" w:right="0" w:hanging="0"/>
              <w:jc w:val="left"/>
              <w:rPr/>
            </w:pPr>
            <w:r>
              <w:rPr/>
              <w:t xml:space="preserve">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4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3,201 </w:t>
            </w:r>
          </w:p>
        </w:tc>
        <w:tc>
          <w:tcPr>
            <w:tcW w:w="156" w:type="dxa"/>
            <w:tcBorders/>
            <w:shd w:fill="CCEEFF" w:val="clear"/>
            <w:vAlign w:val="center"/>
          </w:tcPr>
          <w:p>
            <w:pPr>
              <w:pStyle w:val="TableContents"/>
              <w:bidi w:val="0"/>
              <w:spacing w:before="0" w:after="0"/>
              <w:ind w:left="0" w:right="0" w:hanging="0"/>
              <w:jc w:val="left"/>
              <w:rPr/>
            </w:pPr>
            <w:r>
              <w:rPr/>
              <w:t xml:space="preserve">  </w:t>
            </w:r>
          </w:p>
        </w:tc>
        <w:tc>
          <w:tcPr>
            <w:tcW w:w="30" w:type="dxa"/>
            <w:tcBorders/>
            <w:shd w:fill="CCEEFF" w:val="clear"/>
            <w:vAlign w:val="center"/>
          </w:tcPr>
          <w:p>
            <w:pPr>
              <w:pStyle w:val="TableContents"/>
              <w:bidi w:val="0"/>
              <w:spacing w:before="0" w:after="283"/>
              <w:jc w:val="left"/>
              <w:rPr/>
            </w:pPr>
            <w:r>
              <w:rPr/>
            </w:r>
          </w:p>
        </w:tc>
        <w:tc>
          <w:tcPr>
            <w:tcW w:w="312"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80"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6,484</w:t>
            </w:r>
          </w:p>
        </w:tc>
        <w:tc>
          <w:tcPr>
            <w:tcW w:w="57" w:type="dxa"/>
            <w:tcBorders/>
            <w:shd w:fill="CCEEFF" w:val="clear"/>
            <w:vAlign w:val="center"/>
          </w:tcPr>
          <w:p>
            <w:pPr>
              <w:pStyle w:val="TableContents"/>
              <w:bidi w:val="0"/>
              <w:spacing w:before="0" w:after="283"/>
              <w:jc w:val="left"/>
              <w:rPr/>
            </w:pPr>
            <w:r>
              <w:rPr/>
            </w:r>
          </w:p>
        </w:tc>
        <w:tc>
          <w:tcPr>
            <w:tcW w:w="57" w:type="dxa"/>
            <w:tcBorders/>
            <w:shd w:fill="CCEEFF" w:val="clear"/>
            <w:vAlign w:val="center"/>
          </w:tcPr>
          <w:p>
            <w:pPr>
              <w:pStyle w:val="TableContents"/>
              <w:bidi w:val="0"/>
              <w:spacing w:before="0" w:after="283"/>
              <w:jc w:val="left"/>
              <w:rPr/>
            </w:pPr>
            <w:r>
              <w:rPr/>
            </w:r>
          </w:p>
        </w:tc>
        <w:tc>
          <w:tcPr>
            <w:tcW w:w="313"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47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9,655</w:t>
            </w:r>
          </w:p>
        </w:tc>
        <w:tc>
          <w:tcPr>
            <w:tcW w:w="50" w:type="dxa"/>
            <w:tcBorders/>
            <w:shd w:fill="CCEEFF" w:val="clear"/>
            <w:vAlign w:val="center"/>
          </w:tcPr>
          <w:p>
            <w:pPr>
              <w:pStyle w:val="TableContents"/>
              <w:bidi w:val="0"/>
              <w:spacing w:before="0" w:after="283"/>
              <w:jc w:val="left"/>
              <w:rPr/>
            </w:pPr>
            <w:r>
              <w:rPr/>
            </w:r>
          </w:p>
        </w:tc>
      </w:tr>
      <w:tr>
        <w:trPr/>
        <w:tc>
          <w:tcPr>
            <w:tcW w:w="22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Microphones </w:t>
            </w:r>
          </w:p>
        </w:tc>
        <w:tc>
          <w:tcPr>
            <w:tcW w:w="156" w:type="dxa"/>
            <w:tcBorders/>
            <w:shd w:fill="FFFFFF" w:val="clear"/>
            <w:vAlign w:val="center"/>
          </w:tcPr>
          <w:p>
            <w:pPr>
              <w:pStyle w:val="TableContents"/>
              <w:bidi w:val="0"/>
              <w:spacing w:before="0" w:after="0"/>
              <w:ind w:left="0" w:right="0" w:hanging="0"/>
              <w:jc w:val="left"/>
              <w:rPr/>
            </w:pPr>
            <w:r>
              <w:rPr/>
              <w:t xml:space="preserve">  </w:t>
            </w:r>
          </w:p>
        </w:tc>
        <w:tc>
          <w:tcPr>
            <w:tcW w:w="406" w:type="dxa"/>
            <w:tcBorders/>
            <w:shd w:fill="FFFFFF" w:val="clear"/>
            <w:vAlign w:val="center"/>
          </w:tcPr>
          <w:p>
            <w:pPr>
              <w:pStyle w:val="TableContents"/>
              <w:bidi w:val="0"/>
              <w:spacing w:before="0" w:after="0"/>
              <w:ind w:left="0" w:right="0" w:hanging="0"/>
              <w:jc w:val="left"/>
              <w:rPr/>
            </w:pPr>
            <w:r>
              <w:rPr/>
              <w:t xml:space="preserve">  </w:t>
            </w:r>
          </w:p>
        </w:tc>
        <w:tc>
          <w:tcPr>
            <w:tcW w:w="12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2,355 </w:t>
            </w:r>
          </w:p>
        </w:tc>
        <w:tc>
          <w:tcPr>
            <w:tcW w:w="286" w:type="dxa"/>
            <w:tcBorders/>
            <w:shd w:fill="FFFFFF" w:val="clear"/>
            <w:vAlign w:val="center"/>
          </w:tcPr>
          <w:p>
            <w:pPr>
              <w:pStyle w:val="TableContents"/>
              <w:bidi w:val="0"/>
              <w:spacing w:before="0" w:after="0"/>
              <w:ind w:left="0" w:right="0" w:hanging="0"/>
              <w:jc w:val="left"/>
              <w:rPr/>
            </w:pPr>
            <w:r>
              <w:rPr/>
              <w:t xml:space="preserve">  </w:t>
            </w:r>
          </w:p>
        </w:tc>
        <w:tc>
          <w:tcPr>
            <w:tcW w:w="285" w:type="dxa"/>
            <w:tcBorders/>
            <w:shd w:fill="FFFFFF" w:val="clear"/>
            <w:vAlign w:val="center"/>
          </w:tcPr>
          <w:p>
            <w:pPr>
              <w:pStyle w:val="TableContents"/>
              <w:bidi w:val="0"/>
              <w:spacing w:before="0" w:after="0"/>
              <w:ind w:left="0" w:right="0" w:hanging="0"/>
              <w:jc w:val="left"/>
              <w:rPr/>
            </w:pPr>
            <w:r>
              <w:rPr/>
              <w:t xml:space="preserve">  </w:t>
            </w:r>
          </w:p>
        </w:tc>
        <w:tc>
          <w:tcPr>
            <w:tcW w:w="406" w:type="dxa"/>
            <w:tcBorders/>
            <w:shd w:fill="FFFFFF" w:val="clear"/>
            <w:vAlign w:val="center"/>
          </w:tcPr>
          <w:p>
            <w:pPr>
              <w:pStyle w:val="TableContents"/>
              <w:bidi w:val="0"/>
              <w:spacing w:before="0" w:after="0"/>
              <w:ind w:left="0" w:right="0" w:hanging="0"/>
              <w:jc w:val="left"/>
              <w:rPr/>
            </w:pPr>
            <w:r>
              <w:rPr/>
              <w:t xml:space="preserve">  </w:t>
            </w:r>
          </w:p>
        </w:tc>
        <w:tc>
          <w:tcPr>
            <w:tcW w:w="12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2,475 </w:t>
            </w:r>
          </w:p>
        </w:tc>
        <w:tc>
          <w:tcPr>
            <w:tcW w:w="156" w:type="dxa"/>
            <w:tcBorders/>
            <w:shd w:fill="FFFFFF" w:val="clear"/>
            <w:vAlign w:val="center"/>
          </w:tcPr>
          <w:p>
            <w:pPr>
              <w:pStyle w:val="TableContents"/>
              <w:bidi w:val="0"/>
              <w:spacing w:before="0" w:after="0"/>
              <w:ind w:left="0" w:right="0" w:hanging="0"/>
              <w:jc w:val="left"/>
              <w:rPr/>
            </w:pPr>
            <w:r>
              <w:rPr/>
              <w:t xml:space="preserve">  </w:t>
            </w:r>
          </w:p>
        </w:tc>
        <w:tc>
          <w:tcPr>
            <w:tcW w:w="30" w:type="dxa"/>
            <w:tcBorders/>
            <w:shd w:fill="FFFFFF" w:val="clear"/>
            <w:vAlign w:val="center"/>
          </w:tcPr>
          <w:p>
            <w:pPr>
              <w:pStyle w:val="TableContents"/>
              <w:bidi w:val="0"/>
              <w:spacing w:before="0" w:after="283"/>
              <w:jc w:val="left"/>
              <w:rPr/>
            </w:pPr>
            <w:r>
              <w:rPr/>
            </w:r>
          </w:p>
        </w:tc>
        <w:tc>
          <w:tcPr>
            <w:tcW w:w="312" w:type="dxa"/>
            <w:tcBorders/>
            <w:shd w:fill="FFFFFF" w:val="clear"/>
            <w:vAlign w:val="center"/>
          </w:tcPr>
          <w:p>
            <w:pPr>
              <w:pStyle w:val="TableContents"/>
              <w:bidi w:val="0"/>
              <w:spacing w:before="0" w:after="283"/>
              <w:jc w:val="left"/>
              <w:rPr/>
            </w:pPr>
            <w:r>
              <w:rPr/>
            </w:r>
          </w:p>
        </w:tc>
        <w:tc>
          <w:tcPr>
            <w:tcW w:w="1480"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6,239</w:t>
            </w:r>
          </w:p>
        </w:tc>
        <w:tc>
          <w:tcPr>
            <w:tcW w:w="57" w:type="dxa"/>
            <w:tcBorders/>
            <w:shd w:fill="FFFFFF" w:val="clear"/>
            <w:vAlign w:val="center"/>
          </w:tcPr>
          <w:p>
            <w:pPr>
              <w:pStyle w:val="TableContents"/>
              <w:bidi w:val="0"/>
              <w:spacing w:before="0" w:after="283"/>
              <w:jc w:val="left"/>
              <w:rPr/>
            </w:pPr>
            <w:r>
              <w:rPr/>
            </w:r>
          </w:p>
        </w:tc>
        <w:tc>
          <w:tcPr>
            <w:tcW w:w="57" w:type="dxa"/>
            <w:tcBorders/>
            <w:shd w:fill="FFFFFF" w:val="clear"/>
            <w:vAlign w:val="center"/>
          </w:tcPr>
          <w:p>
            <w:pPr>
              <w:pStyle w:val="TableContents"/>
              <w:bidi w:val="0"/>
              <w:spacing w:before="0" w:after="283"/>
              <w:jc w:val="left"/>
              <w:rPr/>
            </w:pPr>
            <w:r>
              <w:rPr/>
            </w:r>
          </w:p>
        </w:tc>
        <w:tc>
          <w:tcPr>
            <w:tcW w:w="313" w:type="dxa"/>
            <w:tcBorders/>
            <w:shd w:fill="FFFFFF" w:val="clear"/>
            <w:vAlign w:val="center"/>
          </w:tcPr>
          <w:p>
            <w:pPr>
              <w:pStyle w:val="TableContents"/>
              <w:bidi w:val="0"/>
              <w:spacing w:before="0" w:after="283"/>
              <w:jc w:val="left"/>
              <w:rPr/>
            </w:pPr>
            <w:r>
              <w:rPr/>
            </w:r>
          </w:p>
        </w:tc>
        <w:tc>
          <w:tcPr>
            <w:tcW w:w="147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8,525</w:t>
            </w:r>
          </w:p>
        </w:tc>
        <w:tc>
          <w:tcPr>
            <w:tcW w:w="50" w:type="dxa"/>
            <w:tcBorders/>
            <w:shd w:fill="FFFFFF" w:val="clear"/>
            <w:vAlign w:val="center"/>
          </w:tcPr>
          <w:p>
            <w:pPr>
              <w:pStyle w:val="TableContents"/>
              <w:bidi w:val="0"/>
              <w:spacing w:before="0" w:after="283"/>
              <w:jc w:val="left"/>
              <w:rPr/>
            </w:pPr>
            <w:r>
              <w:rPr/>
            </w:r>
          </w:p>
        </w:tc>
      </w:tr>
      <w:tr>
        <w:trPr/>
        <w:tc>
          <w:tcPr>
            <w:tcW w:w="2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Video products </w:t>
            </w:r>
          </w:p>
        </w:tc>
        <w:tc>
          <w:tcPr>
            <w:tcW w:w="156" w:type="dxa"/>
            <w:tcBorders/>
            <w:shd w:fill="CCEEFF" w:val="clear"/>
            <w:vAlign w:val="center"/>
          </w:tcPr>
          <w:p>
            <w:pPr>
              <w:pStyle w:val="TableContents"/>
              <w:bidi w:val="0"/>
              <w:spacing w:before="0" w:after="0"/>
              <w:ind w:left="0" w:right="0" w:hanging="0"/>
              <w:jc w:val="left"/>
              <w:rPr/>
            </w:pPr>
            <w:r>
              <w:rPr/>
              <w:t xml:space="preserve">  </w:t>
            </w:r>
          </w:p>
        </w:tc>
        <w:tc>
          <w:tcPr>
            <w:tcW w:w="406" w:type="dxa"/>
            <w:tcBorders/>
            <w:shd w:fill="CCEEFF" w:val="clear"/>
            <w:vAlign w:val="center"/>
          </w:tcPr>
          <w:p>
            <w:pPr>
              <w:pStyle w:val="TableContents"/>
              <w:bidi w:val="0"/>
              <w:spacing w:before="0" w:after="0"/>
              <w:ind w:left="0" w:right="0" w:hanging="0"/>
              <w:jc w:val="left"/>
              <w:rPr/>
            </w:pPr>
            <w:r>
              <w:rPr/>
              <w:t xml:space="preserve">  </w:t>
            </w:r>
          </w:p>
        </w:tc>
        <w:tc>
          <w:tcPr>
            <w:tcW w:w="12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667 </w:t>
            </w:r>
          </w:p>
        </w:tc>
        <w:tc>
          <w:tcPr>
            <w:tcW w:w="286" w:type="dxa"/>
            <w:tcBorders/>
            <w:shd w:fill="CCEEFF" w:val="clear"/>
            <w:vAlign w:val="center"/>
          </w:tcPr>
          <w:p>
            <w:pPr>
              <w:pStyle w:val="TableContents"/>
              <w:bidi w:val="0"/>
              <w:spacing w:before="0" w:after="0"/>
              <w:ind w:left="0" w:right="0" w:hanging="0"/>
              <w:jc w:val="left"/>
              <w:rPr/>
            </w:pPr>
            <w:r>
              <w:rPr/>
              <w:t xml:space="preserve">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406" w:type="dxa"/>
            <w:tcBorders/>
            <w:shd w:fill="CCEEFF" w:val="clear"/>
            <w:vAlign w:val="center"/>
          </w:tcPr>
          <w:p>
            <w:pPr>
              <w:pStyle w:val="TableContents"/>
              <w:bidi w:val="0"/>
              <w:spacing w:before="0" w:after="0"/>
              <w:ind w:left="0" w:right="0" w:hanging="0"/>
              <w:jc w:val="left"/>
              <w:rPr/>
            </w:pPr>
            <w:r>
              <w:rPr/>
              <w:t xml:space="preserve">  </w:t>
            </w:r>
          </w:p>
        </w:tc>
        <w:tc>
          <w:tcPr>
            <w:tcW w:w="12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588 </w:t>
            </w:r>
          </w:p>
        </w:tc>
        <w:tc>
          <w:tcPr>
            <w:tcW w:w="156" w:type="dxa"/>
            <w:tcBorders/>
            <w:shd w:fill="CCEEFF" w:val="clear"/>
            <w:vAlign w:val="center"/>
          </w:tcPr>
          <w:p>
            <w:pPr>
              <w:pStyle w:val="TableContents"/>
              <w:bidi w:val="0"/>
              <w:spacing w:before="0" w:after="0"/>
              <w:ind w:left="0" w:right="0" w:hanging="0"/>
              <w:jc w:val="left"/>
              <w:rPr/>
            </w:pPr>
            <w:r>
              <w:rPr/>
              <w:t xml:space="preserve">  </w:t>
            </w:r>
          </w:p>
        </w:tc>
        <w:tc>
          <w:tcPr>
            <w:tcW w:w="30" w:type="dxa"/>
            <w:tcBorders/>
            <w:shd w:fill="CCEEFF" w:val="clear"/>
            <w:vAlign w:val="center"/>
          </w:tcPr>
          <w:p>
            <w:pPr>
              <w:pStyle w:val="TableContents"/>
              <w:bidi w:val="0"/>
              <w:spacing w:before="0" w:after="283"/>
              <w:jc w:val="left"/>
              <w:rPr/>
            </w:pPr>
            <w:r>
              <w:rPr/>
            </w:r>
          </w:p>
        </w:tc>
        <w:tc>
          <w:tcPr>
            <w:tcW w:w="312" w:type="dxa"/>
            <w:tcBorders/>
            <w:shd w:fill="CCEEFF" w:val="clear"/>
            <w:vAlign w:val="center"/>
          </w:tcPr>
          <w:p>
            <w:pPr>
              <w:pStyle w:val="TableContents"/>
              <w:bidi w:val="0"/>
              <w:spacing w:before="0" w:after="283"/>
              <w:jc w:val="left"/>
              <w:rPr/>
            </w:pPr>
            <w:r>
              <w:rPr/>
            </w:r>
          </w:p>
        </w:tc>
        <w:tc>
          <w:tcPr>
            <w:tcW w:w="1480"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1,827</w:t>
            </w:r>
          </w:p>
        </w:tc>
        <w:tc>
          <w:tcPr>
            <w:tcW w:w="57" w:type="dxa"/>
            <w:tcBorders/>
            <w:shd w:fill="CCEEFF" w:val="clear"/>
            <w:vAlign w:val="center"/>
          </w:tcPr>
          <w:p>
            <w:pPr>
              <w:pStyle w:val="TableContents"/>
              <w:bidi w:val="0"/>
              <w:spacing w:before="0" w:after="283"/>
              <w:jc w:val="left"/>
              <w:rPr/>
            </w:pPr>
            <w:r>
              <w:rPr/>
            </w:r>
          </w:p>
        </w:tc>
        <w:tc>
          <w:tcPr>
            <w:tcW w:w="57" w:type="dxa"/>
            <w:tcBorders/>
            <w:shd w:fill="CCEEFF" w:val="clear"/>
            <w:vAlign w:val="center"/>
          </w:tcPr>
          <w:p>
            <w:pPr>
              <w:pStyle w:val="TableContents"/>
              <w:bidi w:val="0"/>
              <w:spacing w:before="0" w:after="283"/>
              <w:jc w:val="left"/>
              <w:rPr/>
            </w:pPr>
            <w:r>
              <w:rPr/>
            </w:r>
          </w:p>
        </w:tc>
        <w:tc>
          <w:tcPr>
            <w:tcW w:w="313" w:type="dxa"/>
            <w:tcBorders/>
            <w:shd w:fill="CCEEFF" w:val="clear"/>
            <w:vAlign w:val="center"/>
          </w:tcPr>
          <w:p>
            <w:pPr>
              <w:pStyle w:val="TableContents"/>
              <w:bidi w:val="0"/>
              <w:spacing w:before="0" w:after="283"/>
              <w:jc w:val="left"/>
              <w:rPr/>
            </w:pPr>
            <w:r>
              <w:rPr/>
            </w:r>
          </w:p>
        </w:tc>
        <w:tc>
          <w:tcPr>
            <w:tcW w:w="147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3,004</w:t>
            </w:r>
          </w:p>
        </w:tc>
        <w:tc>
          <w:tcPr>
            <w:tcW w:w="50" w:type="dxa"/>
            <w:tcBorders/>
            <w:shd w:fill="CCEEFF" w:val="clear"/>
            <w:vAlign w:val="center"/>
          </w:tcPr>
          <w:p>
            <w:pPr>
              <w:pStyle w:val="TableContents"/>
              <w:bidi w:val="0"/>
              <w:spacing w:before="0" w:after="283"/>
              <w:jc w:val="left"/>
              <w:rPr/>
            </w:pPr>
            <w:r>
              <w:rPr/>
            </w:r>
          </w:p>
        </w:tc>
      </w:tr>
      <w:tr>
        <w:trPr/>
        <w:tc>
          <w:tcPr>
            <w:tcW w:w="2204" w:type="dxa"/>
            <w:tcBorders/>
            <w:shd w:fill="FFFFFF" w:val="clear"/>
            <w:vAlign w:val="center"/>
          </w:tcPr>
          <w:p>
            <w:pPr>
              <w:pStyle w:val="TableContents"/>
              <w:bidi w:val="0"/>
              <w:spacing w:before="0" w:after="0"/>
              <w:ind w:left="0" w:right="0" w:hanging="0"/>
              <w:jc w:val="left"/>
              <w:rPr/>
            </w:pPr>
            <w:r>
              <w:rPr/>
              <w:t xml:space="preserve">  </w:t>
            </w:r>
          </w:p>
        </w:tc>
        <w:tc>
          <w:tcPr>
            <w:tcW w:w="156" w:type="dxa"/>
            <w:tcBorders/>
            <w:shd w:fill="FFFFFF" w:val="clear"/>
            <w:vAlign w:val="center"/>
          </w:tcPr>
          <w:p>
            <w:pPr>
              <w:pStyle w:val="TableContents"/>
              <w:bidi w:val="0"/>
              <w:spacing w:before="0" w:after="0"/>
              <w:ind w:left="0" w:right="0" w:hanging="0"/>
              <w:jc w:val="left"/>
              <w:rPr/>
            </w:pPr>
            <w:r>
              <w:rPr/>
              <w:t xml:space="preserve">  </w:t>
            </w:r>
          </w:p>
        </w:tc>
        <w:tc>
          <w:tcPr>
            <w:tcW w:w="4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4,889 </w:t>
            </w:r>
          </w:p>
        </w:tc>
        <w:tc>
          <w:tcPr>
            <w:tcW w:w="286" w:type="dxa"/>
            <w:tcBorders/>
            <w:shd w:fill="FFFFFF" w:val="clear"/>
            <w:vAlign w:val="center"/>
          </w:tcPr>
          <w:p>
            <w:pPr>
              <w:pStyle w:val="TableContents"/>
              <w:bidi w:val="0"/>
              <w:spacing w:before="0" w:after="0"/>
              <w:ind w:left="0" w:right="0" w:hanging="0"/>
              <w:jc w:val="left"/>
              <w:rPr/>
            </w:pPr>
            <w:r>
              <w:rPr/>
              <w:t xml:space="preserve">  </w:t>
            </w:r>
          </w:p>
        </w:tc>
        <w:tc>
          <w:tcPr>
            <w:tcW w:w="285" w:type="dxa"/>
            <w:tcBorders/>
            <w:shd w:fill="FFFFFF" w:val="clear"/>
            <w:vAlign w:val="center"/>
          </w:tcPr>
          <w:p>
            <w:pPr>
              <w:pStyle w:val="TableContents"/>
              <w:bidi w:val="0"/>
              <w:spacing w:before="0" w:after="0"/>
              <w:ind w:left="0" w:right="0" w:hanging="0"/>
              <w:jc w:val="left"/>
              <w:rPr/>
            </w:pPr>
            <w:r>
              <w:rPr/>
              <w:t xml:space="preserve">  </w:t>
            </w:r>
          </w:p>
        </w:tc>
        <w:tc>
          <w:tcPr>
            <w:tcW w:w="4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6,264 </w:t>
            </w:r>
          </w:p>
        </w:tc>
        <w:tc>
          <w:tcPr>
            <w:tcW w:w="156" w:type="dxa"/>
            <w:tcBorders/>
            <w:shd w:fill="FFFFFF" w:val="clear"/>
            <w:vAlign w:val="center"/>
          </w:tcPr>
          <w:p>
            <w:pPr>
              <w:pStyle w:val="TableContents"/>
              <w:bidi w:val="0"/>
              <w:spacing w:before="0" w:after="0"/>
              <w:ind w:left="0" w:right="0" w:hanging="0"/>
              <w:jc w:val="left"/>
              <w:rPr/>
            </w:pPr>
            <w:r>
              <w:rPr/>
              <w:t xml:space="preserve">  </w:t>
            </w:r>
          </w:p>
        </w:tc>
        <w:tc>
          <w:tcPr>
            <w:tcW w:w="30" w:type="dxa"/>
            <w:tcBorders/>
            <w:shd w:fill="FFFFFF" w:val="clear"/>
            <w:vAlign w:val="center"/>
          </w:tcPr>
          <w:p>
            <w:pPr>
              <w:pStyle w:val="TableContents"/>
              <w:bidi w:val="0"/>
              <w:spacing w:before="0" w:after="283"/>
              <w:jc w:val="left"/>
              <w:rPr/>
            </w:pPr>
            <w:r>
              <w:rPr/>
            </w:r>
          </w:p>
        </w:tc>
        <w:tc>
          <w:tcPr>
            <w:tcW w:w="312"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80"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14,550</w:t>
            </w:r>
          </w:p>
        </w:tc>
        <w:tc>
          <w:tcPr>
            <w:tcW w:w="57" w:type="dxa"/>
            <w:tcBorders/>
            <w:shd w:fill="FFFFFF" w:val="clear"/>
            <w:vAlign w:val="center"/>
          </w:tcPr>
          <w:p>
            <w:pPr>
              <w:pStyle w:val="TableContents"/>
              <w:bidi w:val="0"/>
              <w:spacing w:before="0" w:after="283"/>
              <w:jc w:val="left"/>
              <w:rPr/>
            </w:pPr>
            <w:r>
              <w:rPr/>
            </w:r>
          </w:p>
        </w:tc>
        <w:tc>
          <w:tcPr>
            <w:tcW w:w="57" w:type="dxa"/>
            <w:tcBorders/>
            <w:shd w:fill="FFFFFF" w:val="clear"/>
            <w:vAlign w:val="center"/>
          </w:tcPr>
          <w:p>
            <w:pPr>
              <w:pStyle w:val="TableContents"/>
              <w:bidi w:val="0"/>
              <w:spacing w:before="0" w:after="283"/>
              <w:jc w:val="left"/>
              <w:rPr/>
            </w:pPr>
            <w:r>
              <w:rPr/>
            </w:r>
          </w:p>
        </w:tc>
        <w:tc>
          <w:tcPr>
            <w:tcW w:w="313" w:type="dxa"/>
            <w:tcBorders/>
            <w:shd w:fill="FFFF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47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21,184</w:t>
            </w:r>
          </w:p>
        </w:tc>
        <w:tc>
          <w:tcPr>
            <w:tcW w:w="50" w:type="dxa"/>
            <w:tcBorders/>
            <w:shd w:fill="FFFFFF" w:val="clear"/>
            <w:vAlign w:val="center"/>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disaggregates the Company’s revenue into major regions: </w:t>
      </w:r>
    </w:p>
    <w:p>
      <w:pPr>
        <w:pStyle w:val="TextBody"/>
        <w:bidi w:val="0"/>
        <w:spacing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276"/>
        <w:gridCol w:w="115"/>
        <w:gridCol w:w="298"/>
        <w:gridCol w:w="937"/>
        <w:gridCol w:w="207"/>
        <w:gridCol w:w="207"/>
        <w:gridCol w:w="298"/>
        <w:gridCol w:w="937"/>
        <w:gridCol w:w="115"/>
        <w:gridCol w:w="23"/>
        <w:gridCol w:w="232"/>
        <w:gridCol w:w="1099"/>
        <w:gridCol w:w="41"/>
        <w:gridCol w:w="42"/>
        <w:gridCol w:w="232"/>
        <w:gridCol w:w="1099"/>
        <w:gridCol w:w="47"/>
      </w:tblGrid>
      <w:tr>
        <w:trPr/>
        <w:tc>
          <w:tcPr>
            <w:tcW w:w="4276"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0"/>
              <w:ind w:left="0" w:right="0" w:hanging="0"/>
              <w:jc w:val="left"/>
              <w:rPr/>
            </w:pPr>
            <w:r>
              <w:rPr/>
              <w:t xml:space="preserve">  </w:t>
            </w:r>
          </w:p>
        </w:tc>
        <w:tc>
          <w:tcPr>
            <w:tcW w:w="2884"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September 30, </w:t>
            </w:r>
          </w:p>
        </w:tc>
        <w:tc>
          <w:tcPr>
            <w:tcW w:w="11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45"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47" w:type="dxa"/>
            <w:tcBorders/>
            <w:vAlign w:val="center"/>
          </w:tcPr>
          <w:p>
            <w:pPr>
              <w:pStyle w:val="TableContents"/>
              <w:bidi w:val="0"/>
              <w:spacing w:before="0" w:after="283"/>
              <w:jc w:val="left"/>
              <w:rPr/>
            </w:pPr>
            <w:r>
              <w:rPr/>
            </w:r>
          </w:p>
        </w:tc>
      </w:tr>
      <w:tr>
        <w:trPr/>
        <w:tc>
          <w:tcPr>
            <w:tcW w:w="4276"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0"/>
              <w:ind w:left="0" w:right="0" w:hanging="0"/>
              <w:jc w:val="left"/>
              <w:rPr/>
            </w:pPr>
            <w:r>
              <w:rPr/>
              <w:t xml:space="preserve">  </w:t>
            </w:r>
          </w:p>
        </w:tc>
        <w:tc>
          <w:tcPr>
            <w:tcW w:w="123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207" w:type="dxa"/>
            <w:tcBorders/>
            <w:vAlign w:val="center"/>
          </w:tcPr>
          <w:p>
            <w:pPr>
              <w:pStyle w:val="TableContents"/>
              <w:bidi w:val="0"/>
              <w:spacing w:before="0" w:after="0"/>
              <w:ind w:left="0" w:right="0" w:hanging="0"/>
              <w:jc w:val="left"/>
              <w:rPr/>
            </w:pPr>
            <w:r>
              <w:rPr/>
              <w:t xml:space="preserve">  </w:t>
            </w:r>
          </w:p>
        </w:tc>
        <w:tc>
          <w:tcPr>
            <w:tcW w:w="207" w:type="dxa"/>
            <w:tcBorders/>
            <w:vAlign w:val="center"/>
          </w:tcPr>
          <w:p>
            <w:pPr>
              <w:pStyle w:val="TableContents"/>
              <w:bidi w:val="0"/>
              <w:spacing w:before="0" w:after="0"/>
              <w:ind w:left="0" w:right="0" w:hanging="0"/>
              <w:jc w:val="left"/>
              <w:rPr/>
            </w:pPr>
            <w:r>
              <w:rPr/>
              <w:t xml:space="preserve">  </w:t>
            </w:r>
          </w:p>
        </w:tc>
        <w:tc>
          <w:tcPr>
            <w:tcW w:w="123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1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31"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2023</w:t>
            </w:r>
          </w:p>
        </w:tc>
        <w:tc>
          <w:tcPr>
            <w:tcW w:w="41" w:type="dxa"/>
            <w:tcBorders/>
            <w:vAlign w:val="center"/>
          </w:tcPr>
          <w:p>
            <w:pPr>
              <w:pStyle w:val="TableContents"/>
              <w:bidi w:val="0"/>
              <w:spacing w:before="0" w:after="283"/>
              <w:jc w:val="left"/>
              <w:rPr/>
            </w:pPr>
            <w:r>
              <w:rPr/>
            </w:r>
          </w:p>
        </w:tc>
        <w:tc>
          <w:tcPr>
            <w:tcW w:w="42" w:type="dxa"/>
            <w:tcBorders/>
            <w:vAlign w:val="center"/>
          </w:tcPr>
          <w:p>
            <w:pPr>
              <w:pStyle w:val="TableContents"/>
              <w:bidi w:val="0"/>
              <w:spacing w:before="0" w:after="283"/>
              <w:jc w:val="left"/>
              <w:rPr/>
            </w:pPr>
            <w:r>
              <w:rPr/>
            </w:r>
          </w:p>
        </w:tc>
        <w:tc>
          <w:tcPr>
            <w:tcW w:w="1331"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2022</w:t>
            </w:r>
          </w:p>
        </w:tc>
        <w:tc>
          <w:tcPr>
            <w:tcW w:w="47" w:type="dxa"/>
            <w:tcBorders/>
            <w:vAlign w:val="center"/>
          </w:tcPr>
          <w:p>
            <w:pPr>
              <w:pStyle w:val="TableContents"/>
              <w:bidi w:val="0"/>
              <w:spacing w:before="0" w:after="283"/>
              <w:jc w:val="left"/>
              <w:rPr/>
            </w:pPr>
            <w:r>
              <w:rPr/>
            </w:r>
          </w:p>
        </w:tc>
      </w:tr>
      <w:tr>
        <w:trPr/>
        <w:tc>
          <w:tcPr>
            <w:tcW w:w="4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North and South America  </w:t>
            </w:r>
          </w:p>
        </w:tc>
        <w:tc>
          <w:tcPr>
            <w:tcW w:w="115" w:type="dxa"/>
            <w:tcBorders/>
            <w:shd w:fill="CCEEFF" w:val="clear"/>
            <w:vAlign w:val="center"/>
          </w:tcPr>
          <w:p>
            <w:pPr>
              <w:pStyle w:val="TableContents"/>
              <w:bidi w:val="0"/>
              <w:spacing w:before="0" w:after="0"/>
              <w:ind w:left="0" w:right="0" w:hanging="0"/>
              <w:jc w:val="left"/>
              <w:rPr/>
            </w:pPr>
            <w:r>
              <w:rPr/>
              <w:t xml:space="preserve">  </w:t>
            </w:r>
          </w:p>
        </w:tc>
        <w:tc>
          <w:tcPr>
            <w:tcW w:w="2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2,400 </w:t>
            </w:r>
          </w:p>
        </w:tc>
        <w:tc>
          <w:tcPr>
            <w:tcW w:w="207" w:type="dxa"/>
            <w:tcBorders/>
            <w:shd w:fill="CCEEFF" w:val="clear"/>
            <w:vAlign w:val="center"/>
          </w:tcPr>
          <w:p>
            <w:pPr>
              <w:pStyle w:val="TableContents"/>
              <w:bidi w:val="0"/>
              <w:spacing w:before="0" w:after="0"/>
              <w:ind w:left="0" w:right="0" w:hanging="0"/>
              <w:jc w:val="left"/>
              <w:rPr/>
            </w:pPr>
            <w:r>
              <w:rPr/>
              <w:t xml:space="preserve">  </w:t>
            </w:r>
          </w:p>
        </w:tc>
        <w:tc>
          <w:tcPr>
            <w:tcW w:w="207" w:type="dxa"/>
            <w:tcBorders/>
            <w:shd w:fill="CCEEFF" w:val="clear"/>
            <w:vAlign w:val="center"/>
          </w:tcPr>
          <w:p>
            <w:pPr>
              <w:pStyle w:val="TableContents"/>
              <w:bidi w:val="0"/>
              <w:spacing w:before="0" w:after="0"/>
              <w:ind w:left="0" w:right="0" w:hanging="0"/>
              <w:jc w:val="left"/>
              <w:rPr/>
            </w:pPr>
            <w:r>
              <w:rPr/>
              <w:t xml:space="preserve">  </w:t>
            </w:r>
          </w:p>
        </w:tc>
        <w:tc>
          <w:tcPr>
            <w:tcW w:w="2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3,251 </w:t>
            </w:r>
          </w:p>
        </w:tc>
        <w:tc>
          <w:tcPr>
            <w:tcW w:w="115"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9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7,353</w:t>
            </w:r>
          </w:p>
        </w:tc>
        <w:tc>
          <w:tcPr>
            <w:tcW w:w="41" w:type="dxa"/>
            <w:tcBorders/>
            <w:shd w:fill="CCEEFF" w:val="clear"/>
            <w:vAlign w:val="center"/>
          </w:tcPr>
          <w:p>
            <w:pPr>
              <w:pStyle w:val="TableContents"/>
              <w:bidi w:val="0"/>
              <w:spacing w:before="0" w:after="283"/>
              <w:jc w:val="left"/>
              <w:rPr/>
            </w:pPr>
            <w:r>
              <w:rPr/>
            </w:r>
          </w:p>
        </w:tc>
        <w:tc>
          <w:tcPr>
            <w:tcW w:w="42"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09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10,211</w:t>
            </w:r>
          </w:p>
        </w:tc>
        <w:tc>
          <w:tcPr>
            <w:tcW w:w="47" w:type="dxa"/>
            <w:tcBorders/>
            <w:shd w:fill="CCEEFF" w:val="clear"/>
            <w:vAlign w:val="center"/>
          </w:tcPr>
          <w:p>
            <w:pPr>
              <w:pStyle w:val="TableContents"/>
              <w:bidi w:val="0"/>
              <w:spacing w:before="0" w:after="283"/>
              <w:jc w:val="left"/>
              <w:rPr/>
            </w:pPr>
            <w:r>
              <w:rPr/>
            </w:r>
          </w:p>
        </w:tc>
      </w:tr>
      <w:tr>
        <w:trPr/>
        <w:tc>
          <w:tcPr>
            <w:tcW w:w="42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Asia Pacific (includes Middle East, India and Australia) </w:t>
            </w:r>
          </w:p>
        </w:tc>
        <w:tc>
          <w:tcPr>
            <w:tcW w:w="115" w:type="dxa"/>
            <w:tcBorders/>
            <w:shd w:fill="FFFFFF" w:val="clear"/>
            <w:vAlign w:val="center"/>
          </w:tcPr>
          <w:p>
            <w:pPr>
              <w:pStyle w:val="TableContents"/>
              <w:bidi w:val="0"/>
              <w:spacing w:before="0" w:after="0"/>
              <w:ind w:left="0" w:right="0" w:hanging="0"/>
              <w:jc w:val="left"/>
              <w:rPr/>
            </w:pPr>
            <w:r>
              <w:rPr/>
              <w:t xml:space="preserve">  </w:t>
            </w:r>
          </w:p>
        </w:tc>
        <w:tc>
          <w:tcPr>
            <w:tcW w:w="298" w:type="dxa"/>
            <w:tcBorders/>
            <w:shd w:fill="FFFFFF" w:val="clear"/>
            <w:vAlign w:val="center"/>
          </w:tcPr>
          <w:p>
            <w:pPr>
              <w:pStyle w:val="TableContents"/>
              <w:bidi w:val="0"/>
              <w:spacing w:before="0" w:after="0"/>
              <w:ind w:left="0" w:right="0" w:hanging="0"/>
              <w:jc w:val="left"/>
              <w:rPr/>
            </w:pPr>
            <w:r>
              <w:rPr/>
              <w:t xml:space="preserve">  </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2,058 </w:t>
            </w:r>
          </w:p>
        </w:tc>
        <w:tc>
          <w:tcPr>
            <w:tcW w:w="207" w:type="dxa"/>
            <w:tcBorders/>
            <w:shd w:fill="FFFFFF" w:val="clear"/>
            <w:vAlign w:val="center"/>
          </w:tcPr>
          <w:p>
            <w:pPr>
              <w:pStyle w:val="TableContents"/>
              <w:bidi w:val="0"/>
              <w:spacing w:before="0" w:after="0"/>
              <w:ind w:left="0" w:right="0" w:hanging="0"/>
              <w:jc w:val="left"/>
              <w:rPr/>
            </w:pPr>
            <w:r>
              <w:rPr/>
              <w:t xml:space="preserve">  </w:t>
            </w:r>
          </w:p>
        </w:tc>
        <w:tc>
          <w:tcPr>
            <w:tcW w:w="207" w:type="dxa"/>
            <w:tcBorders/>
            <w:shd w:fill="FFFFFF" w:val="clear"/>
            <w:vAlign w:val="center"/>
          </w:tcPr>
          <w:p>
            <w:pPr>
              <w:pStyle w:val="TableContents"/>
              <w:bidi w:val="0"/>
              <w:spacing w:before="0" w:after="0"/>
              <w:ind w:left="0" w:right="0" w:hanging="0"/>
              <w:jc w:val="left"/>
              <w:rPr/>
            </w:pPr>
            <w:r>
              <w:rPr/>
              <w:t xml:space="preserve">  </w:t>
            </w:r>
          </w:p>
        </w:tc>
        <w:tc>
          <w:tcPr>
            <w:tcW w:w="298" w:type="dxa"/>
            <w:tcBorders/>
            <w:shd w:fill="FFFFFF" w:val="clear"/>
            <w:vAlign w:val="center"/>
          </w:tcPr>
          <w:p>
            <w:pPr>
              <w:pStyle w:val="TableContents"/>
              <w:bidi w:val="0"/>
              <w:spacing w:before="0" w:after="0"/>
              <w:ind w:left="0" w:right="0" w:hanging="0"/>
              <w:jc w:val="left"/>
              <w:rPr/>
            </w:pPr>
            <w:r>
              <w:rPr/>
              <w:t xml:space="preserve">  </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2,018 </w:t>
            </w:r>
          </w:p>
        </w:tc>
        <w:tc>
          <w:tcPr>
            <w:tcW w:w="115" w:type="dxa"/>
            <w:tcBorders/>
            <w:shd w:fill="FFFFFF" w:val="clear"/>
            <w:vAlign w:val="center"/>
          </w:tcPr>
          <w:p>
            <w:pPr>
              <w:pStyle w:val="TableContents"/>
              <w:bidi w:val="0"/>
              <w:spacing w:before="0" w:after="0"/>
              <w:ind w:left="0" w:right="0" w:hanging="0"/>
              <w:jc w:val="left"/>
              <w:rPr/>
            </w:pPr>
            <w:r>
              <w:rPr/>
              <w:t xml:space="preserve">  </w:t>
            </w:r>
          </w:p>
        </w:tc>
        <w:tc>
          <w:tcPr>
            <w:tcW w:w="23" w:type="dxa"/>
            <w:tcBorders/>
            <w:shd w:fill="FFFFFF" w:val="clear"/>
            <w:vAlign w:val="center"/>
          </w:tcPr>
          <w:p>
            <w:pPr>
              <w:pStyle w:val="TableContents"/>
              <w:bidi w:val="0"/>
              <w:spacing w:before="0" w:after="283"/>
              <w:jc w:val="left"/>
              <w:rPr/>
            </w:pPr>
            <w:r>
              <w:rPr/>
            </w:r>
          </w:p>
        </w:tc>
        <w:tc>
          <w:tcPr>
            <w:tcW w:w="232" w:type="dxa"/>
            <w:tcBorders/>
            <w:shd w:fill="FFFFFF" w:val="clear"/>
            <w:vAlign w:val="center"/>
          </w:tcPr>
          <w:p>
            <w:pPr>
              <w:pStyle w:val="TableContents"/>
              <w:bidi w:val="0"/>
              <w:spacing w:before="0" w:after="283"/>
              <w:jc w:val="left"/>
              <w:rPr/>
            </w:pPr>
            <w:r>
              <w:rPr/>
            </w:r>
          </w:p>
        </w:tc>
        <w:tc>
          <w:tcPr>
            <w:tcW w:w="109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5,426</w:t>
            </w:r>
          </w:p>
        </w:tc>
        <w:tc>
          <w:tcPr>
            <w:tcW w:w="41" w:type="dxa"/>
            <w:tcBorders/>
            <w:shd w:fill="FFFFFF" w:val="clear"/>
            <w:vAlign w:val="center"/>
          </w:tcPr>
          <w:p>
            <w:pPr>
              <w:pStyle w:val="TableContents"/>
              <w:bidi w:val="0"/>
              <w:spacing w:before="0" w:after="283"/>
              <w:jc w:val="left"/>
              <w:rPr/>
            </w:pPr>
            <w:r>
              <w:rPr/>
            </w:r>
          </w:p>
        </w:tc>
        <w:tc>
          <w:tcPr>
            <w:tcW w:w="42" w:type="dxa"/>
            <w:tcBorders/>
            <w:shd w:fill="FFFFFF" w:val="clear"/>
            <w:vAlign w:val="center"/>
          </w:tcPr>
          <w:p>
            <w:pPr>
              <w:pStyle w:val="TableContents"/>
              <w:bidi w:val="0"/>
              <w:spacing w:before="0" w:after="283"/>
              <w:jc w:val="left"/>
              <w:rPr/>
            </w:pPr>
            <w:r>
              <w:rPr/>
            </w:r>
          </w:p>
        </w:tc>
        <w:tc>
          <w:tcPr>
            <w:tcW w:w="232" w:type="dxa"/>
            <w:tcBorders/>
            <w:shd w:fill="FFFFFF" w:val="clear"/>
            <w:vAlign w:val="center"/>
          </w:tcPr>
          <w:p>
            <w:pPr>
              <w:pStyle w:val="TableContents"/>
              <w:bidi w:val="0"/>
              <w:spacing w:before="0" w:after="283"/>
              <w:jc w:val="left"/>
              <w:rPr/>
            </w:pPr>
            <w:r>
              <w:rPr/>
            </w:r>
          </w:p>
        </w:tc>
        <w:tc>
          <w:tcPr>
            <w:tcW w:w="109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6,560</w:t>
            </w:r>
          </w:p>
        </w:tc>
        <w:tc>
          <w:tcPr>
            <w:tcW w:w="47" w:type="dxa"/>
            <w:tcBorders/>
            <w:shd w:fill="FFFFFF" w:val="clear"/>
            <w:vAlign w:val="center"/>
          </w:tcPr>
          <w:p>
            <w:pPr>
              <w:pStyle w:val="TableContents"/>
              <w:bidi w:val="0"/>
              <w:spacing w:before="0" w:after="283"/>
              <w:jc w:val="left"/>
              <w:rPr/>
            </w:pPr>
            <w:r>
              <w:rPr/>
            </w:r>
          </w:p>
        </w:tc>
      </w:tr>
      <w:tr>
        <w:trPr/>
        <w:tc>
          <w:tcPr>
            <w:tcW w:w="4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Europe and Africa </w:t>
            </w:r>
          </w:p>
        </w:tc>
        <w:tc>
          <w:tcPr>
            <w:tcW w:w="115" w:type="dxa"/>
            <w:tcBorders/>
            <w:shd w:fill="CCEEFF" w:val="clear"/>
            <w:vAlign w:val="center"/>
          </w:tcPr>
          <w:p>
            <w:pPr>
              <w:pStyle w:val="TableContents"/>
              <w:bidi w:val="0"/>
              <w:spacing w:before="0" w:after="0"/>
              <w:ind w:left="0" w:right="0" w:hanging="0"/>
              <w:jc w:val="left"/>
              <w:rPr/>
            </w:pPr>
            <w:r>
              <w:rPr/>
              <w:t xml:space="preserve">  </w:t>
            </w:r>
          </w:p>
        </w:tc>
        <w:tc>
          <w:tcPr>
            <w:tcW w:w="298" w:type="dxa"/>
            <w:tcBorders/>
            <w:shd w:fill="CCEEFF" w:val="clear"/>
            <w:vAlign w:val="center"/>
          </w:tcPr>
          <w:p>
            <w:pPr>
              <w:pStyle w:val="TableContents"/>
              <w:bidi w:val="0"/>
              <w:spacing w:before="0" w:after="0"/>
              <w:ind w:left="0" w:right="0" w:hanging="0"/>
              <w:jc w:val="left"/>
              <w:rPr/>
            </w:pPr>
            <w:r>
              <w:rPr/>
              <w:t xml:space="preserve">  </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431 </w:t>
            </w:r>
          </w:p>
        </w:tc>
        <w:tc>
          <w:tcPr>
            <w:tcW w:w="207" w:type="dxa"/>
            <w:tcBorders/>
            <w:shd w:fill="CCEEFF" w:val="clear"/>
            <w:vAlign w:val="center"/>
          </w:tcPr>
          <w:p>
            <w:pPr>
              <w:pStyle w:val="TableContents"/>
              <w:bidi w:val="0"/>
              <w:spacing w:before="0" w:after="0"/>
              <w:ind w:left="0" w:right="0" w:hanging="0"/>
              <w:jc w:val="left"/>
              <w:rPr/>
            </w:pPr>
            <w:r>
              <w:rPr/>
              <w:t xml:space="preserve">  </w:t>
            </w:r>
          </w:p>
        </w:tc>
        <w:tc>
          <w:tcPr>
            <w:tcW w:w="207" w:type="dxa"/>
            <w:tcBorders/>
            <w:shd w:fill="CCEEFF" w:val="clear"/>
            <w:vAlign w:val="center"/>
          </w:tcPr>
          <w:p>
            <w:pPr>
              <w:pStyle w:val="TableContents"/>
              <w:bidi w:val="0"/>
              <w:spacing w:before="0" w:after="0"/>
              <w:ind w:left="0" w:right="0" w:hanging="0"/>
              <w:jc w:val="left"/>
              <w:rPr/>
            </w:pPr>
            <w:r>
              <w:rPr/>
              <w:t xml:space="preserve">  </w:t>
            </w:r>
          </w:p>
        </w:tc>
        <w:tc>
          <w:tcPr>
            <w:tcW w:w="298" w:type="dxa"/>
            <w:tcBorders/>
            <w:shd w:fill="CCEEFF" w:val="clear"/>
            <w:vAlign w:val="center"/>
          </w:tcPr>
          <w:p>
            <w:pPr>
              <w:pStyle w:val="TableContents"/>
              <w:bidi w:val="0"/>
              <w:spacing w:before="0" w:after="0"/>
              <w:ind w:left="0" w:right="0" w:hanging="0"/>
              <w:jc w:val="left"/>
              <w:rPr/>
            </w:pPr>
            <w:r>
              <w:rPr/>
              <w:t xml:space="preserve">  </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995 </w:t>
            </w:r>
          </w:p>
        </w:tc>
        <w:tc>
          <w:tcPr>
            <w:tcW w:w="115"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09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1,771</w:t>
            </w:r>
          </w:p>
        </w:tc>
        <w:tc>
          <w:tcPr>
            <w:tcW w:w="41" w:type="dxa"/>
            <w:tcBorders/>
            <w:shd w:fill="CCEEFF" w:val="clear"/>
            <w:vAlign w:val="center"/>
          </w:tcPr>
          <w:p>
            <w:pPr>
              <w:pStyle w:val="TableContents"/>
              <w:bidi w:val="0"/>
              <w:spacing w:before="0" w:after="283"/>
              <w:jc w:val="left"/>
              <w:rPr/>
            </w:pPr>
            <w:r>
              <w:rPr/>
            </w:r>
          </w:p>
        </w:tc>
        <w:tc>
          <w:tcPr>
            <w:tcW w:w="42"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09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4,413</w:t>
            </w:r>
          </w:p>
        </w:tc>
        <w:tc>
          <w:tcPr>
            <w:tcW w:w="47" w:type="dxa"/>
            <w:tcBorders/>
            <w:shd w:fill="CCEEFF" w:val="clear"/>
            <w:vAlign w:val="center"/>
          </w:tcPr>
          <w:p>
            <w:pPr>
              <w:pStyle w:val="TableContents"/>
              <w:bidi w:val="0"/>
              <w:spacing w:before="0" w:after="283"/>
              <w:jc w:val="left"/>
              <w:rPr/>
            </w:pPr>
            <w:r>
              <w:rPr/>
            </w:r>
          </w:p>
        </w:tc>
      </w:tr>
      <w:tr>
        <w:trPr/>
        <w:tc>
          <w:tcPr>
            <w:tcW w:w="4276" w:type="dxa"/>
            <w:tcBorders/>
            <w:shd w:fill="FFFFFF" w:val="clear"/>
            <w:vAlign w:val="center"/>
          </w:tcPr>
          <w:p>
            <w:pPr>
              <w:pStyle w:val="TableContents"/>
              <w:bidi w:val="0"/>
              <w:spacing w:before="0" w:after="0"/>
              <w:ind w:left="0" w:right="0" w:hanging="0"/>
              <w:jc w:val="left"/>
              <w:rPr/>
            </w:pPr>
            <w:r>
              <w:rPr/>
              <w:t xml:space="preserve">  </w:t>
            </w:r>
          </w:p>
        </w:tc>
        <w:tc>
          <w:tcPr>
            <w:tcW w:w="115" w:type="dxa"/>
            <w:tcBorders/>
            <w:shd w:fill="FFFFFF" w:val="clear"/>
            <w:vAlign w:val="center"/>
          </w:tcPr>
          <w:p>
            <w:pPr>
              <w:pStyle w:val="TableContents"/>
              <w:bidi w:val="0"/>
              <w:spacing w:before="0" w:after="0"/>
              <w:ind w:left="0" w:right="0" w:hanging="0"/>
              <w:jc w:val="left"/>
              <w:rPr/>
            </w:pPr>
            <w:r>
              <w:rPr/>
              <w:t xml:space="preserve">  </w:t>
            </w:r>
          </w:p>
        </w:tc>
        <w:tc>
          <w:tcPr>
            <w:tcW w:w="2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4,889 </w:t>
            </w:r>
          </w:p>
        </w:tc>
        <w:tc>
          <w:tcPr>
            <w:tcW w:w="207" w:type="dxa"/>
            <w:tcBorders/>
            <w:shd w:fill="FFFFFF" w:val="clear"/>
            <w:vAlign w:val="center"/>
          </w:tcPr>
          <w:p>
            <w:pPr>
              <w:pStyle w:val="TableContents"/>
              <w:bidi w:val="0"/>
              <w:spacing w:before="0" w:after="0"/>
              <w:ind w:left="0" w:right="0" w:hanging="0"/>
              <w:jc w:val="left"/>
              <w:rPr/>
            </w:pPr>
            <w:r>
              <w:rPr/>
              <w:t xml:space="preserve">  </w:t>
            </w:r>
          </w:p>
        </w:tc>
        <w:tc>
          <w:tcPr>
            <w:tcW w:w="207" w:type="dxa"/>
            <w:tcBorders/>
            <w:shd w:fill="FFFFFF" w:val="clear"/>
            <w:vAlign w:val="center"/>
          </w:tcPr>
          <w:p>
            <w:pPr>
              <w:pStyle w:val="TableContents"/>
              <w:bidi w:val="0"/>
              <w:spacing w:before="0" w:after="0"/>
              <w:ind w:left="0" w:right="0" w:hanging="0"/>
              <w:jc w:val="left"/>
              <w:rPr/>
            </w:pPr>
            <w:r>
              <w:rPr/>
              <w:t xml:space="preserve">  </w:t>
            </w:r>
          </w:p>
        </w:tc>
        <w:tc>
          <w:tcPr>
            <w:tcW w:w="2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6,264 </w:t>
            </w:r>
          </w:p>
        </w:tc>
        <w:tc>
          <w:tcPr>
            <w:tcW w:w="115" w:type="dxa"/>
            <w:tcBorders/>
            <w:shd w:fill="FFFFFF" w:val="clear"/>
            <w:vAlign w:val="center"/>
          </w:tcPr>
          <w:p>
            <w:pPr>
              <w:pStyle w:val="TableContents"/>
              <w:bidi w:val="0"/>
              <w:spacing w:before="0" w:after="0"/>
              <w:ind w:left="0" w:right="0" w:hanging="0"/>
              <w:jc w:val="left"/>
              <w:rPr/>
            </w:pPr>
            <w:r>
              <w:rPr/>
              <w:t xml:space="preserve">  </w:t>
            </w:r>
          </w:p>
        </w:tc>
        <w:tc>
          <w:tcPr>
            <w:tcW w:w="23" w:type="dxa"/>
            <w:tcBorders/>
            <w:shd w:fill="FFFFFF" w:val="clear"/>
            <w:vAlign w:val="center"/>
          </w:tcPr>
          <w:p>
            <w:pPr>
              <w:pStyle w:val="TableContents"/>
              <w:bidi w:val="0"/>
              <w:spacing w:before="0" w:after="283"/>
              <w:jc w:val="left"/>
              <w:rPr/>
            </w:pPr>
            <w:r>
              <w:rPr/>
            </w:r>
          </w:p>
        </w:tc>
        <w:tc>
          <w:tcPr>
            <w:tcW w:w="232"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9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14,550</w:t>
            </w:r>
          </w:p>
        </w:tc>
        <w:tc>
          <w:tcPr>
            <w:tcW w:w="41" w:type="dxa"/>
            <w:tcBorders/>
            <w:shd w:fill="FFFFFF" w:val="clear"/>
            <w:vAlign w:val="center"/>
          </w:tcPr>
          <w:p>
            <w:pPr>
              <w:pStyle w:val="TableContents"/>
              <w:bidi w:val="0"/>
              <w:spacing w:before="0" w:after="283"/>
              <w:jc w:val="left"/>
              <w:rPr/>
            </w:pPr>
            <w:r>
              <w:rPr/>
            </w:r>
          </w:p>
        </w:tc>
        <w:tc>
          <w:tcPr>
            <w:tcW w:w="42" w:type="dxa"/>
            <w:tcBorders/>
            <w:shd w:fill="FFFFFF" w:val="clear"/>
            <w:vAlign w:val="center"/>
          </w:tcPr>
          <w:p>
            <w:pPr>
              <w:pStyle w:val="TableContents"/>
              <w:bidi w:val="0"/>
              <w:spacing w:before="0" w:after="283"/>
              <w:jc w:val="left"/>
              <w:rPr/>
            </w:pPr>
            <w:r>
              <w:rPr/>
            </w:r>
          </w:p>
        </w:tc>
        <w:tc>
          <w:tcPr>
            <w:tcW w:w="232" w:type="dxa"/>
            <w:tcBorders/>
            <w:shd w:fill="FFFF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099"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21,184</w:t>
            </w:r>
          </w:p>
        </w:tc>
        <w:tc>
          <w:tcPr>
            <w:tcW w:w="47" w:type="dxa"/>
            <w:tcBorders/>
            <w:shd w:fill="FFFFFF" w:val="clear"/>
            <w:vAlign w:val="center"/>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w:t>
      </w:r>
      <w:r>
        <w:rPr>
          <w:rFonts w:ascii="Times New Roman" w:hAnsi="Times New Roman"/>
          <w:b/>
          <w:sz w:val="20"/>
        </w:rPr>
        <w:t>. Loss Per Share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earnings (loss) per share does not assume exercise or conversion of securities that would have an anti-dilutive effect.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sets forth the computation of basic and diluted earnings (loss) per common share:</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4754"/>
        <w:gridCol w:w="23"/>
        <w:gridCol w:w="133"/>
        <w:gridCol w:w="1176"/>
        <w:gridCol w:w="101"/>
        <w:gridCol w:w="24"/>
        <w:gridCol w:w="133"/>
        <w:gridCol w:w="1176"/>
        <w:gridCol w:w="95"/>
        <w:gridCol w:w="23"/>
        <w:gridCol w:w="139"/>
        <w:gridCol w:w="1057"/>
        <w:gridCol w:w="105"/>
        <w:gridCol w:w="25"/>
        <w:gridCol w:w="138"/>
        <w:gridCol w:w="1057"/>
        <w:gridCol w:w="46"/>
      </w:tblGrid>
      <w:tr>
        <w:trPr/>
        <w:tc>
          <w:tcPr>
            <w:tcW w:w="4754"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43"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September 30,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21"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46" w:type="dxa"/>
            <w:tcBorders/>
            <w:vAlign w:val="center"/>
          </w:tcPr>
          <w:p>
            <w:pPr>
              <w:pStyle w:val="TableContents"/>
              <w:bidi w:val="0"/>
              <w:spacing w:before="0" w:after="283"/>
              <w:jc w:val="left"/>
              <w:rPr/>
            </w:pPr>
            <w:r>
              <w:rPr/>
            </w:r>
          </w:p>
        </w:tc>
      </w:tr>
      <w:tr>
        <w:trPr/>
        <w:tc>
          <w:tcPr>
            <w:tcW w:w="4754"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09" w:type="dxa"/>
            <w:gridSpan w:val="2"/>
            <w:tcBorders/>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left"/>
              <w:rPr/>
            </w:pPr>
            <w:r>
              <w:rPr/>
            </w:r>
          </w:p>
        </w:tc>
        <w:tc>
          <w:tcPr>
            <w:tcW w:w="24" w:type="dxa"/>
            <w:tcBorders/>
            <w:vAlign w:val="center"/>
          </w:tcPr>
          <w:p>
            <w:pPr>
              <w:pStyle w:val="TableContents"/>
              <w:bidi w:val="0"/>
              <w:spacing w:before="0" w:after="283"/>
              <w:jc w:val="left"/>
              <w:rPr/>
            </w:pPr>
            <w:r>
              <w:rPr/>
            </w:r>
          </w:p>
        </w:tc>
        <w:tc>
          <w:tcPr>
            <w:tcW w:w="1309" w:type="dxa"/>
            <w:gridSpan w:val="2"/>
            <w:tcBorders/>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196" w:type="dxa"/>
            <w:gridSpan w:val="2"/>
            <w:tcBorders/>
            <w:vAlign w:val="center"/>
          </w:tcPr>
          <w:p>
            <w:pPr>
              <w:pStyle w:val="TableContents"/>
              <w:bidi w:val="0"/>
              <w:spacing w:before="0" w:after="283"/>
              <w:jc w:val="center"/>
              <w:rPr>
                <w:b/>
              </w:rPr>
            </w:pPr>
            <w:r>
              <w:rPr>
                <w:b/>
              </w:rPr>
              <w:t>2023</w:t>
            </w:r>
          </w:p>
        </w:tc>
        <w:tc>
          <w:tcPr>
            <w:tcW w:w="105" w:type="dxa"/>
            <w:tcBorders/>
            <w:vAlign w:val="center"/>
          </w:tcPr>
          <w:p>
            <w:pPr>
              <w:pStyle w:val="TableContents"/>
              <w:bidi w:val="0"/>
              <w:spacing w:before="0" w:after="283"/>
              <w:jc w:val="left"/>
              <w:rPr/>
            </w:pPr>
            <w:r>
              <w:rPr/>
            </w:r>
          </w:p>
        </w:tc>
        <w:tc>
          <w:tcPr>
            <w:tcW w:w="25" w:type="dxa"/>
            <w:tcBorders/>
            <w:vAlign w:val="center"/>
          </w:tcPr>
          <w:p>
            <w:pPr>
              <w:pStyle w:val="TableContents"/>
              <w:bidi w:val="0"/>
              <w:spacing w:before="0" w:after="283"/>
              <w:jc w:val="left"/>
              <w:rPr/>
            </w:pPr>
            <w:r>
              <w:rPr/>
            </w:r>
          </w:p>
        </w:tc>
        <w:tc>
          <w:tcPr>
            <w:tcW w:w="1195" w:type="dxa"/>
            <w:gridSpan w:val="2"/>
            <w:tcBorders/>
            <w:vAlign w:val="center"/>
          </w:tcPr>
          <w:p>
            <w:pPr>
              <w:pStyle w:val="TableContents"/>
              <w:bidi w:val="0"/>
              <w:spacing w:before="0" w:after="283"/>
              <w:jc w:val="center"/>
              <w:rPr>
                <w:b/>
              </w:rPr>
            </w:pPr>
            <w:r>
              <w:rPr>
                <w:b/>
              </w:rPr>
              <w:t>2022</w:t>
            </w:r>
          </w:p>
        </w:tc>
        <w:tc>
          <w:tcPr>
            <w:tcW w:w="46" w:type="dxa"/>
            <w:tcBorders/>
            <w:vAlign w:val="center"/>
          </w:tcPr>
          <w:p>
            <w:pPr>
              <w:pStyle w:val="TableContents"/>
              <w:bidi w:val="0"/>
              <w:spacing w:before="0" w:after="283"/>
              <w:jc w:val="left"/>
              <w:rPr/>
            </w:pPr>
            <w:r>
              <w:rPr/>
            </w:r>
          </w:p>
        </w:tc>
      </w:tr>
      <w:tr>
        <w:trPr/>
        <w:tc>
          <w:tcPr>
            <w:tcW w:w="47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46" w:type="dxa"/>
            <w:tcBorders/>
            <w:shd w:fill="CCEEFF" w:val="clear"/>
            <w:vAlign w:val="center"/>
          </w:tcPr>
          <w:p>
            <w:pPr>
              <w:pStyle w:val="TableContents"/>
              <w:bidi w:val="0"/>
              <w:spacing w:before="0" w:after="283"/>
              <w:jc w:val="left"/>
              <w:rPr/>
            </w:pPr>
            <w:r>
              <w:rPr/>
            </w:r>
          </w:p>
        </w:tc>
      </w:tr>
      <w:tr>
        <w:trPr/>
        <w:tc>
          <w:tcPr>
            <w:tcW w:w="475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FFFFFF" w:val="clear"/>
            <w:vAlign w:val="center"/>
          </w:tcPr>
          <w:p>
            <w:pPr>
              <w:pStyle w:val="TableContents"/>
              <w:bidi w:val="0"/>
              <w:spacing w:before="0" w:after="283"/>
              <w:jc w:val="right"/>
              <w:rPr/>
            </w:pPr>
            <w:r>
              <w:rPr/>
              <w:t>(1,351</w:t>
            </w:r>
          </w:p>
        </w:tc>
        <w:tc>
          <w:tcPr>
            <w:tcW w:w="101" w:type="dxa"/>
            <w:tcBorders/>
            <w:shd w:fill="FFFFFF" w:val="clear"/>
            <w:vAlign w:val="center"/>
          </w:tcPr>
          <w:p>
            <w:pPr>
              <w:pStyle w:val="TableContents"/>
              <w:bidi w:val="0"/>
              <w:spacing w:before="0" w:after="283"/>
              <w:jc w:val="left"/>
              <w:rPr/>
            </w:pPr>
            <w:r>
              <w:rPr/>
              <w:t>)</w:t>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FFFFFF" w:val="clear"/>
            <w:vAlign w:val="center"/>
          </w:tcPr>
          <w:p>
            <w:pPr>
              <w:pStyle w:val="TableContents"/>
              <w:bidi w:val="0"/>
              <w:spacing w:before="0" w:after="283"/>
              <w:jc w:val="right"/>
              <w:rPr/>
            </w:pPr>
            <w:r>
              <w:rPr/>
              <w:t>(1,248</w:t>
            </w:r>
          </w:p>
        </w:tc>
        <w:tc>
          <w:tcPr>
            <w:tcW w:w="95"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57" w:type="dxa"/>
            <w:tcBorders/>
            <w:shd w:fill="FFFFFF" w:val="clear"/>
            <w:vAlign w:val="center"/>
          </w:tcPr>
          <w:p>
            <w:pPr>
              <w:pStyle w:val="TableContents"/>
              <w:bidi w:val="0"/>
              <w:spacing w:before="0" w:after="283"/>
              <w:jc w:val="right"/>
              <w:rPr/>
            </w:pPr>
            <w:r>
              <w:rPr/>
              <w:t>(3,202</w:t>
            </w:r>
          </w:p>
        </w:tc>
        <w:tc>
          <w:tcPr>
            <w:tcW w:w="10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(3,472)</w:t>
            </w:r>
          </w:p>
        </w:tc>
        <w:tc>
          <w:tcPr>
            <w:tcW w:w="46" w:type="dxa"/>
            <w:tcBorders/>
            <w:shd w:fill="FFFFFF" w:val="clear"/>
            <w:vAlign w:val="center"/>
          </w:tcPr>
          <w:p>
            <w:pPr>
              <w:pStyle w:val="TableContents"/>
              <w:bidi w:val="0"/>
              <w:spacing w:before="0" w:after="283"/>
              <w:jc w:val="left"/>
              <w:rPr>
                <w:sz w:val="4"/>
                <w:szCs w:val="4"/>
              </w:rPr>
            </w:pPr>
            <w:r>
              <w:rPr>
                <w:sz w:val="4"/>
                <w:szCs w:val="4"/>
              </w:rPr>
            </w:r>
          </w:p>
        </w:tc>
      </w:tr>
      <w:tr>
        <w:trPr/>
        <w:tc>
          <w:tcPr>
            <w:tcW w:w="47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46" w:type="dxa"/>
            <w:tcBorders/>
            <w:shd w:fill="CCEEFF" w:val="clear"/>
            <w:vAlign w:val="center"/>
          </w:tcPr>
          <w:p>
            <w:pPr>
              <w:pStyle w:val="TableContents"/>
              <w:bidi w:val="0"/>
              <w:spacing w:before="0" w:after="283"/>
              <w:jc w:val="left"/>
              <w:rPr/>
            </w:pPr>
            <w:r>
              <w:rPr/>
            </w:r>
          </w:p>
        </w:tc>
      </w:tr>
      <w:tr>
        <w:trPr/>
        <w:tc>
          <w:tcPr>
            <w:tcW w:w="475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23,960,313</w:t>
            </w:r>
          </w:p>
        </w:tc>
        <w:tc>
          <w:tcPr>
            <w:tcW w:w="101" w:type="dxa"/>
            <w:tcBorders/>
            <w:shd w:fill="FFFFFF" w:val="clear"/>
            <w:vAlign w:val="center"/>
          </w:tcPr>
          <w:p>
            <w:pPr>
              <w:pStyle w:val="TableContents"/>
              <w:bidi w:val="0"/>
              <w:spacing w:before="0" w:after="283"/>
              <w:jc w:val="left"/>
              <w:rPr/>
            </w:pPr>
            <w:r>
              <w:rPr/>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23,952,555</w:t>
            </w:r>
          </w:p>
        </w:tc>
        <w:tc>
          <w:tcPr>
            <w:tcW w:w="9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23,957,311</w:t>
            </w:r>
          </w:p>
        </w:tc>
        <w:tc>
          <w:tcPr>
            <w:tcW w:w="105" w:type="dxa"/>
            <w:tcBorders/>
            <w:shd w:fill="FFFFFF" w:val="clear"/>
            <w:vAlign w:val="center"/>
          </w:tcPr>
          <w:p>
            <w:pPr>
              <w:pStyle w:val="TableContents"/>
              <w:bidi w:val="0"/>
              <w:spacing w:before="0" w:after="283"/>
              <w:jc w:val="left"/>
              <w:rPr/>
            </w:pPr>
            <w:r>
              <w:rPr/>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23,933,033</w:t>
            </w:r>
          </w:p>
        </w:tc>
        <w:tc>
          <w:tcPr>
            <w:tcW w:w="46" w:type="dxa"/>
            <w:tcBorders/>
            <w:shd w:fill="FFFFFF" w:val="clear"/>
            <w:vAlign w:val="center"/>
          </w:tcPr>
          <w:p>
            <w:pPr>
              <w:pStyle w:val="TableContents"/>
              <w:bidi w:val="0"/>
              <w:spacing w:before="0" w:after="283"/>
              <w:jc w:val="left"/>
              <w:rPr/>
            </w:pPr>
            <w:r>
              <w:rPr/>
            </w:r>
          </w:p>
        </w:tc>
      </w:tr>
      <w:tr>
        <w:trPr/>
        <w:tc>
          <w:tcPr>
            <w:tcW w:w="475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Dilutive common stock equivalents using treasury stock method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0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46" w:type="dxa"/>
            <w:tcBorders/>
            <w:shd w:fill="CCEEFF" w:val="clear"/>
            <w:vAlign w:val="center"/>
          </w:tcPr>
          <w:p>
            <w:pPr>
              <w:pStyle w:val="TableContents"/>
              <w:bidi w:val="0"/>
              <w:spacing w:before="0" w:after="283"/>
              <w:jc w:val="left"/>
              <w:rPr/>
            </w:pPr>
            <w:r>
              <w:rPr/>
            </w:r>
          </w:p>
        </w:tc>
      </w:tr>
      <w:tr>
        <w:trPr/>
        <w:tc>
          <w:tcPr>
            <w:tcW w:w="47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23,960,313</w:t>
            </w:r>
          </w:p>
        </w:tc>
        <w:tc>
          <w:tcPr>
            <w:tcW w:w="101" w:type="dxa"/>
            <w:tcBorders/>
            <w:shd w:fill="FFFFFF" w:val="clear"/>
            <w:vAlign w:val="center"/>
          </w:tcPr>
          <w:p>
            <w:pPr>
              <w:pStyle w:val="TableContents"/>
              <w:bidi w:val="0"/>
              <w:spacing w:before="0" w:after="283"/>
              <w:jc w:val="left"/>
              <w:rPr/>
            </w:pPr>
            <w:r>
              <w:rPr/>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23,952,555</w:t>
            </w:r>
          </w:p>
        </w:tc>
        <w:tc>
          <w:tcPr>
            <w:tcW w:w="9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23,957,311</w:t>
            </w:r>
          </w:p>
        </w:tc>
        <w:tc>
          <w:tcPr>
            <w:tcW w:w="105" w:type="dxa"/>
            <w:tcBorders/>
            <w:shd w:fill="FFFFFF" w:val="clear"/>
            <w:vAlign w:val="center"/>
          </w:tcPr>
          <w:p>
            <w:pPr>
              <w:pStyle w:val="TableContents"/>
              <w:bidi w:val="0"/>
              <w:spacing w:before="0" w:after="283"/>
              <w:jc w:val="left"/>
              <w:rPr/>
            </w:pPr>
            <w:r>
              <w:rPr/>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23,933,033</w:t>
            </w:r>
          </w:p>
        </w:tc>
        <w:tc>
          <w:tcPr>
            <w:tcW w:w="46" w:type="dxa"/>
            <w:tcBorders/>
            <w:shd w:fill="FFFFFF" w:val="clear"/>
            <w:vAlign w:val="center"/>
          </w:tcPr>
          <w:p>
            <w:pPr>
              <w:pStyle w:val="TableContents"/>
              <w:bidi w:val="0"/>
              <w:spacing w:before="0" w:after="283"/>
              <w:jc w:val="left"/>
              <w:rPr/>
            </w:pPr>
            <w:r>
              <w:rPr/>
            </w:r>
          </w:p>
        </w:tc>
      </w:tr>
      <w:tr>
        <w:trPr/>
        <w:tc>
          <w:tcPr>
            <w:tcW w:w="4754"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bidi w:val="0"/>
              <w:spacing w:before="0" w:after="283"/>
              <w:jc w:val="left"/>
              <w:rPr/>
            </w:pPr>
            <w:r>
              <w:rPr/>
            </w:r>
          </w:p>
        </w:tc>
        <w:tc>
          <w:tcPr>
            <w:tcW w:w="46" w:type="dxa"/>
            <w:tcBorders/>
            <w:shd w:fill="CCEEFF" w:val="clear"/>
            <w:vAlign w:val="center"/>
          </w:tcPr>
          <w:p>
            <w:pPr>
              <w:pStyle w:val="TableContents"/>
              <w:bidi w:val="0"/>
              <w:spacing w:before="0" w:after="283"/>
              <w:jc w:val="left"/>
              <w:rPr/>
            </w:pPr>
            <w:r>
              <w:rPr/>
            </w:r>
          </w:p>
        </w:tc>
      </w:tr>
      <w:tr>
        <w:trPr/>
        <w:tc>
          <w:tcPr>
            <w:tcW w:w="47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common share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FFFFFF" w:val="clear"/>
            <w:vAlign w:val="center"/>
          </w:tcPr>
          <w:p>
            <w:pPr>
              <w:pStyle w:val="TableContents"/>
              <w:bidi w:val="0"/>
              <w:spacing w:before="0" w:after="283"/>
              <w:jc w:val="right"/>
              <w:rPr/>
            </w:pPr>
            <w:r>
              <w:rPr/>
              <w:t>(0.06</w:t>
            </w:r>
          </w:p>
        </w:tc>
        <w:tc>
          <w:tcPr>
            <w:tcW w:w="101" w:type="dxa"/>
            <w:tcBorders/>
            <w:shd w:fill="FFFFFF" w:val="clear"/>
            <w:vAlign w:val="center"/>
          </w:tcPr>
          <w:p>
            <w:pPr>
              <w:pStyle w:val="TableContents"/>
              <w:bidi w:val="0"/>
              <w:spacing w:before="0" w:after="283"/>
              <w:jc w:val="left"/>
              <w:rPr/>
            </w:pPr>
            <w:r>
              <w:rPr/>
              <w:t>)</w:t>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57" w:type="dxa"/>
            <w:tcBorders/>
            <w:shd w:fill="FFFFFF" w:val="clear"/>
            <w:vAlign w:val="center"/>
          </w:tcPr>
          <w:p>
            <w:pPr>
              <w:pStyle w:val="TableContents"/>
              <w:bidi w:val="0"/>
              <w:spacing w:before="0" w:after="283"/>
              <w:jc w:val="right"/>
              <w:rPr/>
            </w:pPr>
            <w:r>
              <w:rPr/>
              <w:t>(0.13</w:t>
            </w:r>
          </w:p>
        </w:tc>
        <w:tc>
          <w:tcPr>
            <w:tcW w:w="10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(0.15)</w:t>
            </w:r>
          </w:p>
        </w:tc>
        <w:tc>
          <w:tcPr>
            <w:tcW w:w="46" w:type="dxa"/>
            <w:tcBorders/>
            <w:shd w:fill="FFFFFF" w:val="clear"/>
            <w:vAlign w:val="center"/>
          </w:tcPr>
          <w:p>
            <w:pPr>
              <w:pStyle w:val="TableContents"/>
              <w:bidi w:val="0"/>
              <w:spacing w:before="0" w:after="283"/>
              <w:jc w:val="left"/>
              <w:rPr>
                <w:sz w:val="4"/>
                <w:szCs w:val="4"/>
              </w:rPr>
            </w:pPr>
            <w:r>
              <w:rPr>
                <w:sz w:val="4"/>
                <w:szCs w:val="4"/>
              </w:rPr>
            </w:r>
          </w:p>
        </w:tc>
      </w:tr>
      <w:tr>
        <w:trPr/>
        <w:tc>
          <w:tcPr>
            <w:tcW w:w="47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common share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CCEEFF" w:val="clear"/>
            <w:vAlign w:val="center"/>
          </w:tcPr>
          <w:p>
            <w:pPr>
              <w:pStyle w:val="TableContents"/>
              <w:bidi w:val="0"/>
              <w:spacing w:before="0" w:after="283"/>
              <w:jc w:val="right"/>
              <w:rPr/>
            </w:pPr>
            <w:r>
              <w:rPr/>
              <w:t>(0.06</w:t>
            </w:r>
          </w:p>
        </w:tc>
        <w:tc>
          <w:tcPr>
            <w:tcW w:w="101"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6"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57" w:type="dxa"/>
            <w:tcBorders/>
            <w:shd w:fill="CCEEFF" w:val="clear"/>
            <w:vAlign w:val="center"/>
          </w:tcPr>
          <w:p>
            <w:pPr>
              <w:pStyle w:val="TableContents"/>
              <w:bidi w:val="0"/>
              <w:spacing w:before="0" w:after="283"/>
              <w:jc w:val="right"/>
              <w:rPr/>
            </w:pPr>
            <w:r>
              <w:rPr/>
              <w:t>(0.13</w:t>
            </w:r>
          </w:p>
        </w:tc>
        <w:tc>
          <w:tcPr>
            <w:tcW w:w="105" w:type="dxa"/>
            <w:tcBorders/>
            <w:shd w:fill="CCEEFF" w:val="clear"/>
            <w:vAlign w:val="center"/>
          </w:tcPr>
          <w:p>
            <w:pPr>
              <w:pStyle w:val="TableContents"/>
              <w:bidi w:val="0"/>
              <w:spacing w:before="0" w:after="283"/>
              <w:jc w:val="left"/>
              <w:rPr/>
            </w:pPr>
            <w:r>
              <w:rPr/>
              <w:t>)</w:t>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057"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(0.15)</w:t>
            </w:r>
          </w:p>
        </w:tc>
        <w:tc>
          <w:tcPr>
            <w:tcW w:w="46" w:type="dxa"/>
            <w:tcBorders/>
            <w:shd w:fill="CCEEFF" w:val="clear"/>
            <w:vAlign w:val="center"/>
          </w:tcPr>
          <w:p>
            <w:pPr>
              <w:pStyle w:val="TableContents"/>
              <w:bidi w:val="0"/>
              <w:spacing w:before="0" w:after="283"/>
              <w:jc w:val="left"/>
              <w:rPr>
                <w:sz w:val="4"/>
                <w:szCs w:val="4"/>
              </w:rPr>
            </w:pPr>
            <w:r>
              <w:rPr>
                <w:sz w:val="4"/>
                <w:szCs w:val="4"/>
              </w:rPr>
            </w:r>
          </w:p>
        </w:tc>
      </w:tr>
      <w:tr>
        <w:trPr/>
        <w:tc>
          <w:tcPr>
            <w:tcW w:w="4754" w:type="dxa"/>
            <w:tcBorders/>
            <w:shd w:fill="FFFFFF" w:val="clear"/>
            <w:vAlign w:val="center"/>
          </w:tcPr>
          <w:p>
            <w:pPr>
              <w:pStyle w:val="TableContents"/>
              <w:bidi w:val="0"/>
              <w:spacing w:before="0" w:after="0"/>
              <w:ind w:left="0" w:right="0" w:hanging="0"/>
              <w:jc w:val="left"/>
              <w:rPr/>
            </w:pPr>
            <w:r>
              <w:rPr/>
              <w:t xml:space="preserve">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left"/>
              <w:rPr/>
            </w:pPr>
            <w:r>
              <w:rPr/>
            </w:r>
          </w:p>
        </w:tc>
        <w:tc>
          <w:tcPr>
            <w:tcW w:w="101" w:type="dxa"/>
            <w:tcBorders/>
            <w:shd w:fill="FFFFFF" w:val="clear"/>
            <w:vAlign w:val="center"/>
          </w:tcPr>
          <w:p>
            <w:pPr>
              <w:pStyle w:val="TableContents"/>
              <w:bidi w:val="0"/>
              <w:spacing w:before="0" w:after="283"/>
              <w:jc w:val="left"/>
              <w:rPr/>
            </w:pPr>
            <w:r>
              <w:rPr/>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left"/>
              <w:rPr/>
            </w:pPr>
            <w:r>
              <w:rPr/>
            </w:r>
          </w:p>
        </w:tc>
        <w:tc>
          <w:tcPr>
            <w:tcW w:w="9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bidi w:val="0"/>
              <w:spacing w:before="0" w:after="283"/>
              <w:jc w:val="left"/>
              <w:rPr/>
            </w:pPr>
            <w:r>
              <w:rPr/>
            </w:r>
          </w:p>
        </w:tc>
        <w:tc>
          <w:tcPr>
            <w:tcW w:w="105" w:type="dxa"/>
            <w:tcBorders/>
            <w:shd w:fill="FFFFFF" w:val="clear"/>
            <w:vAlign w:val="center"/>
          </w:tcPr>
          <w:p>
            <w:pPr>
              <w:pStyle w:val="TableContents"/>
              <w:bidi w:val="0"/>
              <w:spacing w:before="0" w:after="283"/>
              <w:jc w:val="left"/>
              <w:rPr/>
            </w:pPr>
            <w:r>
              <w:rPr/>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bidi w:val="0"/>
              <w:spacing w:before="0" w:after="283"/>
              <w:jc w:val="left"/>
              <w:rPr/>
            </w:pPr>
            <w:r>
              <w:rPr/>
            </w:r>
          </w:p>
        </w:tc>
        <w:tc>
          <w:tcPr>
            <w:tcW w:w="46" w:type="dxa"/>
            <w:tcBorders/>
            <w:shd w:fill="FFFFFF" w:val="clear"/>
            <w:vAlign w:val="center"/>
          </w:tcPr>
          <w:p>
            <w:pPr>
              <w:pStyle w:val="TableContents"/>
              <w:bidi w:val="0"/>
              <w:spacing w:before="0" w:after="283"/>
              <w:jc w:val="left"/>
              <w:rPr/>
            </w:pPr>
            <w:r>
              <w:rPr/>
            </w:r>
          </w:p>
        </w:tc>
      </w:tr>
      <w:tr>
        <w:trPr/>
        <w:tc>
          <w:tcPr>
            <w:tcW w:w="47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warrants and convertible portion of senior convertible notes outstanding </w:t>
            </w:r>
          </w:p>
        </w:tc>
        <w:tc>
          <w:tcPr>
            <w:tcW w:w="23"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right"/>
              <w:rPr/>
            </w:pPr>
            <w:r>
              <w:rPr/>
              <w:t>6,294,994</w:t>
            </w:r>
          </w:p>
        </w:tc>
        <w:tc>
          <w:tcPr>
            <w:tcW w:w="101" w:type="dxa"/>
            <w:tcBorders/>
            <w:shd w:fill="CCEEFF" w:val="clear"/>
            <w:vAlign w:val="center"/>
          </w:tcPr>
          <w:p>
            <w:pPr>
              <w:pStyle w:val="TableContents"/>
              <w:bidi w:val="0"/>
              <w:spacing w:before="0" w:after="283"/>
              <w:jc w:val="left"/>
              <w:rPr/>
            </w:pPr>
            <w:r>
              <w:rPr/>
            </w:r>
          </w:p>
        </w:tc>
        <w:tc>
          <w:tcPr>
            <w:tcW w:w="24"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1176" w:type="dxa"/>
            <w:tcBorders/>
            <w:shd w:fill="CCEEFF" w:val="clear"/>
            <w:vAlign w:val="center"/>
          </w:tcPr>
          <w:p>
            <w:pPr>
              <w:pStyle w:val="TableContents"/>
              <w:bidi w:val="0"/>
              <w:spacing w:before="0" w:after="283"/>
              <w:jc w:val="right"/>
              <w:rPr/>
            </w:pPr>
            <w:r>
              <w:rPr/>
              <w:t>6,694,433</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39"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6,316,137</w:t>
            </w:r>
          </w:p>
        </w:tc>
        <w:tc>
          <w:tcPr>
            <w:tcW w:w="105" w:type="dxa"/>
            <w:tcBorders/>
            <w:shd w:fill="CCEEFF" w:val="clear"/>
            <w:vAlign w:val="center"/>
          </w:tcPr>
          <w:p>
            <w:pPr>
              <w:pStyle w:val="TableContents"/>
              <w:bidi w:val="0"/>
              <w:spacing w:before="0" w:after="283"/>
              <w:jc w:val="left"/>
              <w:rPr/>
            </w:pPr>
            <w:r>
              <w:rPr/>
            </w:r>
          </w:p>
        </w:tc>
        <w:tc>
          <w:tcPr>
            <w:tcW w:w="25" w:type="dxa"/>
            <w:tcBorders/>
            <w:shd w:fill="CCEEFF" w:val="clear"/>
            <w:vAlign w:val="center"/>
          </w:tcPr>
          <w:p>
            <w:pPr>
              <w:pStyle w:val="TableContents"/>
              <w:bidi w:val="0"/>
              <w:spacing w:before="0" w:after="283"/>
              <w:jc w:val="left"/>
              <w:rPr/>
            </w:pPr>
            <w:r>
              <w:rPr/>
            </w:r>
          </w:p>
        </w:tc>
        <w:tc>
          <w:tcPr>
            <w:tcW w:w="138" w:type="dxa"/>
            <w:tcBorders/>
            <w:shd w:fill="CCEEFF" w:val="clear"/>
            <w:vAlign w:val="center"/>
          </w:tcPr>
          <w:p>
            <w:pPr>
              <w:pStyle w:val="TableContents"/>
              <w:bidi w:val="0"/>
              <w:spacing w:before="0" w:after="283"/>
              <w:jc w:val="left"/>
              <w:rPr/>
            </w:pPr>
            <w:r>
              <w:rPr/>
            </w:r>
          </w:p>
        </w:tc>
        <w:tc>
          <w:tcPr>
            <w:tcW w:w="1057"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6,896,803</w:t>
            </w:r>
          </w:p>
        </w:tc>
        <w:tc>
          <w:tcPr>
            <w:tcW w:w="46" w:type="dxa"/>
            <w:tcBorders/>
            <w:shd w:fill="CCEEFF" w:val="clear"/>
            <w:vAlign w:val="center"/>
          </w:tcPr>
          <w:p>
            <w:pPr>
              <w:pStyle w:val="TableContents"/>
              <w:bidi w:val="0"/>
              <w:spacing w:before="0" w:after="283"/>
              <w:jc w:val="left"/>
              <w:rPr/>
            </w:pPr>
            <w:r>
              <w:rPr/>
            </w:r>
          </w:p>
        </w:tc>
      </w:tr>
      <w:tr>
        <w:trPr/>
        <w:tc>
          <w:tcPr>
            <w:tcW w:w="4754" w:type="dxa"/>
            <w:tcBorders/>
            <w:shd w:fill="FFFF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Anti-dilutive options, warrants and convertible portion of senior convertible notes not included in the computation </w:t>
            </w:r>
          </w:p>
        </w:tc>
        <w:tc>
          <w:tcPr>
            <w:tcW w:w="23"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6,294,994</w:t>
            </w:r>
          </w:p>
        </w:tc>
        <w:tc>
          <w:tcPr>
            <w:tcW w:w="101" w:type="dxa"/>
            <w:tcBorders/>
            <w:shd w:fill="FFFFFF" w:val="clear"/>
            <w:vAlign w:val="center"/>
          </w:tcPr>
          <w:p>
            <w:pPr>
              <w:pStyle w:val="TableContents"/>
              <w:bidi w:val="0"/>
              <w:spacing w:before="0" w:after="283"/>
              <w:jc w:val="left"/>
              <w:rPr/>
            </w:pPr>
            <w:r>
              <w:rPr/>
            </w:r>
          </w:p>
        </w:tc>
        <w:tc>
          <w:tcPr>
            <w:tcW w:w="24" w:type="dxa"/>
            <w:tcBorders/>
            <w:shd w:fill="FFFFFF" w:val="clear"/>
            <w:vAlign w:val="center"/>
          </w:tcPr>
          <w:p>
            <w:pPr>
              <w:pStyle w:val="TableContents"/>
              <w:bidi w:val="0"/>
              <w:spacing w:before="0" w:after="283"/>
              <w:jc w:val="left"/>
              <w:rPr/>
            </w:pPr>
            <w:r>
              <w:rPr/>
            </w:r>
          </w:p>
        </w:tc>
        <w:tc>
          <w:tcPr>
            <w:tcW w:w="133" w:type="dxa"/>
            <w:tcBorders/>
            <w:shd w:fill="FFFFFF" w:val="clear"/>
            <w:vAlign w:val="center"/>
          </w:tcPr>
          <w:p>
            <w:pPr>
              <w:pStyle w:val="TableContents"/>
              <w:bidi w:val="0"/>
              <w:spacing w:before="0" w:after="283"/>
              <w:jc w:val="left"/>
              <w:rPr/>
            </w:pPr>
            <w:r>
              <w:rPr/>
            </w:r>
          </w:p>
        </w:tc>
        <w:tc>
          <w:tcPr>
            <w:tcW w:w="1176" w:type="dxa"/>
            <w:tcBorders/>
            <w:shd w:fill="FFFFFF" w:val="clear"/>
            <w:vAlign w:val="center"/>
          </w:tcPr>
          <w:p>
            <w:pPr>
              <w:pStyle w:val="TableContents"/>
              <w:bidi w:val="0"/>
              <w:spacing w:before="0" w:after="283"/>
              <w:jc w:val="right"/>
              <w:rPr/>
            </w:pPr>
            <w:r>
              <w:rPr/>
              <w:t>6,694,433</w:t>
            </w:r>
          </w:p>
        </w:tc>
        <w:tc>
          <w:tcPr>
            <w:tcW w:w="9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39"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6,316,137</w:t>
            </w:r>
          </w:p>
        </w:tc>
        <w:tc>
          <w:tcPr>
            <w:tcW w:w="105" w:type="dxa"/>
            <w:tcBorders/>
            <w:shd w:fill="FFFFFF" w:val="clear"/>
            <w:vAlign w:val="center"/>
          </w:tcPr>
          <w:p>
            <w:pPr>
              <w:pStyle w:val="TableContents"/>
              <w:bidi w:val="0"/>
              <w:spacing w:before="0" w:after="283"/>
              <w:jc w:val="left"/>
              <w:rPr/>
            </w:pPr>
            <w:r>
              <w:rPr/>
            </w:r>
          </w:p>
        </w:tc>
        <w:tc>
          <w:tcPr>
            <w:tcW w:w="25" w:type="dxa"/>
            <w:tcBorders/>
            <w:shd w:fill="FFFFFF" w:val="clear"/>
            <w:vAlign w:val="center"/>
          </w:tcPr>
          <w:p>
            <w:pPr>
              <w:pStyle w:val="TableContents"/>
              <w:bidi w:val="0"/>
              <w:spacing w:before="0" w:after="283"/>
              <w:jc w:val="left"/>
              <w:rPr/>
            </w:pPr>
            <w:r>
              <w:rPr/>
            </w:r>
          </w:p>
        </w:tc>
        <w:tc>
          <w:tcPr>
            <w:tcW w:w="138"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6,896,803</w:t>
            </w:r>
          </w:p>
        </w:tc>
        <w:tc>
          <w:tcPr>
            <w:tcW w:w="46" w:type="dxa"/>
            <w:tcBorders/>
            <w:shd w:fill="FFFF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before="0" w:after="283"/>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4. Marketable Securities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amortized cost, gross unrealized holding gains, gross unrealized holding losses, and fair value for available-for-sale securities by major security type and class of securities as of September 30, 2023 were as follows: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73"/>
        <w:gridCol w:w="101"/>
        <w:gridCol w:w="241"/>
        <w:gridCol w:w="966"/>
        <w:gridCol w:w="101"/>
        <w:gridCol w:w="101"/>
        <w:gridCol w:w="746"/>
        <w:gridCol w:w="1386"/>
        <w:gridCol w:w="101"/>
        <w:gridCol w:w="101"/>
        <w:gridCol w:w="698"/>
        <w:gridCol w:w="1453"/>
        <w:gridCol w:w="112"/>
        <w:gridCol w:w="101"/>
        <w:gridCol w:w="300"/>
        <w:gridCol w:w="1201"/>
        <w:gridCol w:w="123"/>
      </w:tblGrid>
      <w:tr>
        <w:trPr/>
        <w:tc>
          <w:tcPr>
            <w:tcW w:w="2373"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120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Amortized cost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213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Gross unrealized holding gains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215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Gross unrealized holding losses </w:t>
            </w:r>
          </w:p>
        </w:tc>
        <w:tc>
          <w:tcPr>
            <w:tcW w:w="112"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150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Estimated fair value </w:t>
            </w:r>
          </w:p>
        </w:tc>
        <w:tc>
          <w:tcPr>
            <w:tcW w:w="123" w:type="dxa"/>
            <w:tcBorders/>
            <w:vAlign w:val="center"/>
          </w:tcPr>
          <w:p>
            <w:pPr>
              <w:pStyle w:val="TableContents"/>
              <w:bidi w:val="0"/>
              <w:spacing w:before="0" w:after="0"/>
              <w:ind w:left="0" w:right="0" w:hanging="0"/>
              <w:jc w:val="left"/>
              <w:rPr/>
            </w:pPr>
            <w:r>
              <w:rPr/>
              <w:t xml:space="preserve">  </w:t>
            </w:r>
          </w:p>
        </w:tc>
      </w:tr>
      <w:tr>
        <w:trPr/>
        <w:tc>
          <w:tcPr>
            <w:tcW w:w="237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September 30, 2023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966"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746" w:type="dxa"/>
            <w:tcBorders/>
            <w:shd w:fill="CCEEFF" w:val="clear"/>
            <w:vAlign w:val="center"/>
          </w:tcPr>
          <w:p>
            <w:pPr>
              <w:pStyle w:val="TableContents"/>
              <w:bidi w:val="0"/>
              <w:spacing w:before="0" w:after="0"/>
              <w:ind w:left="0" w:right="0" w:hanging="0"/>
              <w:jc w:val="left"/>
              <w:rPr/>
            </w:pPr>
            <w:r>
              <w:rPr/>
              <w:t xml:space="preserve">  </w:t>
            </w:r>
          </w:p>
        </w:tc>
        <w:tc>
          <w:tcPr>
            <w:tcW w:w="1386"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698" w:type="dxa"/>
            <w:tcBorders/>
            <w:shd w:fill="CCEEFF" w:val="clear"/>
            <w:vAlign w:val="center"/>
          </w:tcPr>
          <w:p>
            <w:pPr>
              <w:pStyle w:val="TableContents"/>
              <w:bidi w:val="0"/>
              <w:spacing w:before="0" w:after="0"/>
              <w:ind w:left="0" w:right="0" w:hanging="0"/>
              <w:jc w:val="left"/>
              <w:rPr/>
            </w:pPr>
            <w:r>
              <w:rPr/>
              <w:t xml:space="preserve">  </w:t>
            </w:r>
          </w:p>
        </w:tc>
        <w:tc>
          <w:tcPr>
            <w:tcW w:w="1453" w:type="dxa"/>
            <w:tcBorders/>
            <w:shd w:fill="CCEEFF" w:val="clear"/>
            <w:vAlign w:val="center"/>
          </w:tcPr>
          <w:p>
            <w:pPr>
              <w:pStyle w:val="TableContents"/>
              <w:bidi w:val="0"/>
              <w:spacing w:before="0" w:after="0"/>
              <w:ind w:left="0" w:right="0" w:hanging="0"/>
              <w:jc w:val="lef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300" w:type="dxa"/>
            <w:tcBorders/>
            <w:shd w:fill="CCEEFF" w:val="clear"/>
            <w:vAlign w:val="center"/>
          </w:tcPr>
          <w:p>
            <w:pPr>
              <w:pStyle w:val="TableContents"/>
              <w:bidi w:val="0"/>
              <w:spacing w:before="0" w:after="0"/>
              <w:ind w:left="0" w:right="0" w:hanging="0"/>
              <w:jc w:val="left"/>
              <w:rPr/>
            </w:pPr>
            <w:r>
              <w:rPr/>
              <w:t xml:space="preserve">  </w:t>
            </w:r>
          </w:p>
        </w:tc>
        <w:tc>
          <w:tcPr>
            <w:tcW w:w="1201" w:type="dxa"/>
            <w:tcBorders/>
            <w:shd w:fill="CCEEFF" w:val="clear"/>
            <w:vAlign w:val="center"/>
          </w:tcPr>
          <w:p>
            <w:pPr>
              <w:pStyle w:val="TableContents"/>
              <w:bidi w:val="0"/>
              <w:spacing w:before="0" w:after="0"/>
              <w:ind w:left="0" w:right="0" w:hanging="0"/>
              <w:jc w:val="left"/>
              <w:rPr/>
            </w:pPr>
            <w:r>
              <w:rPr/>
              <w:t xml:space="preserve">  </w:t>
            </w:r>
          </w:p>
        </w:tc>
        <w:tc>
          <w:tcPr>
            <w:tcW w:w="123" w:type="dxa"/>
            <w:tcBorders/>
            <w:shd w:fill="CCEEFF" w:val="clear"/>
            <w:vAlign w:val="center"/>
          </w:tcPr>
          <w:p>
            <w:pPr>
              <w:pStyle w:val="TableContents"/>
              <w:bidi w:val="0"/>
              <w:spacing w:before="0" w:after="0"/>
              <w:ind w:left="0" w:right="0" w:hanging="0"/>
              <w:jc w:val="left"/>
              <w:rPr/>
            </w:pPr>
            <w:r>
              <w:rPr/>
              <w:t xml:space="preserve">  </w:t>
            </w:r>
          </w:p>
        </w:tc>
      </w:tr>
      <w:tr>
        <w:trPr/>
        <w:tc>
          <w:tcPr>
            <w:tcW w:w="23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Available-for-sale securities: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241" w:type="dxa"/>
            <w:tcBorders/>
            <w:shd w:fill="FFFFFF" w:val="clear"/>
            <w:vAlign w:val="center"/>
          </w:tcPr>
          <w:p>
            <w:pPr>
              <w:pStyle w:val="TableContents"/>
              <w:bidi w:val="0"/>
              <w:spacing w:before="0" w:after="0"/>
              <w:ind w:left="0" w:right="0" w:hanging="0"/>
              <w:jc w:val="left"/>
              <w:rPr/>
            </w:pPr>
            <w:r>
              <w:rPr/>
              <w:t xml:space="preserve">  </w:t>
            </w:r>
          </w:p>
        </w:tc>
        <w:tc>
          <w:tcPr>
            <w:tcW w:w="966" w:type="dxa"/>
            <w:tcBorders/>
            <w:shd w:fill="FFFFFF" w:val="clear"/>
            <w:vAlign w:val="center"/>
          </w:tcPr>
          <w:p>
            <w:pPr>
              <w:pStyle w:val="TableContents"/>
              <w:bidi w:val="0"/>
              <w:spacing w:before="0" w:after="0"/>
              <w:ind w:left="0" w:right="0" w:hanging="0"/>
              <w:jc w:val="left"/>
              <w:rPr/>
            </w:pPr>
            <w:r>
              <w:rPr/>
              <w:t xml:space="preserve">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746" w:type="dxa"/>
            <w:tcBorders/>
            <w:shd w:fill="FFFFFF" w:val="clear"/>
            <w:vAlign w:val="center"/>
          </w:tcPr>
          <w:p>
            <w:pPr>
              <w:pStyle w:val="TableContents"/>
              <w:bidi w:val="0"/>
              <w:spacing w:before="0" w:after="0"/>
              <w:ind w:left="0" w:right="0" w:hanging="0"/>
              <w:jc w:val="left"/>
              <w:rPr/>
            </w:pPr>
            <w:r>
              <w:rPr/>
              <w:t xml:space="preserve">  </w:t>
            </w:r>
          </w:p>
        </w:tc>
        <w:tc>
          <w:tcPr>
            <w:tcW w:w="1386" w:type="dxa"/>
            <w:tcBorders/>
            <w:shd w:fill="FFFFFF" w:val="clear"/>
            <w:vAlign w:val="center"/>
          </w:tcPr>
          <w:p>
            <w:pPr>
              <w:pStyle w:val="TableContents"/>
              <w:bidi w:val="0"/>
              <w:spacing w:before="0" w:after="0"/>
              <w:ind w:left="0" w:right="0" w:hanging="0"/>
              <w:jc w:val="left"/>
              <w:rPr/>
            </w:pPr>
            <w:r>
              <w:rPr/>
              <w:t xml:space="preserve">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698" w:type="dxa"/>
            <w:tcBorders/>
            <w:shd w:fill="FFFFFF" w:val="clear"/>
            <w:vAlign w:val="center"/>
          </w:tcPr>
          <w:p>
            <w:pPr>
              <w:pStyle w:val="TableContents"/>
              <w:bidi w:val="0"/>
              <w:spacing w:before="0" w:after="0"/>
              <w:ind w:left="0" w:right="0" w:hanging="0"/>
              <w:jc w:val="left"/>
              <w:rPr/>
            </w:pPr>
            <w:r>
              <w:rPr/>
              <w:t xml:space="preserve">  </w:t>
            </w:r>
          </w:p>
        </w:tc>
        <w:tc>
          <w:tcPr>
            <w:tcW w:w="1453" w:type="dxa"/>
            <w:tcBorders/>
            <w:shd w:fill="FFFFFF" w:val="clear"/>
            <w:vAlign w:val="center"/>
          </w:tcPr>
          <w:p>
            <w:pPr>
              <w:pStyle w:val="TableContents"/>
              <w:bidi w:val="0"/>
              <w:spacing w:before="0" w:after="0"/>
              <w:ind w:left="0" w:right="0" w:hanging="0"/>
              <w:jc w:val="left"/>
              <w:rPr/>
            </w:pPr>
            <w:r>
              <w:rPr/>
              <w:t xml:space="preserve">  </w:t>
            </w:r>
          </w:p>
        </w:tc>
        <w:tc>
          <w:tcPr>
            <w:tcW w:w="112" w:type="dxa"/>
            <w:tcBorders/>
            <w:shd w:fill="FFFFFF" w:val="clear"/>
            <w:vAlign w:val="center"/>
          </w:tcPr>
          <w:p>
            <w:pPr>
              <w:pStyle w:val="TableContents"/>
              <w:bidi w:val="0"/>
              <w:spacing w:before="0" w:after="0"/>
              <w:ind w:left="0" w:right="0" w:hanging="0"/>
              <w:jc w:val="left"/>
              <w:rPr/>
            </w:pPr>
            <w:r>
              <w:rPr/>
              <w:t xml:space="preserve">  </w:t>
            </w:r>
          </w:p>
        </w:tc>
        <w:tc>
          <w:tcPr>
            <w:tcW w:w="101" w:type="dxa"/>
            <w:tcBorders/>
            <w:shd w:fill="FFFFFF" w:val="clear"/>
            <w:vAlign w:val="center"/>
          </w:tcPr>
          <w:p>
            <w:pPr>
              <w:pStyle w:val="TableContents"/>
              <w:bidi w:val="0"/>
              <w:spacing w:before="0" w:after="0"/>
              <w:ind w:left="0" w:right="0" w:hanging="0"/>
              <w:jc w:val="left"/>
              <w:rPr/>
            </w:pPr>
            <w:r>
              <w:rPr/>
              <w:t xml:space="preserve">  </w:t>
            </w:r>
          </w:p>
        </w:tc>
        <w:tc>
          <w:tcPr>
            <w:tcW w:w="300" w:type="dxa"/>
            <w:tcBorders/>
            <w:shd w:fill="FFFFFF" w:val="clear"/>
            <w:vAlign w:val="center"/>
          </w:tcPr>
          <w:p>
            <w:pPr>
              <w:pStyle w:val="TableContents"/>
              <w:bidi w:val="0"/>
              <w:spacing w:before="0" w:after="0"/>
              <w:ind w:left="0" w:right="0" w:hanging="0"/>
              <w:jc w:val="left"/>
              <w:rPr/>
            </w:pPr>
            <w:r>
              <w:rPr/>
              <w:t xml:space="preserve">  </w:t>
            </w:r>
          </w:p>
        </w:tc>
        <w:tc>
          <w:tcPr>
            <w:tcW w:w="1201" w:type="dxa"/>
            <w:tcBorders/>
            <w:shd w:fill="FFFFFF" w:val="clear"/>
            <w:vAlign w:val="center"/>
          </w:tcPr>
          <w:p>
            <w:pPr>
              <w:pStyle w:val="TableContents"/>
              <w:bidi w:val="0"/>
              <w:spacing w:before="0" w:after="0"/>
              <w:ind w:left="0" w:right="0" w:hanging="0"/>
              <w:jc w:val="left"/>
              <w:rPr/>
            </w:pPr>
            <w:r>
              <w:rPr/>
              <w:t xml:space="preserve">  </w:t>
            </w:r>
          </w:p>
        </w:tc>
        <w:tc>
          <w:tcPr>
            <w:tcW w:w="123" w:type="dxa"/>
            <w:tcBorders/>
            <w:shd w:fill="FFFFFF" w:val="clear"/>
            <w:vAlign w:val="center"/>
          </w:tcPr>
          <w:p>
            <w:pPr>
              <w:pStyle w:val="TableContents"/>
              <w:bidi w:val="0"/>
              <w:spacing w:before="0" w:after="0"/>
              <w:ind w:left="0" w:right="0" w:hanging="0"/>
              <w:jc w:val="left"/>
              <w:rPr/>
            </w:pPr>
            <w:r>
              <w:rPr/>
              <w:t xml:space="preserve">  </w:t>
            </w:r>
          </w:p>
        </w:tc>
      </w:tr>
      <w:tr>
        <w:trPr/>
        <w:tc>
          <w:tcPr>
            <w:tcW w:w="2373" w:type="dxa"/>
            <w:tcBorders/>
            <w:shd w:fill="CCEEFF" w:val="clear"/>
            <w:vAlign w:val="center"/>
          </w:tcPr>
          <w:p>
            <w:pPr>
              <w:pStyle w:val="TableContents"/>
              <w:bidi w:val="0"/>
              <w:spacing w:before="0" w:after="283"/>
              <w:jc w:val="left"/>
              <w:rPr/>
            </w:pPr>
            <w:r>
              <w:rPr/>
              <w:t>US Treasury securities</w:t>
            </w:r>
          </w:p>
        </w:tc>
        <w:tc>
          <w:tcPr>
            <w:tcW w:w="101" w:type="dxa"/>
            <w:tcBorders/>
            <w:shd w:fill="CCEEFF" w:val="clear"/>
            <w:vAlign w:val="center"/>
          </w:tcPr>
          <w:p>
            <w:pPr>
              <w:pStyle w:val="TableContents"/>
              <w:bidi w:val="0"/>
              <w:spacing w:before="0" w:after="283"/>
              <w:jc w:val="left"/>
              <w:rPr/>
            </w:pPr>
            <w:r>
              <w:rPr/>
            </w:r>
          </w:p>
        </w:tc>
        <w:tc>
          <w:tcPr>
            <w:tcW w:w="241"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3,281</w:t>
            </w:r>
          </w:p>
        </w:tc>
        <w:tc>
          <w:tcPr>
            <w:tcW w:w="101"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746"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698" w:type="dxa"/>
            <w:tcBorders/>
            <w:shd w:fill="CCEEFF" w:val="clear"/>
            <w:vAlign w:val="center"/>
          </w:tcPr>
          <w:p>
            <w:pPr>
              <w:pStyle w:val="TableContents"/>
              <w:bidi w:val="0"/>
              <w:spacing w:before="0" w:after="283"/>
              <w:jc w:val="left"/>
              <w:rPr/>
            </w:pPr>
            <w:r>
              <w:rPr/>
              <w:t>$</w:t>
            </w:r>
          </w:p>
        </w:tc>
        <w:tc>
          <w:tcPr>
            <w:tcW w:w="1453"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r>
          </w:p>
        </w:tc>
        <w:tc>
          <w:tcPr>
            <w:tcW w:w="300"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3,278</w:t>
            </w:r>
          </w:p>
        </w:tc>
        <w:tc>
          <w:tcPr>
            <w:tcW w:w="123"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283"/>
              <w:jc w:val="left"/>
              <w:rPr/>
            </w:pPr>
            <w:r>
              <w:rPr/>
              <w:t>Mutual funds</w:t>
            </w:r>
          </w:p>
        </w:tc>
        <w:tc>
          <w:tcPr>
            <w:tcW w:w="101"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pPr>
            <w:r>
              <w:rPr/>
            </w:r>
          </w:p>
        </w:tc>
        <w:tc>
          <w:tcPr>
            <w:tcW w:w="966" w:type="dxa"/>
            <w:tcBorders/>
            <w:vAlign w:val="center"/>
          </w:tcPr>
          <w:p>
            <w:pPr>
              <w:pStyle w:val="TableContents"/>
              <w:bidi w:val="0"/>
              <w:spacing w:before="0" w:after="283"/>
              <w:jc w:val="right"/>
              <w:rPr/>
            </w:pPr>
            <w:r>
              <w:rPr/>
              <w:t>1,169</w:t>
            </w:r>
          </w:p>
        </w:tc>
        <w:tc>
          <w:tcPr>
            <w:tcW w:w="101" w:type="dxa"/>
            <w:tcBorders/>
            <w:vAlign w:val="center"/>
          </w:tcPr>
          <w:p>
            <w:pPr>
              <w:pStyle w:val="TableContents"/>
              <w:bidi w:val="0"/>
              <w:spacing w:before="0" w:after="283"/>
              <w:jc w:val="left"/>
              <w:rPr/>
            </w:pPr>
            <w:r>
              <w:rPr/>
            </w:r>
          </w:p>
        </w:tc>
        <w:tc>
          <w:tcPr>
            <w:tcW w:w="101" w:type="dxa"/>
            <w:tcBorders/>
            <w:vAlign w:val="center"/>
          </w:tcPr>
          <w:p>
            <w:pPr>
              <w:pStyle w:val="TableContents"/>
              <w:bidi w:val="0"/>
              <w:spacing w:before="0" w:after="283"/>
              <w:jc w:val="left"/>
              <w:rPr/>
            </w:pPr>
            <w:r>
              <w:rPr/>
            </w:r>
          </w:p>
        </w:tc>
        <w:tc>
          <w:tcPr>
            <w:tcW w:w="746" w:type="dxa"/>
            <w:tcBorders/>
            <w:vAlign w:val="center"/>
          </w:tcPr>
          <w:p>
            <w:pPr>
              <w:pStyle w:val="TableContents"/>
              <w:bidi w:val="0"/>
              <w:spacing w:before="0" w:after="283"/>
              <w:jc w:val="left"/>
              <w:rPr/>
            </w:pPr>
            <w:r>
              <w:rPr/>
            </w:r>
          </w:p>
        </w:tc>
        <w:tc>
          <w:tcPr>
            <w:tcW w:w="1386" w:type="dxa"/>
            <w:tcBorders/>
            <w:vAlign w:val="center"/>
          </w:tcPr>
          <w:p>
            <w:pPr>
              <w:pStyle w:val="TableContents"/>
              <w:bidi w:val="0"/>
              <w:spacing w:before="0" w:after="283"/>
              <w:jc w:val="right"/>
              <w:rPr/>
            </w:pPr>
            <w:r>
              <w:rPr/>
              <w:t>2</w:t>
            </w:r>
          </w:p>
        </w:tc>
        <w:tc>
          <w:tcPr>
            <w:tcW w:w="101" w:type="dxa"/>
            <w:tcBorders/>
            <w:vAlign w:val="center"/>
          </w:tcPr>
          <w:p>
            <w:pPr>
              <w:pStyle w:val="TableContents"/>
              <w:bidi w:val="0"/>
              <w:spacing w:before="0" w:after="283"/>
              <w:jc w:val="left"/>
              <w:rPr/>
            </w:pPr>
            <w:r>
              <w:rPr/>
            </w:r>
          </w:p>
        </w:tc>
        <w:tc>
          <w:tcPr>
            <w:tcW w:w="101" w:type="dxa"/>
            <w:tcBorders/>
            <w:vAlign w:val="center"/>
          </w:tcPr>
          <w:p>
            <w:pPr>
              <w:pStyle w:val="TableContents"/>
              <w:bidi w:val="0"/>
              <w:spacing w:before="0" w:after="283"/>
              <w:jc w:val="left"/>
              <w:rPr/>
            </w:pPr>
            <w:r>
              <w:rPr/>
            </w:r>
          </w:p>
        </w:tc>
        <w:tc>
          <w:tcPr>
            <w:tcW w:w="698" w:type="dxa"/>
            <w:tcBorders/>
            <w:vAlign w:val="center"/>
          </w:tcPr>
          <w:p>
            <w:pPr>
              <w:pStyle w:val="TableContents"/>
              <w:bidi w:val="0"/>
              <w:spacing w:before="0" w:after="283"/>
              <w:jc w:val="left"/>
              <w:rPr/>
            </w:pPr>
            <w:r>
              <w:rPr/>
            </w:r>
          </w:p>
        </w:tc>
        <w:tc>
          <w:tcPr>
            <w:tcW w:w="1453"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r>
          </w:p>
        </w:tc>
        <w:tc>
          <w:tcPr>
            <w:tcW w:w="1201" w:type="dxa"/>
            <w:tcBorders/>
            <w:vAlign w:val="center"/>
          </w:tcPr>
          <w:p>
            <w:pPr>
              <w:pStyle w:val="TableContents"/>
              <w:bidi w:val="0"/>
              <w:spacing w:before="0" w:after="283"/>
              <w:jc w:val="right"/>
              <w:rPr/>
            </w:pPr>
            <w:r>
              <w:rPr/>
              <w:t>1,171</w:t>
            </w:r>
          </w:p>
        </w:tc>
        <w:tc>
          <w:tcPr>
            <w:tcW w:w="123" w:type="dxa"/>
            <w:tcBorders/>
            <w:vAlign w:val="center"/>
          </w:tcPr>
          <w:p>
            <w:pPr>
              <w:pStyle w:val="TableContents"/>
              <w:bidi w:val="0"/>
              <w:spacing w:before="0" w:after="283"/>
              <w:jc w:val="left"/>
              <w:rPr/>
            </w:pPr>
            <w:r>
              <w:rPr/>
            </w:r>
          </w:p>
        </w:tc>
      </w:tr>
      <w:tr>
        <w:trPr/>
        <w:tc>
          <w:tcPr>
            <w:tcW w:w="2373" w:type="dxa"/>
            <w:tcBorders/>
            <w:shd w:fill="CCEEFF" w:val="clear"/>
            <w:vAlign w:val="center"/>
          </w:tcPr>
          <w:p>
            <w:pPr>
              <w:pStyle w:val="TableContents"/>
              <w:bidi w:val="0"/>
              <w:spacing w:before="0" w:after="283"/>
              <w:jc w:val="left"/>
              <w:rPr/>
            </w:pPr>
            <w:r>
              <w:rPr/>
              <w:t>Certificates of deposit</w:t>
            </w:r>
          </w:p>
        </w:tc>
        <w:tc>
          <w:tcPr>
            <w:tcW w:w="101" w:type="dxa"/>
            <w:tcBorders/>
            <w:shd w:fill="CCEEFF" w:val="clear"/>
            <w:vAlign w:val="center"/>
          </w:tcPr>
          <w:p>
            <w:pPr>
              <w:pStyle w:val="TableContents"/>
              <w:bidi w:val="0"/>
              <w:spacing w:before="0" w:after="283"/>
              <w:jc w:val="left"/>
              <w:rPr/>
            </w:pPr>
            <w:r>
              <w:rPr/>
            </w:r>
          </w:p>
        </w:tc>
        <w:tc>
          <w:tcPr>
            <w:tcW w:w="241" w:type="dxa"/>
            <w:tcBorders/>
            <w:shd w:fill="CCEEFF" w:val="clear"/>
            <w:vAlign w:val="center"/>
          </w:tcPr>
          <w:p>
            <w:pPr>
              <w:pStyle w:val="TableContents"/>
              <w:bidi w:val="0"/>
              <w:spacing w:before="0" w:after="283"/>
              <w:jc w:val="left"/>
              <w:rPr/>
            </w:pPr>
            <w:r>
              <w:rPr/>
            </w:r>
          </w:p>
        </w:tc>
        <w:tc>
          <w:tcPr>
            <w:tcW w:w="966" w:type="dxa"/>
            <w:tcBorders/>
            <w:shd w:fill="CCEEFF" w:val="clear"/>
            <w:vAlign w:val="center"/>
          </w:tcPr>
          <w:p>
            <w:pPr>
              <w:pStyle w:val="TableContents"/>
              <w:bidi w:val="0"/>
              <w:spacing w:before="0" w:after="283"/>
              <w:jc w:val="right"/>
              <w:rPr/>
            </w:pPr>
            <w:r>
              <w:rPr/>
              <w:t>859</w:t>
            </w:r>
          </w:p>
        </w:tc>
        <w:tc>
          <w:tcPr>
            <w:tcW w:w="101"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746" w:type="dxa"/>
            <w:tcBorders/>
            <w:shd w:fill="CCEEFF" w:val="clear"/>
            <w:vAlign w:val="center"/>
          </w:tcPr>
          <w:p>
            <w:pPr>
              <w:pStyle w:val="TableContents"/>
              <w:bidi w:val="0"/>
              <w:spacing w:before="0" w:after="283"/>
              <w:jc w:val="left"/>
              <w:rPr/>
            </w:pPr>
            <w:r>
              <w:rPr/>
            </w:r>
          </w:p>
        </w:tc>
        <w:tc>
          <w:tcPr>
            <w:tcW w:w="1386"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698" w:type="dxa"/>
            <w:tcBorders/>
            <w:shd w:fill="CCEEFF" w:val="clear"/>
            <w:vAlign w:val="center"/>
          </w:tcPr>
          <w:p>
            <w:pPr>
              <w:pStyle w:val="TableContents"/>
              <w:bidi w:val="0"/>
              <w:spacing w:before="0" w:after="283"/>
              <w:jc w:val="left"/>
              <w:rPr/>
            </w:pPr>
            <w:r>
              <w:rPr/>
            </w:r>
          </w:p>
        </w:tc>
        <w:tc>
          <w:tcPr>
            <w:tcW w:w="145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r>
          </w:p>
        </w:tc>
        <w:tc>
          <w:tcPr>
            <w:tcW w:w="101" w:type="dxa"/>
            <w:tcBorders/>
            <w:shd w:fill="CCEEFF" w:val="clear"/>
            <w:vAlign w:val="center"/>
          </w:tcPr>
          <w:p>
            <w:pPr>
              <w:pStyle w:val="TableContents"/>
              <w:bidi w:val="0"/>
              <w:spacing w:before="0" w:after="283"/>
              <w:jc w:val="left"/>
              <w:rPr/>
            </w:pPr>
            <w:r>
              <w:rPr/>
            </w:r>
          </w:p>
        </w:tc>
        <w:tc>
          <w:tcPr>
            <w:tcW w:w="300" w:type="dxa"/>
            <w:tcBorders/>
            <w:shd w:fill="CCEEFF" w:val="clear"/>
            <w:vAlign w:val="center"/>
          </w:tcPr>
          <w:p>
            <w:pPr>
              <w:pStyle w:val="TableContents"/>
              <w:bidi w:val="0"/>
              <w:spacing w:before="0" w:after="283"/>
              <w:jc w:val="left"/>
              <w:rPr/>
            </w:pPr>
            <w:r>
              <w:rPr/>
            </w:r>
          </w:p>
        </w:tc>
        <w:tc>
          <w:tcPr>
            <w:tcW w:w="1201" w:type="dxa"/>
            <w:tcBorders/>
            <w:shd w:fill="CCEEFF" w:val="clear"/>
            <w:vAlign w:val="center"/>
          </w:tcPr>
          <w:p>
            <w:pPr>
              <w:pStyle w:val="TableContents"/>
              <w:bidi w:val="0"/>
              <w:spacing w:before="0" w:after="283"/>
              <w:jc w:val="right"/>
              <w:rPr/>
            </w:pPr>
            <w:r>
              <w:rPr/>
              <w:t>859</w:t>
            </w:r>
          </w:p>
        </w:tc>
        <w:tc>
          <w:tcPr>
            <w:tcW w:w="123" w:type="dxa"/>
            <w:tcBorders/>
            <w:shd w:fill="CCEEFF" w:val="clear"/>
            <w:vAlign w:val="center"/>
          </w:tcPr>
          <w:p>
            <w:pPr>
              <w:pStyle w:val="TableContents"/>
              <w:bidi w:val="0"/>
              <w:spacing w:before="0" w:after="283"/>
              <w:jc w:val="left"/>
              <w:rPr/>
            </w:pPr>
            <w:r>
              <w:rPr/>
            </w:r>
          </w:p>
        </w:tc>
      </w:tr>
      <w:tr>
        <w:trPr/>
        <w:tc>
          <w:tcPr>
            <w:tcW w:w="23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Corporate bonds and notes </w:t>
            </w:r>
          </w:p>
        </w:tc>
        <w:tc>
          <w:tcPr>
            <w:tcW w:w="101"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989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7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86" w:type="dxa"/>
            <w:tcBorders/>
            <w:vAlign w:val="center"/>
          </w:tcPr>
          <w:p>
            <w:pPr>
              <w:pStyle w:val="TableContents"/>
              <w:bidi w:val="0"/>
              <w:spacing w:before="0" w:after="0"/>
              <w:ind w:left="0" w:right="0" w:hanging="0"/>
              <w:jc w:val="righ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6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12"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0"/>
              <w:ind w:left="0" w:right="0" w:hanging="0"/>
              <w:jc w:val="left"/>
              <w:rPr/>
            </w:pPr>
            <w:r>
              <w:rPr/>
              <w:t xml:space="preserve">  </w:t>
            </w:r>
          </w:p>
        </w:tc>
        <w:tc>
          <w:tcPr>
            <w:tcW w:w="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973 </w:t>
            </w:r>
          </w:p>
        </w:tc>
        <w:tc>
          <w:tcPr>
            <w:tcW w:w="123" w:type="dxa"/>
            <w:tcBorders/>
            <w:vAlign w:val="center"/>
          </w:tcPr>
          <w:p>
            <w:pPr>
              <w:pStyle w:val="TableContents"/>
              <w:bidi w:val="0"/>
              <w:spacing w:before="0" w:after="0"/>
              <w:ind w:left="0" w:right="0" w:hanging="0"/>
              <w:jc w:val="left"/>
              <w:rPr/>
            </w:pPr>
            <w:r>
              <w:rPr/>
              <w:t xml:space="preserve">  </w:t>
            </w:r>
          </w:p>
        </w:tc>
      </w:tr>
      <w:tr>
        <w:trPr/>
        <w:tc>
          <w:tcPr>
            <w:tcW w:w="237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available-for-sale securities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2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6,298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7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6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12"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0"/>
              <w:ind w:left="0" w:right="0" w:hanging="0"/>
              <w:jc w:val="left"/>
              <w:rPr/>
            </w:pPr>
            <w:r>
              <w:rPr/>
              <w:t xml:space="preserve">  </w:t>
            </w:r>
          </w:p>
        </w:tc>
        <w:tc>
          <w:tcPr>
            <w:tcW w:w="3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6,281 </w:t>
            </w:r>
          </w:p>
        </w:tc>
        <w:tc>
          <w:tcPr>
            <w:tcW w:w="123"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There were no available-for sale securities as of December 31, 2022.</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500" w:type="pct"/>
        <w:jc w:val="left"/>
        <w:tblInd w:w="0" w:type="dxa"/>
        <w:tblLayout w:type="fixed"/>
        <w:tblCellMar>
          <w:top w:w="0" w:type="dxa"/>
          <w:left w:w="0" w:type="dxa"/>
          <w:bottom w:w="0" w:type="dxa"/>
          <w:right w:w="0" w:type="dxa"/>
        </w:tblCellMar>
      </w:tblPr>
      <w:tblGrid>
        <w:gridCol w:w="4209"/>
        <w:gridCol w:w="164"/>
        <w:gridCol w:w="375"/>
        <w:gridCol w:w="1464"/>
        <w:gridCol w:w="165"/>
        <w:gridCol w:w="165"/>
        <w:gridCol w:w="502"/>
        <w:gridCol w:w="1954"/>
        <w:gridCol w:w="186"/>
      </w:tblGrid>
      <w:tr>
        <w:trPr/>
        <w:tc>
          <w:tcPr>
            <w:tcW w:w="4209"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183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Amortized cost </w:t>
            </w:r>
          </w:p>
        </w:tc>
        <w:tc>
          <w:tcPr>
            <w:tcW w:w="165" w:type="dxa"/>
            <w:tcBorders/>
            <w:vAlign w:val="center"/>
          </w:tcPr>
          <w:p>
            <w:pPr>
              <w:pStyle w:val="TableContents"/>
              <w:bidi w:val="0"/>
              <w:spacing w:before="0" w:after="0"/>
              <w:ind w:left="0" w:right="0" w:hanging="0"/>
              <w:jc w:val="left"/>
              <w:rPr/>
            </w:pPr>
            <w:r>
              <w:rPr/>
              <w:t xml:space="preserve">  </w:t>
            </w:r>
          </w:p>
        </w:tc>
        <w:tc>
          <w:tcPr>
            <w:tcW w:w="165" w:type="dxa"/>
            <w:tcBorders/>
            <w:vAlign w:val="center"/>
          </w:tcPr>
          <w:p>
            <w:pPr>
              <w:pStyle w:val="TableContents"/>
              <w:bidi w:val="0"/>
              <w:spacing w:before="0" w:after="0"/>
              <w:ind w:left="0" w:right="0" w:hanging="0"/>
              <w:jc w:val="left"/>
              <w:rPr/>
            </w:pPr>
            <w:r>
              <w:rPr/>
              <w:t xml:space="preserve">  </w:t>
            </w:r>
          </w:p>
        </w:tc>
        <w:tc>
          <w:tcPr>
            <w:tcW w:w="2456"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Estimated fair value </w:t>
            </w:r>
          </w:p>
        </w:tc>
        <w:tc>
          <w:tcPr>
            <w:tcW w:w="186" w:type="dxa"/>
            <w:tcBorders/>
            <w:vAlign w:val="center"/>
          </w:tcPr>
          <w:p>
            <w:pPr>
              <w:pStyle w:val="TableContents"/>
              <w:bidi w:val="0"/>
              <w:spacing w:before="0" w:after="0"/>
              <w:ind w:left="0" w:right="0" w:hanging="0"/>
              <w:jc w:val="left"/>
              <w:rPr/>
            </w:pPr>
            <w:r>
              <w:rPr/>
              <w:t xml:space="preserve">  </w:t>
            </w:r>
          </w:p>
        </w:tc>
      </w:tr>
      <w:tr>
        <w:trPr/>
        <w:tc>
          <w:tcPr>
            <w:tcW w:w="4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Due within one year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5,715 </w:t>
            </w:r>
          </w:p>
        </w:tc>
        <w:tc>
          <w:tcPr>
            <w:tcW w:w="165" w:type="dxa"/>
            <w:tcBorders/>
            <w:shd w:fill="CCEEFF" w:val="clear"/>
            <w:vAlign w:val="center"/>
          </w:tcPr>
          <w:p>
            <w:pPr>
              <w:pStyle w:val="TableContents"/>
              <w:bidi w:val="0"/>
              <w:spacing w:before="0" w:after="0"/>
              <w:ind w:left="0" w:right="0" w:hanging="0"/>
              <w:jc w:val="left"/>
              <w:rPr/>
            </w:pPr>
            <w:r>
              <w:rPr/>
              <w:t xml:space="preserve">  </w:t>
            </w:r>
          </w:p>
        </w:tc>
        <w:tc>
          <w:tcPr>
            <w:tcW w:w="165"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5,698 </w:t>
            </w:r>
          </w:p>
        </w:tc>
        <w:tc>
          <w:tcPr>
            <w:tcW w:w="186" w:type="dxa"/>
            <w:tcBorders/>
            <w:shd w:fill="CCEEFF" w:val="clear"/>
            <w:vAlign w:val="center"/>
          </w:tcPr>
          <w:p>
            <w:pPr>
              <w:pStyle w:val="TableContents"/>
              <w:bidi w:val="0"/>
              <w:spacing w:before="0" w:after="0"/>
              <w:ind w:left="0" w:right="0" w:hanging="0"/>
              <w:jc w:val="left"/>
              <w:rPr/>
            </w:pPr>
            <w:r>
              <w:rPr/>
              <w:t xml:space="preserve">  </w:t>
            </w:r>
          </w:p>
        </w:tc>
      </w:tr>
      <w:tr>
        <w:trPr/>
        <w:tc>
          <w:tcPr>
            <w:tcW w:w="420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Due after one year through five years </w:t>
            </w:r>
          </w:p>
        </w:tc>
        <w:tc>
          <w:tcPr>
            <w:tcW w:w="164" w:type="dxa"/>
            <w:tcBorders/>
            <w:shd w:fill="FFFFFF" w:val="clear"/>
            <w:vAlign w:val="center"/>
          </w:tcPr>
          <w:p>
            <w:pPr>
              <w:pStyle w:val="TableContents"/>
              <w:bidi w:val="0"/>
              <w:spacing w:before="0" w:after="0"/>
              <w:ind w:left="0" w:right="0" w:hanging="0"/>
              <w:jc w:val="left"/>
              <w:rPr/>
            </w:pPr>
            <w:r>
              <w:rPr/>
              <w:t xml:space="preserve">  </w:t>
            </w:r>
          </w:p>
        </w:tc>
        <w:tc>
          <w:tcPr>
            <w:tcW w:w="375" w:type="dxa"/>
            <w:tcBorders/>
            <w:shd w:fill="FFFFFF" w:val="clear"/>
            <w:vAlign w:val="center"/>
          </w:tcPr>
          <w:p>
            <w:pPr>
              <w:pStyle w:val="TableContents"/>
              <w:bidi w:val="0"/>
              <w:spacing w:before="0" w:after="0"/>
              <w:ind w:left="0" w:right="0" w:hanging="0"/>
              <w:jc w:val="left"/>
              <w:rPr/>
            </w:pPr>
            <w:r>
              <w:rPr/>
              <w:t xml:space="preserve">  </w:t>
            </w:r>
          </w:p>
        </w:tc>
        <w:tc>
          <w:tcPr>
            <w:tcW w:w="14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583 </w:t>
            </w:r>
          </w:p>
        </w:tc>
        <w:tc>
          <w:tcPr>
            <w:tcW w:w="165" w:type="dxa"/>
            <w:tcBorders/>
            <w:shd w:fill="FFFFFF" w:val="clear"/>
            <w:vAlign w:val="center"/>
          </w:tcPr>
          <w:p>
            <w:pPr>
              <w:pStyle w:val="TableContents"/>
              <w:bidi w:val="0"/>
              <w:spacing w:before="0" w:after="0"/>
              <w:ind w:left="0" w:right="0" w:hanging="0"/>
              <w:jc w:val="left"/>
              <w:rPr/>
            </w:pPr>
            <w:r>
              <w:rPr/>
              <w:t xml:space="preserve">  </w:t>
            </w:r>
          </w:p>
        </w:tc>
        <w:tc>
          <w:tcPr>
            <w:tcW w:w="165" w:type="dxa"/>
            <w:tcBorders/>
            <w:shd w:fill="FFFFFF" w:val="clear"/>
            <w:vAlign w:val="center"/>
          </w:tcPr>
          <w:p>
            <w:pPr>
              <w:pStyle w:val="TableContents"/>
              <w:bidi w:val="0"/>
              <w:spacing w:before="0" w:after="0"/>
              <w:ind w:left="0" w:right="0" w:hanging="0"/>
              <w:jc w:val="left"/>
              <w:rPr/>
            </w:pPr>
            <w:r>
              <w:rPr/>
              <w:t xml:space="preserve">  </w:t>
            </w:r>
          </w:p>
        </w:tc>
        <w:tc>
          <w:tcPr>
            <w:tcW w:w="502" w:type="dxa"/>
            <w:tcBorders/>
            <w:shd w:fill="FFFFFF" w:val="clear"/>
            <w:vAlign w:val="center"/>
          </w:tcPr>
          <w:p>
            <w:pPr>
              <w:pStyle w:val="TableContents"/>
              <w:bidi w:val="0"/>
              <w:spacing w:before="0" w:after="0"/>
              <w:ind w:left="0" w:right="0" w:hanging="0"/>
              <w:jc w:val="left"/>
              <w:rPr/>
            </w:pPr>
            <w:r>
              <w:rPr/>
              <w:t xml:space="preserve">  </w:t>
            </w:r>
          </w:p>
        </w:tc>
        <w:tc>
          <w:tcPr>
            <w:tcW w:w="19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583 </w:t>
            </w:r>
          </w:p>
        </w:tc>
        <w:tc>
          <w:tcPr>
            <w:tcW w:w="186" w:type="dxa"/>
            <w:tcBorders/>
            <w:shd w:fill="FFFFFF" w:val="clear"/>
            <w:vAlign w:val="center"/>
          </w:tcPr>
          <w:p>
            <w:pPr>
              <w:pStyle w:val="TableContents"/>
              <w:bidi w:val="0"/>
              <w:spacing w:before="0" w:after="0"/>
              <w:ind w:left="0" w:right="0" w:hanging="0"/>
              <w:jc w:val="left"/>
              <w:rPr/>
            </w:pPr>
            <w:r>
              <w:rPr/>
              <w:t xml:space="preserve">  </w:t>
            </w:r>
          </w:p>
        </w:tc>
      </w:tr>
      <w:tr>
        <w:trPr/>
        <w:tc>
          <w:tcPr>
            <w:tcW w:w="4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Due after five years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pPr>
            <w:r>
              <w:rPr/>
              <w:t xml:space="preserve">  </w:t>
            </w:r>
          </w:p>
        </w:tc>
        <w:tc>
          <w:tcPr>
            <w:tcW w:w="1464" w:type="dxa"/>
            <w:tcBorders/>
            <w:shd w:fill="CCEEFF" w:val="clear"/>
            <w:vAlign w:val="center"/>
          </w:tcPr>
          <w:p>
            <w:pPr>
              <w:pStyle w:val="TableContents"/>
              <w:bidi w:val="0"/>
              <w:spacing w:before="0" w:after="0"/>
              <w:ind w:left="0" w:right="0" w:hanging="0"/>
              <w:jc w:val="right"/>
              <w:rPr/>
            </w:pPr>
            <w:r>
              <w:rPr/>
              <w:t>—</w:t>
            </w:r>
          </w:p>
        </w:tc>
        <w:tc>
          <w:tcPr>
            <w:tcW w:w="165" w:type="dxa"/>
            <w:tcBorders/>
            <w:shd w:fill="CCEEFF" w:val="clear"/>
            <w:vAlign w:val="center"/>
          </w:tcPr>
          <w:p>
            <w:pPr>
              <w:pStyle w:val="TableContents"/>
              <w:bidi w:val="0"/>
              <w:spacing w:before="0" w:after="0"/>
              <w:ind w:left="0" w:right="0" w:hanging="0"/>
              <w:jc w:val="left"/>
              <w:rPr/>
            </w:pPr>
            <w:r>
              <w:rPr/>
              <w:t xml:space="preserve">  </w:t>
            </w:r>
          </w:p>
        </w:tc>
        <w:tc>
          <w:tcPr>
            <w:tcW w:w="165" w:type="dxa"/>
            <w:tcBorders/>
            <w:shd w:fill="CCEEFF" w:val="clear"/>
            <w:vAlign w:val="center"/>
          </w:tcPr>
          <w:p>
            <w:pPr>
              <w:pStyle w:val="TableContents"/>
              <w:bidi w:val="0"/>
              <w:spacing w:before="0" w:after="0"/>
              <w:ind w:left="0" w:right="0" w:hanging="0"/>
              <w:jc w:val="left"/>
              <w:rPr/>
            </w:pPr>
            <w:r>
              <w:rPr/>
              <w:t xml:space="preserve">  </w:t>
            </w:r>
          </w:p>
        </w:tc>
        <w:tc>
          <w:tcPr>
            <w:tcW w:w="502" w:type="dxa"/>
            <w:tcBorders/>
            <w:shd w:fill="CCEEFF" w:val="clear"/>
            <w:vAlign w:val="center"/>
          </w:tcPr>
          <w:p>
            <w:pPr>
              <w:pStyle w:val="TableContents"/>
              <w:bidi w:val="0"/>
              <w:spacing w:before="0" w:after="0"/>
              <w:ind w:left="0" w:right="0" w:hanging="0"/>
              <w:jc w:val="left"/>
              <w:rPr/>
            </w:pPr>
            <w:r>
              <w:rPr/>
              <w:t xml:space="preserve">  </w:t>
            </w:r>
          </w:p>
        </w:tc>
        <w:tc>
          <w:tcPr>
            <w:tcW w:w="1954" w:type="dxa"/>
            <w:tcBorders/>
            <w:shd w:fill="CCEEFF" w:val="clear"/>
            <w:vAlign w:val="center"/>
          </w:tcPr>
          <w:p>
            <w:pPr>
              <w:pStyle w:val="TableContents"/>
              <w:bidi w:val="0"/>
              <w:spacing w:before="0" w:after="0"/>
              <w:ind w:left="0" w:right="0" w:hanging="0"/>
              <w:jc w:val="right"/>
              <w:rPr/>
            </w:pPr>
            <w:r>
              <w:rPr/>
              <w:t>—</w:t>
            </w:r>
          </w:p>
        </w:tc>
        <w:tc>
          <w:tcPr>
            <w:tcW w:w="186" w:type="dxa"/>
            <w:tcBorders/>
            <w:shd w:fill="CCEEFF" w:val="clear"/>
            <w:vAlign w:val="center"/>
          </w:tcPr>
          <w:p>
            <w:pPr>
              <w:pStyle w:val="TableContents"/>
              <w:bidi w:val="0"/>
              <w:spacing w:before="0" w:after="0"/>
              <w:ind w:left="0" w:right="0" w:hanging="0"/>
              <w:jc w:val="left"/>
              <w:rPr/>
            </w:pPr>
            <w:r>
              <w:rPr/>
              <w:t xml:space="preserve">  </w:t>
            </w:r>
          </w:p>
        </w:tc>
      </w:tr>
      <w:tr>
        <w:trPr/>
        <w:tc>
          <w:tcPr>
            <w:tcW w:w="42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available-for-sale securities </w:t>
            </w:r>
          </w:p>
        </w:tc>
        <w:tc>
          <w:tcPr>
            <w:tcW w:w="164" w:type="dxa"/>
            <w:tcBorders/>
            <w:shd w:fill="FFFFFF" w:val="clear"/>
            <w:vAlign w:val="center"/>
          </w:tcPr>
          <w:p>
            <w:pPr>
              <w:pStyle w:val="TableContents"/>
              <w:bidi w:val="0"/>
              <w:spacing w:before="0" w:after="0"/>
              <w:ind w:left="0" w:right="0" w:hanging="0"/>
              <w:jc w:val="left"/>
              <w:rPr/>
            </w:pPr>
            <w:r>
              <w:rPr/>
              <w:t xml:space="preserve">  </w:t>
            </w:r>
          </w:p>
        </w:tc>
        <w:tc>
          <w:tcPr>
            <w:tcW w:w="3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6,298 </w:t>
            </w:r>
          </w:p>
        </w:tc>
        <w:tc>
          <w:tcPr>
            <w:tcW w:w="165" w:type="dxa"/>
            <w:tcBorders/>
            <w:shd w:fill="FFFFFF" w:val="clear"/>
            <w:vAlign w:val="center"/>
          </w:tcPr>
          <w:p>
            <w:pPr>
              <w:pStyle w:val="TableContents"/>
              <w:bidi w:val="0"/>
              <w:spacing w:before="0" w:after="0"/>
              <w:ind w:left="0" w:right="0" w:hanging="0"/>
              <w:jc w:val="left"/>
              <w:rPr/>
            </w:pPr>
            <w:r>
              <w:rPr/>
              <w:t xml:space="preserve">  </w:t>
            </w:r>
          </w:p>
        </w:tc>
        <w:tc>
          <w:tcPr>
            <w:tcW w:w="165" w:type="dxa"/>
            <w:tcBorders/>
            <w:shd w:fill="FFFFFF" w:val="clear"/>
            <w:vAlign w:val="center"/>
          </w:tcPr>
          <w:p>
            <w:pPr>
              <w:pStyle w:val="TableContents"/>
              <w:bidi w:val="0"/>
              <w:spacing w:before="0" w:after="0"/>
              <w:ind w:left="0" w:right="0" w:hanging="0"/>
              <w:jc w:val="left"/>
              <w:rPr/>
            </w:pPr>
            <w:r>
              <w:rPr/>
              <w:t xml:space="preserve">  </w:t>
            </w:r>
          </w:p>
        </w:tc>
        <w:tc>
          <w:tcPr>
            <w:tcW w:w="5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6,281 </w:t>
            </w:r>
          </w:p>
        </w:tc>
        <w:tc>
          <w:tcPr>
            <w:tcW w:w="186" w:type="dxa"/>
            <w:tcBorders/>
            <w:shd w:fill="FFFFFF" w:val="clear"/>
            <w:vAlign w:val="center"/>
          </w:tcPr>
          <w:p>
            <w:pPr>
              <w:pStyle w:val="TableContents"/>
              <w:bidi w:val="0"/>
              <w:spacing w:before="0" w:after="0"/>
              <w:ind w:left="0" w:right="0" w:hanging="0"/>
              <w:jc w:val="left"/>
              <w:rPr/>
            </w:pPr>
            <w:r>
              <w:rPr/>
              <w:t xml:space="preserve">  </w:t>
            </w:r>
          </w:p>
        </w:tc>
      </w:tr>
    </w:tbl>
    <w:p>
      <w:pPr>
        <w:pStyle w:val="TextBody"/>
        <w:bidi w:val="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144" w:right="144" w:hanging="0"/>
        <w:jc w:val="both"/>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Debt securities in an unrealized loss position as of September 30, 2023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 </w:t>
      </w:r>
    </w:p>
    <w:p>
      <w:pPr>
        <w:pStyle w:val="TextBody"/>
        <w:bidi w:val="0"/>
        <w:spacing w:lineRule="auto" w:line="288" w:before="0" w:after="0"/>
        <w:ind w:left="0" w:right="14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05"/>
        <w:gridCol w:w="78"/>
        <w:gridCol w:w="281"/>
        <w:gridCol w:w="870"/>
        <w:gridCol w:w="87"/>
        <w:gridCol w:w="87"/>
        <w:gridCol w:w="441"/>
        <w:gridCol w:w="1024"/>
        <w:gridCol w:w="102"/>
        <w:gridCol w:w="78"/>
        <w:gridCol w:w="373"/>
        <w:gridCol w:w="778"/>
        <w:gridCol w:w="96"/>
        <w:gridCol w:w="97"/>
        <w:gridCol w:w="474"/>
        <w:gridCol w:w="990"/>
        <w:gridCol w:w="78"/>
        <w:gridCol w:w="78"/>
        <w:gridCol w:w="235"/>
        <w:gridCol w:w="916"/>
        <w:gridCol w:w="77"/>
        <w:gridCol w:w="78"/>
        <w:gridCol w:w="441"/>
        <w:gridCol w:w="1024"/>
        <w:gridCol w:w="117"/>
      </w:tblGrid>
      <w:tr>
        <w:trPr/>
        <w:tc>
          <w:tcPr>
            <w:tcW w:w="1305"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2790" w:type="dxa"/>
            <w:gridSpan w:val="6"/>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Less than </w:t>
            </w:r>
            <w:r>
              <w:rPr>
                <w:rFonts w:ascii="times new roman;times" w:hAnsi="times new roman;times"/>
                <w:b/>
                <w:color w:val="000000"/>
                <w:sz w:val="20"/>
              </w:rPr>
              <w:t>12</w:t>
            </w:r>
            <w:r>
              <w:rPr>
                <w:rFonts w:ascii="times new roman;times" w:hAnsi="times new roman;times"/>
                <w:b/>
                <w:color w:val="000000"/>
                <w:sz w:val="20"/>
              </w:rPr>
              <w:t xml:space="preserve"> months </w:t>
            </w:r>
          </w:p>
        </w:tc>
        <w:tc>
          <w:tcPr>
            <w:tcW w:w="102"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2808" w:type="dxa"/>
            <w:gridSpan w:val="6"/>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More than </w:t>
            </w:r>
            <w:r>
              <w:rPr>
                <w:rFonts w:ascii="times new roman;times" w:hAnsi="times new roman;times"/>
                <w:b/>
                <w:color w:val="000000"/>
                <w:sz w:val="20"/>
              </w:rPr>
              <w:t>12</w:t>
            </w:r>
            <w:r>
              <w:rPr>
                <w:rFonts w:ascii="times new roman;times" w:hAnsi="times new roman;times"/>
                <w:b/>
                <w:color w:val="000000"/>
                <w:sz w:val="20"/>
              </w:rPr>
              <w:t xml:space="preserve"> months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2771" w:type="dxa"/>
            <w:gridSpan w:val="6"/>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Total </w:t>
            </w:r>
          </w:p>
        </w:tc>
        <w:tc>
          <w:tcPr>
            <w:tcW w:w="117"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1305"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151"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Estimated fair value </w:t>
            </w:r>
          </w:p>
        </w:tc>
        <w:tc>
          <w:tcPr>
            <w:tcW w:w="87"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465"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Gross unrealized holding losses </w:t>
            </w:r>
          </w:p>
        </w:tc>
        <w:tc>
          <w:tcPr>
            <w:tcW w:w="102"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151"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Estimated fair value </w:t>
            </w:r>
          </w:p>
        </w:tc>
        <w:tc>
          <w:tcPr>
            <w:tcW w:w="96"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97"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464"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Gross unrealized holding losses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151"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Estimated fair value </w:t>
            </w:r>
          </w:p>
        </w:tc>
        <w:tc>
          <w:tcPr>
            <w:tcW w:w="77"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465"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Gross unrealized holding losses </w:t>
            </w:r>
          </w:p>
        </w:tc>
        <w:tc>
          <w:tcPr>
            <w:tcW w:w="117"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1305" w:type="dxa"/>
            <w:tcBorders/>
            <w:shd w:fill="CCEEFF" w:val="clear"/>
            <w:vAlign w:val="bottom"/>
          </w:tcPr>
          <w:p>
            <w:pPr>
              <w:pStyle w:val="TableContents"/>
              <w:pBdr/>
              <w:bidi w:val="0"/>
              <w:spacing w:before="0" w:after="0"/>
              <w:ind w:left="0" w:right="0" w:hanging="0"/>
              <w:jc w:val="left"/>
              <w:rPr>
                <w:rFonts w:ascii="Times New Roman;serif" w:hAnsi="Times New Roman;serif"/>
                <w:b/>
                <w:color w:val="000000"/>
                <w:sz w:val="20"/>
              </w:rPr>
            </w:pPr>
            <w:r>
              <w:rPr>
                <w:rFonts w:ascii="Times New Roman;serif" w:hAnsi="Times New Roman;serif"/>
                <w:b/>
                <w:color w:val="000000"/>
                <w:sz w:val="20"/>
              </w:rPr>
              <w:t>As of September 30, 2023</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28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870"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024"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02"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73"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6"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74"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90"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235"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16"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024"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1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r>
      <w:tr>
        <w:trPr/>
        <w:tc>
          <w:tcPr>
            <w:tcW w:w="1305"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US Treasury securities</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28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870"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3,278 </w:t>
            </w:r>
          </w:p>
        </w:tc>
        <w:tc>
          <w:tcPr>
            <w:tcW w:w="8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024"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(3</w:t>
            </w:r>
          </w:p>
        </w:tc>
        <w:tc>
          <w:tcPr>
            <w:tcW w:w="102" w:type="dxa"/>
            <w:tcBorders/>
            <w:shd w:fill="FFFFFF" w:val="clear"/>
            <w:vAlign w:val="bottom"/>
          </w:tcPr>
          <w:p>
            <w:pPr>
              <w:pStyle w:val="TableContents"/>
              <w:bidi w:val="0"/>
              <w:spacing w:before="0" w:after="0"/>
              <w:ind w:left="0" w:right="0" w:hanging="0"/>
              <w:jc w:val="left"/>
              <w:rPr/>
            </w:pPr>
            <w:r>
              <w:rPr/>
              <w:t>)</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373"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778" w:type="dxa"/>
            <w:tcBorders/>
            <w:shd w:fill="FFFFFF" w:val="clear"/>
            <w:vAlign w:val="bottom"/>
          </w:tcPr>
          <w:p>
            <w:pPr>
              <w:pStyle w:val="TableContents"/>
              <w:pBdr/>
              <w:bidi w:val="0"/>
              <w:spacing w:before="0" w:after="0"/>
              <w:ind w:left="0" w:right="0" w:hanging="0"/>
              <w:jc w:val="right"/>
              <w:rPr>
                <w:color w:val="000000"/>
              </w:rPr>
            </w:pPr>
            <w:r>
              <w:rPr>
                <w:color w:val="000000"/>
              </w:rPr>
              <w:t xml:space="preserve">— </w:t>
            </w:r>
          </w:p>
        </w:tc>
        <w:tc>
          <w:tcPr>
            <w:tcW w:w="96"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9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74"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990" w:type="dxa"/>
            <w:tcBorders/>
            <w:shd w:fill="FFFFFF" w:val="clear"/>
            <w:vAlign w:val="bottom"/>
          </w:tcPr>
          <w:p>
            <w:pPr>
              <w:pStyle w:val="TableContents"/>
              <w:pBdr/>
              <w:bidi w:val="0"/>
              <w:spacing w:before="0" w:after="0"/>
              <w:ind w:left="0" w:right="0" w:hanging="0"/>
              <w:jc w:val="righ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235"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916"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3,278 </w:t>
            </w:r>
          </w:p>
        </w:tc>
        <w:tc>
          <w:tcPr>
            <w:tcW w:w="7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024"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(3</w:t>
            </w:r>
          </w:p>
        </w:tc>
        <w:tc>
          <w:tcPr>
            <w:tcW w:w="117" w:type="dxa"/>
            <w:tcBorders/>
            <w:shd w:fill="FFFFFF" w:val="clear"/>
            <w:vAlign w:val="bottom"/>
          </w:tcPr>
          <w:p>
            <w:pPr>
              <w:pStyle w:val="TableContents"/>
              <w:bidi w:val="0"/>
              <w:spacing w:before="0" w:after="0"/>
              <w:ind w:left="0" w:right="0" w:hanging="0"/>
              <w:jc w:val="left"/>
              <w:rPr/>
            </w:pPr>
            <w:r>
              <w:rPr/>
              <w:t>)</w:t>
            </w:r>
          </w:p>
        </w:tc>
      </w:tr>
      <w:tr>
        <w:trPr/>
        <w:tc>
          <w:tcPr>
            <w:tcW w:w="1305" w:type="dxa"/>
            <w:tcBorders/>
            <w:shd w:fill="CCEE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Corporate bonds and notes</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28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870"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973 </w:t>
            </w:r>
          </w:p>
        </w:tc>
        <w:tc>
          <w:tcPr>
            <w:tcW w:w="8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024"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(16</w:t>
            </w:r>
          </w:p>
        </w:tc>
        <w:tc>
          <w:tcPr>
            <w:tcW w:w="102" w:type="dxa"/>
            <w:tcBorders/>
            <w:shd w:fill="CCEEFF" w:val="clear"/>
            <w:vAlign w:val="bottom"/>
          </w:tcPr>
          <w:p>
            <w:pPr>
              <w:pStyle w:val="TableContents"/>
              <w:bidi w:val="0"/>
              <w:spacing w:before="0" w:after="0"/>
              <w:ind w:left="0" w:right="0" w:hanging="0"/>
              <w:jc w:val="left"/>
              <w:rPr/>
            </w:pPr>
            <w:r>
              <w:rPr/>
              <w:t>)</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73"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78"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96"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74"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90"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235"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916"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973 </w:t>
            </w:r>
          </w:p>
        </w:tc>
        <w:tc>
          <w:tcPr>
            <w:tcW w:w="77"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024"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(16</w:t>
            </w:r>
          </w:p>
        </w:tc>
        <w:tc>
          <w:tcPr>
            <w:tcW w:w="117" w:type="dxa"/>
            <w:tcBorders/>
            <w:shd w:fill="CCEEFF" w:val="clear"/>
            <w:vAlign w:val="bottom"/>
          </w:tcPr>
          <w:p>
            <w:pPr>
              <w:pStyle w:val="TableContents"/>
              <w:bidi w:val="0"/>
              <w:spacing w:before="0" w:after="0"/>
              <w:ind w:left="0" w:right="0" w:hanging="0"/>
              <w:jc w:val="left"/>
              <w:rPr/>
            </w:pPr>
            <w:r>
              <w:rPr/>
              <w:t>)</w:t>
            </w:r>
          </w:p>
        </w:tc>
      </w:tr>
      <w:tr>
        <w:trPr/>
        <w:tc>
          <w:tcPr>
            <w:tcW w:w="1305"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Total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28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870"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4,251 </w:t>
            </w:r>
          </w:p>
        </w:tc>
        <w:tc>
          <w:tcPr>
            <w:tcW w:w="8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8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024"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(19</w:t>
            </w:r>
          </w:p>
        </w:tc>
        <w:tc>
          <w:tcPr>
            <w:tcW w:w="102" w:type="dxa"/>
            <w:tcBorders/>
            <w:shd w:fill="FFFFFF" w:val="clear"/>
            <w:vAlign w:val="bottom"/>
          </w:tcPr>
          <w:p>
            <w:pPr>
              <w:pStyle w:val="TableContents"/>
              <w:bidi w:val="0"/>
              <w:spacing w:before="0" w:after="0"/>
              <w:ind w:left="0" w:right="0" w:hanging="0"/>
              <w:jc w:val="left"/>
              <w:rPr/>
            </w:pPr>
            <w:r>
              <w:rPr/>
              <w:t>)</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373"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778" w:type="dxa"/>
            <w:tcBorders/>
            <w:shd w:fill="FFFFFF" w:val="clear"/>
            <w:vAlign w:val="bottom"/>
          </w:tcPr>
          <w:p>
            <w:pPr>
              <w:pStyle w:val="TableContents"/>
              <w:pBdr/>
              <w:bidi w:val="0"/>
              <w:spacing w:before="0" w:after="0"/>
              <w:ind w:left="0" w:right="0" w:hanging="0"/>
              <w:jc w:val="right"/>
              <w:rPr>
                <w:color w:val="000000"/>
              </w:rPr>
            </w:pPr>
            <w:r>
              <w:rPr>
                <w:color w:val="000000"/>
              </w:rPr>
              <w:t xml:space="preserve">— </w:t>
            </w:r>
          </w:p>
        </w:tc>
        <w:tc>
          <w:tcPr>
            <w:tcW w:w="96"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9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74"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990" w:type="dxa"/>
            <w:tcBorders/>
            <w:shd w:fill="FFFFFF" w:val="clear"/>
            <w:vAlign w:val="bottom"/>
          </w:tcPr>
          <w:p>
            <w:pPr>
              <w:pStyle w:val="TableContents"/>
              <w:pBdr/>
              <w:bidi w:val="0"/>
              <w:spacing w:before="0" w:after="0"/>
              <w:ind w:left="0" w:right="0" w:hanging="0"/>
              <w:jc w:val="righ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235"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916"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4,251 </w:t>
            </w:r>
          </w:p>
        </w:tc>
        <w:tc>
          <w:tcPr>
            <w:tcW w:w="77"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78" w:type="dxa"/>
            <w:tcBorders/>
            <w:shd w:fill="FFFFFF" w:val="clear"/>
            <w:vAlign w:val="bottom"/>
          </w:tcPr>
          <w:p>
            <w:pPr>
              <w:pStyle w:val="TableContents"/>
              <w:pBdr/>
              <w:bidi w:val="0"/>
              <w:spacing w:before="0" w:after="0"/>
              <w:ind w:left="0" w:right="0" w:hanging="0"/>
              <w:jc w:val="left"/>
              <w:rPr>
                <w:color w:val="000000"/>
              </w:rPr>
            </w:pPr>
            <w:r>
              <w:rPr>
                <w:color w:val="000000"/>
              </w:rPr>
              <w:t xml:space="preserve">  </w:t>
            </w:r>
          </w:p>
        </w:tc>
        <w:tc>
          <w:tcPr>
            <w:tcW w:w="441" w:type="dxa"/>
            <w:tcBorders/>
            <w:shd w:fill="FFFFFF" w:val="clear"/>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024" w:type="dxa"/>
            <w:tcBorders/>
            <w:shd w:fill="FFFF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(19</w:t>
            </w:r>
          </w:p>
        </w:tc>
        <w:tc>
          <w:tcPr>
            <w:tcW w:w="117" w:type="dxa"/>
            <w:tcBorders/>
            <w:shd w:fill="FFFFFF" w:val="clear"/>
            <w:vAlign w:val="bottom"/>
          </w:tcPr>
          <w:p>
            <w:pPr>
              <w:pStyle w:val="TableContents"/>
              <w:bidi w:val="0"/>
              <w:spacing w:before="0" w:after="0"/>
              <w:jc w:val="left"/>
              <w:rPr/>
            </w:pPr>
            <w:r>
              <w:rPr/>
              <w:t>)</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w:t>
      </w:r>
      <w:r>
        <w:rPr>
          <w:rFonts w:ascii="Times New Roman" w:hAnsi="Times New Roman"/>
          <w:b/>
          <w:sz w:val="20"/>
        </w:rPr>
        <w:t>. Intangible Assets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Intangible assets as of September 30, 2023 and December 31, 2022 consisted of the following:</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3221"/>
        <w:gridCol w:w="126"/>
        <w:gridCol w:w="941"/>
        <w:gridCol w:w="754"/>
        <w:gridCol w:w="944"/>
        <w:gridCol w:w="126"/>
        <w:gridCol w:w="125"/>
        <w:gridCol w:w="331"/>
        <w:gridCol w:w="1478"/>
        <w:gridCol w:w="125"/>
        <w:gridCol w:w="126"/>
        <w:gridCol w:w="334"/>
        <w:gridCol w:w="1427"/>
        <w:gridCol w:w="147"/>
      </w:tblGrid>
      <w:tr>
        <w:trPr/>
        <w:tc>
          <w:tcPr>
            <w:tcW w:w="3221"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2639" w:type="dxa"/>
            <w:gridSpan w:val="3"/>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Estimated useful lives (years) </w:t>
            </w:r>
          </w:p>
        </w:tc>
        <w:tc>
          <w:tcPr>
            <w:tcW w:w="126" w:type="dxa"/>
            <w:tcBorders/>
            <w:vAlign w:val="center"/>
          </w:tcPr>
          <w:p>
            <w:pPr>
              <w:pStyle w:val="TableContents"/>
              <w:bidi w:val="0"/>
              <w:spacing w:before="0" w:after="0"/>
              <w:ind w:left="0" w:right="0" w:hanging="0"/>
              <w:jc w:val="left"/>
              <w:rPr/>
            </w:pPr>
            <w:r>
              <w:rPr/>
              <w:t xml:space="preserve">  </w:t>
            </w:r>
          </w:p>
        </w:tc>
        <w:tc>
          <w:tcPr>
            <w:tcW w:w="125" w:type="dxa"/>
            <w:tcBorders/>
            <w:vAlign w:val="center"/>
          </w:tcPr>
          <w:p>
            <w:pPr>
              <w:pStyle w:val="TableContents"/>
              <w:bidi w:val="0"/>
              <w:spacing w:before="0" w:after="0"/>
              <w:ind w:left="0" w:right="0" w:hanging="0"/>
              <w:jc w:val="left"/>
              <w:rPr/>
            </w:pPr>
            <w:r>
              <w:rPr/>
              <w:t xml:space="preserve">  </w:t>
            </w:r>
          </w:p>
        </w:tc>
        <w:tc>
          <w:tcPr>
            <w:tcW w:w="180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September 30, 2023 </w:t>
            </w:r>
          </w:p>
        </w:tc>
        <w:tc>
          <w:tcPr>
            <w:tcW w:w="125"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76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2022 </w:t>
            </w:r>
          </w:p>
        </w:tc>
        <w:tc>
          <w:tcPr>
            <w:tcW w:w="147" w:type="dxa"/>
            <w:tcBorders/>
            <w:vAlign w:val="center"/>
          </w:tcPr>
          <w:p>
            <w:pPr>
              <w:pStyle w:val="TableContents"/>
              <w:bidi w:val="0"/>
              <w:spacing w:before="0" w:after="0"/>
              <w:ind w:left="0" w:right="0" w:hanging="0"/>
              <w:jc w:val="left"/>
              <w:rPr/>
            </w:pPr>
            <w:r>
              <w:rPr/>
              <w:t xml:space="preserve">  </w:t>
            </w:r>
          </w:p>
        </w:tc>
      </w:tr>
      <w:tr>
        <w:trPr/>
        <w:tc>
          <w:tcPr>
            <w:tcW w:w="322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Tradename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941"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 xml:space="preserve">5 </w:t>
            </w:r>
          </w:p>
        </w:tc>
        <w:tc>
          <w:tcPr>
            <w:tcW w:w="754"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7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3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322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Patents and technological know-how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9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754"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4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125" w:type="dxa"/>
            <w:tcBorders/>
            <w:shd w:fill="FFFFFF" w:val="clear"/>
            <w:vAlign w:val="center"/>
          </w:tcPr>
          <w:p>
            <w:pPr>
              <w:pStyle w:val="TableContents"/>
              <w:bidi w:val="0"/>
              <w:spacing w:before="0" w:after="0"/>
              <w:ind w:left="0" w:right="0" w:hanging="0"/>
              <w:jc w:val="left"/>
              <w:rPr/>
            </w:pPr>
            <w:r>
              <w:rPr/>
              <w:t xml:space="preserve">  </w:t>
            </w:r>
          </w:p>
        </w:tc>
        <w:tc>
          <w:tcPr>
            <w:tcW w:w="331" w:type="dxa"/>
            <w:tcBorders/>
            <w:shd w:fill="FFFFFF" w:val="clear"/>
            <w:vAlign w:val="center"/>
          </w:tcPr>
          <w:p>
            <w:pPr>
              <w:pStyle w:val="TableContents"/>
              <w:bidi w:val="0"/>
              <w:spacing w:before="0" w:after="0"/>
              <w:ind w:left="0" w:right="0" w:hanging="0"/>
              <w:jc w:val="left"/>
              <w:rPr/>
            </w:pPr>
            <w:r>
              <w:rPr/>
              <w:t xml:space="preserve">  </w:t>
            </w:r>
          </w:p>
        </w:tc>
        <w:tc>
          <w:tcPr>
            <w:tcW w:w="14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7,164 </w:t>
            </w:r>
          </w:p>
        </w:tc>
        <w:tc>
          <w:tcPr>
            <w:tcW w:w="125" w:type="dxa"/>
            <w:tcBorders/>
            <w:shd w:fill="FFFFFF" w:val="clear"/>
            <w:vAlign w:val="center"/>
          </w:tcPr>
          <w:p>
            <w:pPr>
              <w:pStyle w:val="TableContents"/>
              <w:bidi w:val="0"/>
              <w:spacing w:before="0" w:after="0"/>
              <w:ind w:left="0" w:right="0" w:hanging="0"/>
              <w:jc w:val="left"/>
              <w:rPr/>
            </w:pPr>
            <w:r>
              <w:rPr/>
              <w:t xml:space="preserve">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334" w:type="dxa"/>
            <w:tcBorders/>
            <w:shd w:fill="FFFFFF" w:val="clear"/>
            <w:vAlign w:val="center"/>
          </w:tcPr>
          <w:p>
            <w:pPr>
              <w:pStyle w:val="TableContents"/>
              <w:bidi w:val="0"/>
              <w:spacing w:before="0" w:after="0"/>
              <w:ind w:left="0" w:right="0" w:hanging="0"/>
              <w:jc w:val="left"/>
              <w:rPr/>
            </w:pPr>
            <w:r>
              <w:rPr/>
              <w:t xml:space="preserve">  </w:t>
            </w:r>
          </w:p>
        </w:tc>
        <w:tc>
          <w:tcPr>
            <w:tcW w:w="14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7,053 </w:t>
            </w:r>
          </w:p>
        </w:tc>
        <w:tc>
          <w:tcPr>
            <w:tcW w:w="147" w:type="dxa"/>
            <w:tcBorders/>
            <w:shd w:fill="FFFFFF" w:val="clear"/>
            <w:vAlign w:val="center"/>
          </w:tcPr>
          <w:p>
            <w:pPr>
              <w:pStyle w:val="TableContents"/>
              <w:bidi w:val="0"/>
              <w:spacing w:before="0" w:after="0"/>
              <w:ind w:left="0" w:right="0" w:hanging="0"/>
              <w:jc w:val="left"/>
              <w:rPr/>
            </w:pPr>
            <w:r>
              <w:rPr/>
              <w:t xml:space="preserve">  </w:t>
            </w:r>
          </w:p>
        </w:tc>
      </w:tr>
      <w:tr>
        <w:trPr/>
        <w:tc>
          <w:tcPr>
            <w:tcW w:w="322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Proprietary software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941"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 xml:space="preserve">3 </w:t>
            </w:r>
          </w:p>
        </w:tc>
        <w:tc>
          <w:tcPr>
            <w:tcW w:w="754"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15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331" w:type="dxa"/>
            <w:tcBorders/>
            <w:shd w:fill="CCEEFF" w:val="clear"/>
            <w:vAlign w:val="center"/>
          </w:tcPr>
          <w:p>
            <w:pPr>
              <w:pStyle w:val="TableContents"/>
              <w:bidi w:val="0"/>
              <w:spacing w:before="0" w:after="0"/>
              <w:ind w:left="0" w:right="0" w:hanging="0"/>
              <w:jc w:val="left"/>
              <w:rPr/>
            </w:pPr>
            <w:r>
              <w:rPr/>
              <w:t xml:space="preserve">  </w:t>
            </w:r>
          </w:p>
        </w:tc>
        <w:tc>
          <w:tcPr>
            <w:tcW w:w="14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14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322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941"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 xml:space="preserve">3 </w:t>
            </w:r>
          </w:p>
        </w:tc>
        <w:tc>
          <w:tcPr>
            <w:tcW w:w="754"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4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5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125" w:type="dxa"/>
            <w:tcBorders/>
            <w:shd w:fill="FFFFFF" w:val="clear"/>
            <w:vAlign w:val="center"/>
          </w:tcPr>
          <w:p>
            <w:pPr>
              <w:pStyle w:val="TableContents"/>
              <w:bidi w:val="0"/>
              <w:spacing w:before="0" w:after="0"/>
              <w:ind w:left="0" w:right="0" w:hanging="0"/>
              <w:jc w:val="left"/>
              <w:rPr/>
            </w:pPr>
            <w:r>
              <w:rPr/>
              <w:t xml:space="preserve">  </w:t>
            </w:r>
          </w:p>
        </w:tc>
        <w:tc>
          <w:tcPr>
            <w:tcW w:w="331" w:type="dxa"/>
            <w:tcBorders/>
            <w:shd w:fill="FFFFFF" w:val="clear"/>
            <w:vAlign w:val="center"/>
          </w:tcPr>
          <w:p>
            <w:pPr>
              <w:pStyle w:val="TableContents"/>
              <w:bidi w:val="0"/>
              <w:spacing w:before="0" w:after="0"/>
              <w:ind w:left="0" w:right="0" w:hanging="0"/>
              <w:jc w:val="left"/>
              <w:rPr/>
            </w:pPr>
            <w:r>
              <w:rPr/>
              <w:t xml:space="preserve">  </w:t>
            </w:r>
          </w:p>
        </w:tc>
        <w:tc>
          <w:tcPr>
            <w:tcW w:w="14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323 </w:t>
            </w:r>
          </w:p>
        </w:tc>
        <w:tc>
          <w:tcPr>
            <w:tcW w:w="125" w:type="dxa"/>
            <w:tcBorders/>
            <w:shd w:fill="FFFFFF" w:val="clear"/>
            <w:vAlign w:val="center"/>
          </w:tcPr>
          <w:p>
            <w:pPr>
              <w:pStyle w:val="TableContents"/>
              <w:bidi w:val="0"/>
              <w:spacing w:before="0" w:after="0"/>
              <w:ind w:left="0" w:right="0" w:hanging="0"/>
              <w:jc w:val="left"/>
              <w:rPr/>
            </w:pPr>
            <w:r>
              <w:rPr/>
              <w:t xml:space="preserve">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334" w:type="dxa"/>
            <w:tcBorders/>
            <w:shd w:fill="FFFFFF" w:val="clear"/>
            <w:vAlign w:val="center"/>
          </w:tcPr>
          <w:p>
            <w:pPr>
              <w:pStyle w:val="TableContents"/>
              <w:bidi w:val="0"/>
              <w:spacing w:before="0" w:after="0"/>
              <w:ind w:left="0" w:right="0" w:hanging="0"/>
              <w:jc w:val="left"/>
              <w:rPr/>
            </w:pPr>
            <w:r>
              <w:rPr/>
              <w:t xml:space="preserve">  </w:t>
            </w:r>
          </w:p>
        </w:tc>
        <w:tc>
          <w:tcPr>
            <w:tcW w:w="14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323 </w:t>
            </w:r>
          </w:p>
        </w:tc>
        <w:tc>
          <w:tcPr>
            <w:tcW w:w="147" w:type="dxa"/>
            <w:tcBorders/>
            <w:shd w:fill="FFFFFF" w:val="clear"/>
            <w:vAlign w:val="center"/>
          </w:tcPr>
          <w:p>
            <w:pPr>
              <w:pStyle w:val="TableContents"/>
              <w:bidi w:val="0"/>
              <w:spacing w:before="0" w:after="0"/>
              <w:ind w:left="0" w:right="0" w:hanging="0"/>
              <w:jc w:val="left"/>
              <w:rPr/>
            </w:pPr>
            <w:r>
              <w:rPr/>
              <w:t xml:space="preserve">  </w:t>
            </w:r>
          </w:p>
        </w:tc>
      </w:tr>
      <w:tr>
        <w:trPr/>
        <w:tc>
          <w:tcPr>
            <w:tcW w:w="322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941" w:type="dxa"/>
            <w:tcBorders/>
            <w:shd w:fill="CCEEFF" w:val="clear"/>
            <w:vAlign w:val="center"/>
          </w:tcPr>
          <w:p>
            <w:pPr>
              <w:pStyle w:val="TableContents"/>
              <w:bidi w:val="0"/>
              <w:spacing w:before="0" w:after="0"/>
              <w:ind w:left="0" w:right="0" w:hanging="0"/>
              <w:jc w:val="left"/>
              <w:rPr/>
            </w:pPr>
            <w:r>
              <w:rPr/>
              <w:t xml:space="preserve">  </w:t>
            </w:r>
          </w:p>
        </w:tc>
        <w:tc>
          <w:tcPr>
            <w:tcW w:w="754" w:type="dxa"/>
            <w:tcBorders/>
            <w:shd w:fill="CCEEFF" w:val="clear"/>
            <w:vAlign w:val="center"/>
          </w:tcPr>
          <w:p>
            <w:pPr>
              <w:pStyle w:val="TableContents"/>
              <w:bidi w:val="0"/>
              <w:spacing w:before="0" w:after="0"/>
              <w:ind w:left="0" w:right="0" w:hanging="0"/>
              <w:jc w:val="right"/>
              <w:rPr/>
            </w:pPr>
            <w:r>
              <w:rPr/>
              <w:t xml:space="preserve">  </w:t>
            </w:r>
          </w:p>
        </w:tc>
        <w:tc>
          <w:tcPr>
            <w:tcW w:w="944" w:type="dxa"/>
            <w:tcBorders/>
            <w:shd w:fill="CCEEFF" w:val="clear"/>
            <w:vAlign w:val="center"/>
          </w:tcPr>
          <w:p>
            <w:pPr>
              <w:pStyle w:val="TableContents"/>
              <w:bidi w:val="0"/>
              <w:spacing w:before="0" w:after="0"/>
              <w:ind w:left="0" w:right="0" w:hanging="0"/>
              <w:jc w:val="righ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331" w:type="dxa"/>
            <w:tcBorders/>
            <w:shd w:fill="CCEEFF" w:val="clear"/>
            <w:vAlign w:val="center"/>
          </w:tcPr>
          <w:p>
            <w:pPr>
              <w:pStyle w:val="TableContents"/>
              <w:bidi w:val="0"/>
              <w:spacing w:before="0" w:after="0"/>
              <w:ind w:left="0" w:right="0" w:hanging="0"/>
              <w:jc w:val="left"/>
              <w:rPr/>
            </w:pPr>
            <w:r>
              <w:rPr/>
              <w:t xml:space="preserve">  </w:t>
            </w:r>
          </w:p>
        </w:tc>
        <w:tc>
          <w:tcPr>
            <w:tcW w:w="14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11,023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14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10,912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322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amortization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941" w:type="dxa"/>
            <w:tcBorders/>
            <w:shd w:fill="FFFFFF" w:val="clear"/>
            <w:vAlign w:val="center"/>
          </w:tcPr>
          <w:p>
            <w:pPr>
              <w:pStyle w:val="TableContents"/>
              <w:bidi w:val="0"/>
              <w:spacing w:before="0" w:after="0"/>
              <w:ind w:left="0" w:right="0" w:hanging="0"/>
              <w:jc w:val="left"/>
              <w:rPr/>
            </w:pPr>
            <w:r>
              <w:rPr/>
              <w:t xml:space="preserve">  </w:t>
            </w:r>
          </w:p>
        </w:tc>
        <w:tc>
          <w:tcPr>
            <w:tcW w:w="754" w:type="dxa"/>
            <w:tcBorders/>
            <w:shd w:fill="FFFFFF" w:val="clear"/>
            <w:vAlign w:val="center"/>
          </w:tcPr>
          <w:p>
            <w:pPr>
              <w:pStyle w:val="TableContents"/>
              <w:bidi w:val="0"/>
              <w:spacing w:before="0" w:after="0"/>
              <w:ind w:left="0" w:right="0" w:hanging="0"/>
              <w:jc w:val="right"/>
              <w:rPr/>
            </w:pPr>
            <w:r>
              <w:rPr/>
              <w:t xml:space="preserve">  </w:t>
            </w:r>
          </w:p>
        </w:tc>
        <w:tc>
          <w:tcPr>
            <w:tcW w:w="944" w:type="dxa"/>
            <w:tcBorders/>
            <w:shd w:fill="FFFFFF" w:val="clear"/>
            <w:vAlign w:val="center"/>
          </w:tcPr>
          <w:p>
            <w:pPr>
              <w:pStyle w:val="TableContents"/>
              <w:bidi w:val="0"/>
              <w:spacing w:before="0" w:after="0"/>
              <w:ind w:left="0" w:right="0" w:hanging="0"/>
              <w:jc w:val="right"/>
              <w:rPr/>
            </w:pPr>
            <w:r>
              <w:rPr/>
              <w:t xml:space="preserve">  </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125" w:type="dxa"/>
            <w:tcBorders/>
            <w:shd w:fill="FFFFFF" w:val="clear"/>
            <w:vAlign w:val="center"/>
          </w:tcPr>
          <w:p>
            <w:pPr>
              <w:pStyle w:val="TableContents"/>
              <w:bidi w:val="0"/>
              <w:spacing w:before="0" w:after="0"/>
              <w:ind w:left="0" w:right="0" w:hanging="0"/>
              <w:jc w:val="left"/>
              <w:rPr/>
            </w:pPr>
            <w:r>
              <w:rPr/>
              <w:t xml:space="preserve">  </w:t>
            </w:r>
          </w:p>
        </w:tc>
        <w:tc>
          <w:tcPr>
            <w:tcW w:w="331" w:type="dxa"/>
            <w:tcBorders/>
            <w:shd w:fill="FFFFFF" w:val="clear"/>
            <w:vAlign w:val="center"/>
          </w:tcPr>
          <w:p>
            <w:pPr>
              <w:pStyle w:val="TableContents"/>
              <w:bidi w:val="0"/>
              <w:spacing w:before="0" w:after="0"/>
              <w:ind w:left="0" w:right="0" w:hanging="0"/>
              <w:jc w:val="left"/>
              <w:rPr/>
            </w:pPr>
            <w:r>
              <w:rPr/>
              <w:t xml:space="preserve">  </w:t>
            </w:r>
          </w:p>
        </w:tc>
        <w:tc>
          <w:tcPr>
            <w:tcW w:w="14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(9,229</w:t>
            </w:r>
          </w:p>
        </w:tc>
        <w:tc>
          <w:tcPr>
            <w:tcW w:w="125"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0"/>
              <w:ind w:left="0" w:right="0" w:hanging="0"/>
              <w:jc w:val="left"/>
              <w:rPr/>
            </w:pPr>
            <w:r>
              <w:rPr/>
              <w:t xml:space="preserve">  </w:t>
            </w:r>
          </w:p>
        </w:tc>
        <w:tc>
          <w:tcPr>
            <w:tcW w:w="334" w:type="dxa"/>
            <w:tcBorders/>
            <w:shd w:fill="FFFFFF" w:val="clear"/>
            <w:vAlign w:val="center"/>
          </w:tcPr>
          <w:p>
            <w:pPr>
              <w:pStyle w:val="TableContents"/>
              <w:bidi w:val="0"/>
              <w:spacing w:before="0" w:after="0"/>
              <w:ind w:left="0" w:right="0" w:hanging="0"/>
              <w:jc w:val="left"/>
              <w:rPr/>
            </w:pPr>
            <w:r>
              <w:rPr/>
              <w:t xml:space="preserve">  </w:t>
            </w:r>
          </w:p>
        </w:tc>
        <w:tc>
          <w:tcPr>
            <w:tcW w:w="14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(8,841 </w:t>
            </w:r>
          </w:p>
        </w:tc>
        <w:tc>
          <w:tcPr>
            <w:tcW w:w="1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322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net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941" w:type="dxa"/>
            <w:tcBorders/>
            <w:shd w:fill="CCEEFF" w:val="clear"/>
            <w:vAlign w:val="center"/>
          </w:tcPr>
          <w:p>
            <w:pPr>
              <w:pStyle w:val="TableContents"/>
              <w:bidi w:val="0"/>
              <w:spacing w:before="0" w:after="0"/>
              <w:ind w:left="0" w:right="0" w:hanging="0"/>
              <w:jc w:val="left"/>
              <w:rPr/>
            </w:pPr>
            <w:r>
              <w:rPr/>
              <w:t xml:space="preserve">  </w:t>
            </w:r>
          </w:p>
        </w:tc>
        <w:tc>
          <w:tcPr>
            <w:tcW w:w="754" w:type="dxa"/>
            <w:tcBorders/>
            <w:shd w:fill="CCEEFF" w:val="clear"/>
            <w:vAlign w:val="center"/>
          </w:tcPr>
          <w:p>
            <w:pPr>
              <w:pStyle w:val="TableContents"/>
              <w:bidi w:val="0"/>
              <w:spacing w:before="0" w:after="0"/>
              <w:ind w:left="0" w:right="0" w:hanging="0"/>
              <w:jc w:val="right"/>
              <w:rPr/>
            </w:pPr>
            <w:r>
              <w:rPr/>
              <w:t xml:space="preserve">  </w:t>
            </w:r>
          </w:p>
        </w:tc>
        <w:tc>
          <w:tcPr>
            <w:tcW w:w="944" w:type="dxa"/>
            <w:tcBorders/>
            <w:shd w:fill="CCEEFF" w:val="clear"/>
            <w:vAlign w:val="center"/>
          </w:tcPr>
          <w:p>
            <w:pPr>
              <w:pStyle w:val="TableContents"/>
              <w:bidi w:val="0"/>
              <w:spacing w:before="0" w:after="0"/>
              <w:ind w:left="0" w:right="0" w:hanging="0"/>
              <w:jc w:val="righ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3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1,794 </w:t>
            </w:r>
          </w:p>
        </w:tc>
        <w:tc>
          <w:tcPr>
            <w:tcW w:w="125"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2,071 </w:t>
            </w:r>
          </w:p>
        </w:tc>
        <w:tc>
          <w:tcPr>
            <w:tcW w:w="147"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0"/>
        <w:ind w:left="144" w:right="144"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amortization of intangible assets for the three and nine months ended September 30, 2023 and 2022 was as follows: </w:t>
      </w:r>
    </w:p>
    <w:p>
      <w:pPr>
        <w:pStyle w:val="TextBody"/>
        <w:bidi w:val="0"/>
        <w:spacing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3245"/>
        <w:gridCol w:w="27"/>
        <w:gridCol w:w="413"/>
        <w:gridCol w:w="1255"/>
        <w:gridCol w:w="75"/>
        <w:gridCol w:w="75"/>
        <w:gridCol w:w="413"/>
        <w:gridCol w:w="1256"/>
        <w:gridCol w:w="27"/>
        <w:gridCol w:w="27"/>
        <w:gridCol w:w="408"/>
        <w:gridCol w:w="979"/>
        <w:gridCol w:w="67"/>
        <w:gridCol w:w="67"/>
        <w:gridCol w:w="408"/>
        <w:gridCol w:w="1418"/>
        <w:gridCol w:w="45"/>
      </w:tblGrid>
      <w:tr>
        <w:trPr/>
        <w:tc>
          <w:tcPr>
            <w:tcW w:w="3245" w:type="dxa"/>
            <w:tcBorders/>
            <w:vAlign w:val="center"/>
          </w:tcPr>
          <w:p>
            <w:pPr>
              <w:pStyle w:val="TableContents"/>
              <w:bidi w:val="0"/>
              <w:spacing w:before="0" w:after="0"/>
              <w:ind w:left="0" w:right="0" w:hanging="0"/>
              <w:jc w:val="left"/>
              <w:rPr/>
            </w:pPr>
            <w:r>
              <w:rPr/>
              <w:t xml:space="preserve">  </w:t>
            </w:r>
          </w:p>
        </w:tc>
        <w:tc>
          <w:tcPr>
            <w:tcW w:w="27" w:type="dxa"/>
            <w:tcBorders/>
            <w:vAlign w:val="center"/>
          </w:tcPr>
          <w:p>
            <w:pPr>
              <w:pStyle w:val="TableContents"/>
              <w:bidi w:val="0"/>
              <w:spacing w:before="0" w:after="283"/>
              <w:jc w:val="left"/>
              <w:rPr/>
            </w:pPr>
            <w:r>
              <w:rPr/>
            </w:r>
          </w:p>
        </w:tc>
        <w:tc>
          <w:tcPr>
            <w:tcW w:w="3487"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September 30,</w:t>
            </w:r>
          </w:p>
        </w:tc>
        <w:tc>
          <w:tcPr>
            <w:tcW w:w="27"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3347"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45" w:type="dxa"/>
            <w:tcBorders/>
            <w:vAlign w:val="center"/>
          </w:tcPr>
          <w:p>
            <w:pPr>
              <w:pStyle w:val="TableContents"/>
              <w:bidi w:val="0"/>
              <w:spacing w:before="0" w:after="283"/>
              <w:jc w:val="left"/>
              <w:rPr/>
            </w:pPr>
            <w:r>
              <w:rPr/>
            </w:r>
          </w:p>
        </w:tc>
      </w:tr>
      <w:tr>
        <w:trPr/>
        <w:tc>
          <w:tcPr>
            <w:tcW w:w="3245" w:type="dxa"/>
            <w:tcBorders/>
            <w:vAlign w:val="center"/>
          </w:tcPr>
          <w:p>
            <w:pPr>
              <w:pStyle w:val="TableContents"/>
              <w:bidi w:val="0"/>
              <w:spacing w:before="0" w:after="0"/>
              <w:ind w:left="0" w:right="0" w:hanging="0"/>
              <w:jc w:val="left"/>
              <w:rPr/>
            </w:pPr>
            <w:r>
              <w:rPr/>
              <w:t xml:space="preserve">  </w:t>
            </w:r>
          </w:p>
        </w:tc>
        <w:tc>
          <w:tcPr>
            <w:tcW w:w="27" w:type="dxa"/>
            <w:tcBorders/>
            <w:vAlign w:val="center"/>
          </w:tcPr>
          <w:p>
            <w:pPr>
              <w:pStyle w:val="TableContents"/>
              <w:bidi w:val="0"/>
              <w:spacing w:before="0" w:after="283"/>
              <w:jc w:val="left"/>
              <w:rPr/>
            </w:pPr>
            <w:r>
              <w:rPr/>
            </w:r>
          </w:p>
        </w:tc>
        <w:tc>
          <w:tcPr>
            <w:tcW w:w="1668" w:type="dxa"/>
            <w:gridSpan w:val="2"/>
            <w:tcBorders/>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r>
          </w:p>
        </w:tc>
        <w:tc>
          <w:tcPr>
            <w:tcW w:w="1669" w:type="dxa"/>
            <w:gridSpan w:val="2"/>
            <w:tcBorders/>
            <w:vAlign w:val="center"/>
          </w:tcPr>
          <w:p>
            <w:pPr>
              <w:pStyle w:val="TableContents"/>
              <w:bidi w:val="0"/>
              <w:spacing w:before="0" w:after="283"/>
              <w:jc w:val="center"/>
              <w:rPr>
                <w:b/>
              </w:rPr>
            </w:pPr>
            <w:r>
              <w:rPr>
                <w:b/>
              </w:rPr>
              <w:t>2022</w:t>
            </w:r>
          </w:p>
        </w:tc>
        <w:tc>
          <w:tcPr>
            <w:tcW w:w="27" w:type="dxa"/>
            <w:tcBorders/>
            <w:vAlign w:val="center"/>
          </w:tcPr>
          <w:p>
            <w:pPr>
              <w:pStyle w:val="TableContents"/>
              <w:bidi w:val="0"/>
              <w:spacing w:before="0" w:after="283"/>
              <w:jc w:val="left"/>
              <w:rPr/>
            </w:pPr>
            <w:r>
              <w:rPr/>
            </w:r>
          </w:p>
        </w:tc>
        <w:tc>
          <w:tcPr>
            <w:tcW w:w="27" w:type="dxa"/>
            <w:tcBorders/>
            <w:vAlign w:val="center"/>
          </w:tcPr>
          <w:p>
            <w:pPr>
              <w:pStyle w:val="TableContents"/>
              <w:bidi w:val="0"/>
              <w:spacing w:before="0" w:after="283"/>
              <w:jc w:val="left"/>
              <w:rPr/>
            </w:pPr>
            <w:r>
              <w:rPr/>
            </w:r>
          </w:p>
        </w:tc>
        <w:tc>
          <w:tcPr>
            <w:tcW w:w="1387" w:type="dxa"/>
            <w:gridSpan w:val="2"/>
            <w:tcBorders/>
            <w:vAlign w:val="center"/>
          </w:tcPr>
          <w:p>
            <w:pPr>
              <w:pStyle w:val="TableContents"/>
              <w:bidi w:val="0"/>
              <w:spacing w:before="0" w:after="283"/>
              <w:jc w:val="center"/>
              <w:rPr>
                <w:b/>
              </w:rPr>
            </w:pPr>
            <w:r>
              <w:rPr>
                <w:b/>
              </w:rPr>
              <w:t>2023</w:t>
            </w:r>
          </w:p>
        </w:tc>
        <w:tc>
          <w:tcPr>
            <w:tcW w:w="67" w:type="dxa"/>
            <w:tcBorders/>
            <w:vAlign w:val="center"/>
          </w:tcPr>
          <w:p>
            <w:pPr>
              <w:pStyle w:val="TableContents"/>
              <w:bidi w:val="0"/>
              <w:spacing w:before="0" w:after="283"/>
              <w:jc w:val="left"/>
              <w:rPr/>
            </w:pPr>
            <w:r>
              <w:rPr/>
            </w:r>
          </w:p>
        </w:tc>
        <w:tc>
          <w:tcPr>
            <w:tcW w:w="67" w:type="dxa"/>
            <w:tcBorders/>
            <w:vAlign w:val="center"/>
          </w:tcPr>
          <w:p>
            <w:pPr>
              <w:pStyle w:val="TableContents"/>
              <w:bidi w:val="0"/>
              <w:spacing w:before="0" w:after="283"/>
              <w:jc w:val="left"/>
              <w:rPr/>
            </w:pPr>
            <w:r>
              <w:rPr/>
            </w:r>
          </w:p>
        </w:tc>
        <w:tc>
          <w:tcPr>
            <w:tcW w:w="1826" w:type="dxa"/>
            <w:gridSpan w:val="2"/>
            <w:tcBorders/>
            <w:vAlign w:val="center"/>
          </w:tcPr>
          <w:p>
            <w:pPr>
              <w:pStyle w:val="TableContents"/>
              <w:bidi w:val="0"/>
              <w:spacing w:before="0" w:after="283"/>
              <w:jc w:val="center"/>
              <w:rPr>
                <w:b/>
              </w:rPr>
            </w:pPr>
            <w:r>
              <w:rPr>
                <w:b/>
              </w:rPr>
              <w:t>2022</w:t>
            </w:r>
          </w:p>
        </w:tc>
        <w:tc>
          <w:tcPr>
            <w:tcW w:w="45" w:type="dxa"/>
            <w:tcBorders/>
            <w:vAlign w:val="center"/>
          </w:tcPr>
          <w:p>
            <w:pPr>
              <w:pStyle w:val="TableContents"/>
              <w:bidi w:val="0"/>
              <w:spacing w:before="0" w:after="283"/>
              <w:jc w:val="left"/>
              <w:rPr/>
            </w:pPr>
            <w:r>
              <w:rPr/>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intangible assets </w:t>
            </w:r>
          </w:p>
        </w:tc>
        <w:tc>
          <w:tcPr>
            <w:tcW w:w="27" w:type="dxa"/>
            <w:tcBorders/>
            <w:shd w:fill="CCEEFF" w:val="clear"/>
            <w:vAlign w:val="center"/>
          </w:tcPr>
          <w:p>
            <w:pPr>
              <w:pStyle w:val="TableContents"/>
              <w:bidi w:val="0"/>
              <w:spacing w:before="0" w:after="283"/>
              <w:jc w:val="left"/>
              <w:rPr/>
            </w:pPr>
            <w:r>
              <w:rPr/>
            </w:r>
          </w:p>
        </w:tc>
        <w:tc>
          <w:tcPr>
            <w:tcW w:w="41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5" w:type="dxa"/>
            <w:tcBorders/>
            <w:shd w:fill="CCEEFF" w:val="clear"/>
            <w:vAlign w:val="center"/>
          </w:tcPr>
          <w:p>
            <w:pPr>
              <w:pStyle w:val="TableContents"/>
              <w:bidi w:val="0"/>
              <w:spacing w:before="0" w:after="283"/>
              <w:jc w:val="right"/>
              <w:rPr/>
            </w:pPr>
            <w:r>
              <w:rPr/>
              <w:t>141</w:t>
            </w:r>
          </w:p>
        </w:tc>
        <w:tc>
          <w:tcPr>
            <w:tcW w:w="75" w:type="dxa"/>
            <w:tcBorders/>
            <w:shd w:fill="CCEEFF" w:val="clear"/>
            <w:vAlign w:val="center"/>
          </w:tcPr>
          <w:p>
            <w:pPr>
              <w:pStyle w:val="TableContents"/>
              <w:bidi w:val="0"/>
              <w:spacing w:before="0" w:after="283"/>
              <w:jc w:val="left"/>
              <w:rPr/>
            </w:pPr>
            <w:r>
              <w:rPr/>
            </w:r>
          </w:p>
        </w:tc>
        <w:tc>
          <w:tcPr>
            <w:tcW w:w="75" w:type="dxa"/>
            <w:tcBorders/>
            <w:shd w:fill="CCEEFF" w:val="clear"/>
            <w:vAlign w:val="center"/>
          </w:tcPr>
          <w:p>
            <w:pPr>
              <w:pStyle w:val="TableContents"/>
              <w:bidi w:val="0"/>
              <w:spacing w:before="0" w:after="283"/>
              <w:jc w:val="left"/>
              <w:rPr/>
            </w:pPr>
            <w:r>
              <w:rPr/>
            </w:r>
          </w:p>
        </w:tc>
        <w:tc>
          <w:tcPr>
            <w:tcW w:w="41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6" w:type="dxa"/>
            <w:tcBorders/>
            <w:shd w:fill="CCEEFF" w:val="clear"/>
            <w:vAlign w:val="center"/>
          </w:tcPr>
          <w:p>
            <w:pPr>
              <w:pStyle w:val="TableContents"/>
              <w:bidi w:val="0"/>
              <w:spacing w:before="0" w:after="283"/>
              <w:jc w:val="right"/>
              <w:rPr/>
            </w:pPr>
            <w:r>
              <w:rPr/>
              <w:t>686</w:t>
            </w:r>
          </w:p>
        </w:tc>
        <w:tc>
          <w:tcPr>
            <w:tcW w:w="27" w:type="dxa"/>
            <w:tcBorders/>
            <w:shd w:fill="CCEEFF" w:val="clear"/>
            <w:vAlign w:val="center"/>
          </w:tcPr>
          <w:p>
            <w:pPr>
              <w:pStyle w:val="TableContents"/>
              <w:bidi w:val="0"/>
              <w:spacing w:before="0" w:after="283"/>
              <w:jc w:val="left"/>
              <w:rPr/>
            </w:pPr>
            <w:r>
              <w:rPr/>
            </w:r>
          </w:p>
        </w:tc>
        <w:tc>
          <w:tcPr>
            <w:tcW w:w="27" w:type="dxa"/>
            <w:tcBorders/>
            <w:shd w:fill="CCEEFF" w:val="clear"/>
            <w:vAlign w:val="center"/>
          </w:tcPr>
          <w:p>
            <w:pPr>
              <w:pStyle w:val="TableContents"/>
              <w:bidi w:val="0"/>
              <w:spacing w:before="0" w:after="283"/>
              <w:jc w:val="left"/>
              <w:rPr/>
            </w:pPr>
            <w:r>
              <w:rPr/>
            </w:r>
          </w:p>
        </w:tc>
        <w:tc>
          <w:tcPr>
            <w:tcW w:w="408"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388</w:t>
            </w:r>
          </w:p>
        </w:tc>
        <w:tc>
          <w:tcPr>
            <w:tcW w:w="67" w:type="dxa"/>
            <w:tcBorders/>
            <w:shd w:fill="CCEEFF" w:val="clear"/>
            <w:vAlign w:val="center"/>
          </w:tcPr>
          <w:p>
            <w:pPr>
              <w:pStyle w:val="TableContents"/>
              <w:bidi w:val="0"/>
              <w:spacing w:before="0" w:after="283"/>
              <w:jc w:val="left"/>
              <w:rPr/>
            </w:pPr>
            <w:r>
              <w:rPr/>
            </w:r>
          </w:p>
        </w:tc>
        <w:tc>
          <w:tcPr>
            <w:tcW w:w="67" w:type="dxa"/>
            <w:tcBorders/>
            <w:shd w:fill="CCEEFF" w:val="clear"/>
            <w:vAlign w:val="center"/>
          </w:tcPr>
          <w:p>
            <w:pPr>
              <w:pStyle w:val="TableContents"/>
              <w:bidi w:val="0"/>
              <w:spacing w:before="0" w:after="283"/>
              <w:jc w:val="left"/>
              <w:rPr/>
            </w:pPr>
            <w:r>
              <w:rPr/>
            </w:r>
          </w:p>
        </w:tc>
        <w:tc>
          <w:tcPr>
            <w:tcW w:w="408"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2,038</w:t>
            </w:r>
          </w:p>
        </w:tc>
        <w:tc>
          <w:tcPr>
            <w:tcW w:w="45"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144" w:right="144"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estimated future amortization expense of intangible assets is as follows:</w:t>
      </w:r>
    </w:p>
    <w:p>
      <w:pPr>
        <w:pStyle w:val="TextBody"/>
        <w:bidi w:val="0"/>
        <w:spacing w:lineRule="auto" w:line="288" w:before="0" w:after="0"/>
        <w:ind w:left="144" w:right="144" w:hanging="0"/>
        <w:jc w:val="left"/>
        <w:rPr/>
      </w:pPr>
      <w:r>
        <w:rPr/>
        <w:t> </w:t>
      </w:r>
    </w:p>
    <w:tbl>
      <w:tblPr>
        <w:tblW w:w="4000" w:type="pct"/>
        <w:jc w:val="left"/>
        <w:tblInd w:w="0" w:type="dxa"/>
        <w:tblLayout w:type="fixed"/>
        <w:tblCellMar>
          <w:top w:w="0" w:type="dxa"/>
          <w:left w:w="0" w:type="dxa"/>
          <w:bottom w:w="0" w:type="dxa"/>
          <w:right w:w="0" w:type="dxa"/>
        </w:tblCellMar>
      </w:tblPr>
      <w:tblGrid>
        <w:gridCol w:w="5680"/>
        <w:gridCol w:w="285"/>
        <w:gridCol w:w="618"/>
        <w:gridCol w:w="1260"/>
        <w:gridCol w:w="321"/>
      </w:tblGrid>
      <w:tr>
        <w:trPr/>
        <w:tc>
          <w:tcPr>
            <w:tcW w:w="568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December 31, </w:t>
            </w:r>
          </w:p>
        </w:tc>
        <w:tc>
          <w:tcPr>
            <w:tcW w:w="285" w:type="dxa"/>
            <w:tcBorders/>
            <w:vAlign w:val="center"/>
          </w:tcPr>
          <w:p>
            <w:pPr>
              <w:pStyle w:val="TableContents"/>
              <w:bidi w:val="0"/>
              <w:spacing w:before="0" w:after="0"/>
              <w:ind w:left="0" w:right="0" w:hanging="0"/>
              <w:jc w:val="left"/>
              <w:rPr/>
            </w:pPr>
            <w:r>
              <w:rPr/>
              <w:t xml:space="preserve">  </w:t>
            </w:r>
          </w:p>
        </w:tc>
        <w:tc>
          <w:tcPr>
            <w:tcW w:w="1878" w:type="dxa"/>
            <w:gridSpan w:val="2"/>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 xml:space="preserve">Amount </w:t>
            </w:r>
          </w:p>
        </w:tc>
        <w:tc>
          <w:tcPr>
            <w:tcW w:w="321" w:type="dxa"/>
            <w:tcBorders/>
            <w:vAlign w:val="center"/>
          </w:tcPr>
          <w:p>
            <w:pPr>
              <w:pStyle w:val="TableContents"/>
              <w:bidi w:val="0"/>
              <w:spacing w:before="0" w:after="0"/>
              <w:ind w:left="0" w:right="0" w:hanging="0"/>
              <w:jc w:val="left"/>
              <w:rPr/>
            </w:pPr>
            <w:r>
              <w:rPr/>
              <w:t xml:space="preserve">  </w:t>
            </w:r>
          </w:p>
        </w:tc>
      </w:tr>
      <w:tr>
        <w:trPr/>
        <w:tc>
          <w:tcPr>
            <w:tcW w:w="5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2023 (Remainder)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6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129 </w:t>
            </w:r>
          </w:p>
        </w:tc>
        <w:tc>
          <w:tcPr>
            <w:tcW w:w="321" w:type="dxa"/>
            <w:tcBorders/>
            <w:shd w:fill="CCEEFF" w:val="clear"/>
            <w:vAlign w:val="center"/>
          </w:tcPr>
          <w:p>
            <w:pPr>
              <w:pStyle w:val="TableContents"/>
              <w:bidi w:val="0"/>
              <w:spacing w:before="0" w:after="0"/>
              <w:ind w:left="0" w:right="0" w:hanging="0"/>
              <w:jc w:val="left"/>
              <w:rPr/>
            </w:pPr>
            <w:r>
              <w:rPr/>
              <w:t xml:space="preserve">  </w:t>
            </w:r>
          </w:p>
        </w:tc>
      </w:tr>
      <w:tr>
        <w:trPr/>
        <w:tc>
          <w:tcPr>
            <w:tcW w:w="5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2024 </w:t>
            </w:r>
          </w:p>
        </w:tc>
        <w:tc>
          <w:tcPr>
            <w:tcW w:w="285" w:type="dxa"/>
            <w:tcBorders/>
            <w:shd w:fill="FFFFFF" w:val="clear"/>
            <w:vAlign w:val="center"/>
          </w:tcPr>
          <w:p>
            <w:pPr>
              <w:pStyle w:val="TableContents"/>
              <w:bidi w:val="0"/>
              <w:spacing w:before="0" w:after="0"/>
              <w:ind w:left="0" w:right="0" w:hanging="0"/>
              <w:jc w:val="left"/>
              <w:rPr/>
            </w:pPr>
            <w:r>
              <w:rPr/>
              <w:t xml:space="preserve">  </w:t>
            </w:r>
          </w:p>
        </w:tc>
        <w:tc>
          <w:tcPr>
            <w:tcW w:w="618" w:type="dxa"/>
            <w:tcBorders/>
            <w:shd w:fill="FFFFFF" w:val="clear"/>
            <w:vAlign w:val="center"/>
          </w:tcPr>
          <w:p>
            <w:pPr>
              <w:pStyle w:val="TableContents"/>
              <w:bidi w:val="0"/>
              <w:spacing w:before="0" w:after="0"/>
              <w:ind w:left="0" w:right="0" w:hanging="0"/>
              <w:jc w:val="left"/>
              <w:rPr/>
            </w:pPr>
            <w:r>
              <w:rPr/>
              <w:t xml:space="preserve">  </w:t>
            </w:r>
          </w:p>
        </w:tc>
        <w:tc>
          <w:tcPr>
            <w:tcW w:w="1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255 </w:t>
            </w:r>
          </w:p>
        </w:tc>
        <w:tc>
          <w:tcPr>
            <w:tcW w:w="321" w:type="dxa"/>
            <w:tcBorders/>
            <w:shd w:fill="FFFFFF" w:val="clear"/>
            <w:vAlign w:val="center"/>
          </w:tcPr>
          <w:p>
            <w:pPr>
              <w:pStyle w:val="TableContents"/>
              <w:bidi w:val="0"/>
              <w:spacing w:before="0" w:after="0"/>
              <w:ind w:left="0" w:right="0" w:hanging="0"/>
              <w:jc w:val="left"/>
              <w:rPr/>
            </w:pPr>
            <w:r>
              <w:rPr/>
              <w:t xml:space="preserve">  </w:t>
            </w:r>
          </w:p>
        </w:tc>
      </w:tr>
      <w:tr>
        <w:trPr/>
        <w:tc>
          <w:tcPr>
            <w:tcW w:w="5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2025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618" w:type="dxa"/>
            <w:tcBorders/>
            <w:shd w:fill="CCEEFF" w:val="clear"/>
            <w:vAlign w:val="center"/>
          </w:tcPr>
          <w:p>
            <w:pPr>
              <w:pStyle w:val="TableContents"/>
              <w:bidi w:val="0"/>
              <w:spacing w:before="0" w:after="0"/>
              <w:ind w:left="0" w:right="0" w:hanging="0"/>
              <w:jc w:val="left"/>
              <w:rPr/>
            </w:pPr>
            <w:r>
              <w:rPr/>
              <w:t xml:space="preserve">  </w:t>
            </w:r>
          </w:p>
        </w:tc>
        <w:tc>
          <w:tcPr>
            <w:tcW w:w="1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194 </w:t>
            </w:r>
          </w:p>
        </w:tc>
        <w:tc>
          <w:tcPr>
            <w:tcW w:w="321" w:type="dxa"/>
            <w:tcBorders/>
            <w:shd w:fill="CCEEFF" w:val="clear"/>
            <w:vAlign w:val="center"/>
          </w:tcPr>
          <w:p>
            <w:pPr>
              <w:pStyle w:val="TableContents"/>
              <w:bidi w:val="0"/>
              <w:spacing w:before="0" w:after="0"/>
              <w:ind w:left="0" w:right="0" w:hanging="0"/>
              <w:jc w:val="left"/>
              <w:rPr/>
            </w:pPr>
            <w:r>
              <w:rPr/>
              <w:t xml:space="preserve">  </w:t>
            </w:r>
          </w:p>
        </w:tc>
      </w:tr>
      <w:tr>
        <w:trPr/>
        <w:tc>
          <w:tcPr>
            <w:tcW w:w="5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2026 </w:t>
            </w:r>
          </w:p>
        </w:tc>
        <w:tc>
          <w:tcPr>
            <w:tcW w:w="285" w:type="dxa"/>
            <w:tcBorders/>
            <w:shd w:fill="FFFFFF" w:val="clear"/>
            <w:vAlign w:val="center"/>
          </w:tcPr>
          <w:p>
            <w:pPr>
              <w:pStyle w:val="TableContents"/>
              <w:bidi w:val="0"/>
              <w:spacing w:before="0" w:after="0"/>
              <w:ind w:left="0" w:right="0" w:hanging="0"/>
              <w:jc w:val="left"/>
              <w:rPr/>
            </w:pPr>
            <w:r>
              <w:rPr/>
              <w:t xml:space="preserve">  </w:t>
            </w:r>
          </w:p>
        </w:tc>
        <w:tc>
          <w:tcPr>
            <w:tcW w:w="618" w:type="dxa"/>
            <w:tcBorders/>
            <w:shd w:fill="FFFFFF" w:val="clear"/>
            <w:vAlign w:val="center"/>
          </w:tcPr>
          <w:p>
            <w:pPr>
              <w:pStyle w:val="TableContents"/>
              <w:bidi w:val="0"/>
              <w:spacing w:before="0" w:after="0"/>
              <w:ind w:left="0" w:right="0" w:hanging="0"/>
              <w:jc w:val="left"/>
              <w:rPr/>
            </w:pPr>
            <w:r>
              <w:rPr/>
              <w:t xml:space="preserve">  </w:t>
            </w:r>
          </w:p>
        </w:tc>
        <w:tc>
          <w:tcPr>
            <w:tcW w:w="1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193 </w:t>
            </w:r>
          </w:p>
        </w:tc>
        <w:tc>
          <w:tcPr>
            <w:tcW w:w="321" w:type="dxa"/>
            <w:tcBorders/>
            <w:shd w:fill="FFFFFF" w:val="clear"/>
            <w:vAlign w:val="center"/>
          </w:tcPr>
          <w:p>
            <w:pPr>
              <w:pStyle w:val="TableContents"/>
              <w:bidi w:val="0"/>
              <w:spacing w:before="0" w:after="0"/>
              <w:ind w:left="0" w:right="0" w:hanging="0"/>
              <w:jc w:val="left"/>
              <w:rPr/>
            </w:pPr>
            <w:r>
              <w:rPr/>
              <w:t xml:space="preserve">  </w:t>
            </w:r>
          </w:p>
        </w:tc>
      </w:tr>
      <w:tr>
        <w:trPr/>
        <w:tc>
          <w:tcPr>
            <w:tcW w:w="5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2027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618" w:type="dxa"/>
            <w:tcBorders/>
            <w:shd w:fill="CCEEFF" w:val="clear"/>
            <w:vAlign w:val="center"/>
          </w:tcPr>
          <w:p>
            <w:pPr>
              <w:pStyle w:val="TableContents"/>
              <w:bidi w:val="0"/>
              <w:spacing w:before="0" w:after="0"/>
              <w:ind w:left="0" w:right="0" w:hanging="0"/>
              <w:jc w:val="left"/>
              <w:rPr/>
            </w:pPr>
            <w:r>
              <w:rPr/>
              <w:t xml:space="preserve">  </w:t>
            </w:r>
          </w:p>
        </w:tc>
        <w:tc>
          <w:tcPr>
            <w:tcW w:w="1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63 </w:t>
            </w:r>
          </w:p>
        </w:tc>
        <w:tc>
          <w:tcPr>
            <w:tcW w:w="321" w:type="dxa"/>
            <w:tcBorders/>
            <w:shd w:fill="CCEEFF" w:val="clear"/>
            <w:vAlign w:val="center"/>
          </w:tcPr>
          <w:p>
            <w:pPr>
              <w:pStyle w:val="TableContents"/>
              <w:bidi w:val="0"/>
              <w:spacing w:before="0" w:after="0"/>
              <w:ind w:left="0" w:right="0" w:hanging="0"/>
              <w:jc w:val="left"/>
              <w:rPr/>
            </w:pPr>
            <w:r>
              <w:rPr/>
              <w:t xml:space="preserve">  </w:t>
            </w:r>
          </w:p>
        </w:tc>
      </w:tr>
      <w:tr>
        <w:trPr/>
        <w:tc>
          <w:tcPr>
            <w:tcW w:w="5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Thereafter </w:t>
            </w:r>
          </w:p>
        </w:tc>
        <w:tc>
          <w:tcPr>
            <w:tcW w:w="285" w:type="dxa"/>
            <w:tcBorders/>
            <w:shd w:fill="FFFFFF" w:val="clear"/>
            <w:vAlign w:val="center"/>
          </w:tcPr>
          <w:p>
            <w:pPr>
              <w:pStyle w:val="TableContents"/>
              <w:bidi w:val="0"/>
              <w:spacing w:before="0" w:after="0"/>
              <w:ind w:left="0" w:right="0" w:hanging="0"/>
              <w:jc w:val="left"/>
              <w:rPr/>
            </w:pPr>
            <w:r>
              <w:rPr/>
              <w:t xml:space="preserve">  </w:t>
            </w:r>
          </w:p>
        </w:tc>
        <w:tc>
          <w:tcPr>
            <w:tcW w:w="618" w:type="dxa"/>
            <w:tcBorders/>
            <w:shd w:fill="FFFFFF" w:val="clear"/>
            <w:vAlign w:val="center"/>
          </w:tcPr>
          <w:p>
            <w:pPr>
              <w:pStyle w:val="TableContents"/>
              <w:bidi w:val="0"/>
              <w:spacing w:before="0" w:after="0"/>
              <w:ind w:left="0" w:right="0" w:hanging="0"/>
              <w:jc w:val="left"/>
              <w:rPr/>
            </w:pPr>
            <w:r>
              <w:rPr/>
              <w:t xml:space="preserve">  </w:t>
            </w:r>
          </w:p>
        </w:tc>
        <w:tc>
          <w:tcPr>
            <w:tcW w:w="1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960 </w:t>
            </w:r>
          </w:p>
        </w:tc>
        <w:tc>
          <w:tcPr>
            <w:tcW w:w="321" w:type="dxa"/>
            <w:tcBorders/>
            <w:shd w:fill="FFFFFF" w:val="clear"/>
            <w:vAlign w:val="center"/>
          </w:tcPr>
          <w:p>
            <w:pPr>
              <w:pStyle w:val="TableContents"/>
              <w:bidi w:val="0"/>
              <w:spacing w:before="0" w:after="0"/>
              <w:ind w:left="0" w:right="0" w:hanging="0"/>
              <w:jc w:val="left"/>
              <w:rPr/>
            </w:pPr>
            <w:r>
              <w:rPr/>
              <w:t xml:space="preserve">  </w:t>
            </w:r>
          </w:p>
        </w:tc>
      </w:tr>
      <w:tr>
        <w:trPr/>
        <w:tc>
          <w:tcPr>
            <w:tcW w:w="5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w:t>
            </w:r>
          </w:p>
        </w:tc>
        <w:tc>
          <w:tcPr>
            <w:tcW w:w="285" w:type="dxa"/>
            <w:tcBorders/>
            <w:shd w:fill="CCEEFF" w:val="clear"/>
            <w:vAlign w:val="center"/>
          </w:tcPr>
          <w:p>
            <w:pPr>
              <w:pStyle w:val="TableContents"/>
              <w:bidi w:val="0"/>
              <w:spacing w:before="0" w:after="0"/>
              <w:ind w:left="0" w:right="0" w:hanging="0"/>
              <w:jc w:val="left"/>
              <w:rPr/>
            </w:pPr>
            <w:r>
              <w:rPr/>
              <w:t xml:space="preserve">  </w:t>
            </w:r>
          </w:p>
        </w:tc>
        <w:tc>
          <w:tcPr>
            <w:tcW w:w="6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1,794 </w:t>
            </w:r>
          </w:p>
        </w:tc>
        <w:tc>
          <w:tcPr>
            <w:tcW w:w="321"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0"/>
        <w:ind w:left="144" w:right="144"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left"/>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w:t>
      </w:r>
      <w:r>
        <w:rPr>
          <w:rFonts w:ascii="Times New Roman" w:hAnsi="Times New Roman"/>
          <w:b/>
          <w:sz w:val="20"/>
        </w:rPr>
        <w:t>. Inventories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Inventories, net of reserves, as of September 30, 2023 and December 31, 2022 consisted of the following:  </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2584"/>
        <w:gridCol w:w="233"/>
        <w:gridCol w:w="689"/>
        <w:gridCol w:w="2683"/>
        <w:gridCol w:w="234"/>
        <w:gridCol w:w="234"/>
        <w:gridCol w:w="671"/>
        <w:gridCol w:w="2613"/>
        <w:gridCol w:w="264"/>
      </w:tblGrid>
      <w:tr>
        <w:trPr/>
        <w:tc>
          <w:tcPr>
            <w:tcW w:w="2584" w:type="dxa"/>
            <w:tcBorders/>
            <w:vAlign w:val="center"/>
          </w:tcPr>
          <w:p>
            <w:pPr>
              <w:pStyle w:val="TableContents"/>
              <w:bidi w:val="0"/>
              <w:spacing w:before="0" w:after="0"/>
              <w:ind w:left="0" w:right="0" w:hanging="0"/>
              <w:jc w:val="left"/>
              <w:rPr/>
            </w:pPr>
            <w:r>
              <w:rPr/>
              <w:t xml:space="preserve">  </w:t>
            </w:r>
          </w:p>
        </w:tc>
        <w:tc>
          <w:tcPr>
            <w:tcW w:w="233" w:type="dxa"/>
            <w:tcBorders/>
            <w:vAlign w:val="center"/>
          </w:tcPr>
          <w:p>
            <w:pPr>
              <w:pStyle w:val="TableContents"/>
              <w:bidi w:val="0"/>
              <w:spacing w:before="0" w:after="0"/>
              <w:ind w:left="0" w:right="0" w:hanging="0"/>
              <w:jc w:val="left"/>
              <w:rPr/>
            </w:pPr>
            <w:r>
              <w:rPr/>
              <w:t xml:space="preserve">  </w:t>
            </w:r>
          </w:p>
        </w:tc>
        <w:tc>
          <w:tcPr>
            <w:tcW w:w="337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September 30, 2023 </w:t>
            </w:r>
          </w:p>
        </w:tc>
        <w:tc>
          <w:tcPr>
            <w:tcW w:w="234" w:type="dxa"/>
            <w:tcBorders/>
            <w:vAlign w:val="center"/>
          </w:tcPr>
          <w:p>
            <w:pPr>
              <w:pStyle w:val="TableContents"/>
              <w:bidi w:val="0"/>
              <w:spacing w:before="0" w:after="0"/>
              <w:ind w:left="0" w:right="0" w:hanging="0"/>
              <w:jc w:val="left"/>
              <w:rPr/>
            </w:pPr>
            <w:r>
              <w:rPr/>
              <w:t xml:space="preserve">  </w:t>
            </w:r>
          </w:p>
        </w:tc>
        <w:tc>
          <w:tcPr>
            <w:tcW w:w="234" w:type="dxa"/>
            <w:tcBorders/>
            <w:vAlign w:val="center"/>
          </w:tcPr>
          <w:p>
            <w:pPr>
              <w:pStyle w:val="TableContents"/>
              <w:bidi w:val="0"/>
              <w:spacing w:before="0" w:after="0"/>
              <w:ind w:left="0" w:right="0" w:hanging="0"/>
              <w:jc w:val="left"/>
              <w:rPr/>
            </w:pPr>
            <w:r>
              <w:rPr/>
              <w:t xml:space="preserve">  </w:t>
            </w:r>
          </w:p>
        </w:tc>
        <w:tc>
          <w:tcPr>
            <w:tcW w:w="328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2022 </w:t>
            </w:r>
          </w:p>
        </w:tc>
        <w:tc>
          <w:tcPr>
            <w:tcW w:w="264" w:type="dxa"/>
            <w:tcBorders/>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689" w:type="dxa"/>
            <w:tcBorders/>
            <w:shd w:fill="CCEEFF" w:val="clear"/>
            <w:vAlign w:val="center"/>
          </w:tcPr>
          <w:p>
            <w:pPr>
              <w:pStyle w:val="TableContents"/>
              <w:bidi w:val="0"/>
              <w:spacing w:before="0" w:after="0"/>
              <w:ind w:left="0" w:right="0" w:hanging="0"/>
              <w:jc w:val="left"/>
              <w:rPr/>
            </w:pPr>
            <w:r>
              <w:rPr/>
              <w:t xml:space="preserve">  </w:t>
            </w:r>
          </w:p>
        </w:tc>
        <w:tc>
          <w:tcPr>
            <w:tcW w:w="2683" w:type="dxa"/>
            <w:tcBorders/>
            <w:shd w:fill="CCEEFF" w:val="clear"/>
            <w:vAlign w:val="center"/>
          </w:tcPr>
          <w:p>
            <w:pPr>
              <w:pStyle w:val="TableContents"/>
              <w:bidi w:val="0"/>
              <w:spacing w:before="0" w:after="0"/>
              <w:ind w:left="0" w:right="0" w:hanging="0"/>
              <w:jc w:val="left"/>
              <w:rPr/>
            </w:pPr>
            <w:r>
              <w:rPr/>
              <w:t xml:space="preserve">  </w:t>
            </w:r>
          </w:p>
        </w:tc>
        <w:tc>
          <w:tcPr>
            <w:tcW w:w="234" w:type="dxa"/>
            <w:tcBorders/>
            <w:shd w:fill="CCEEFF" w:val="clear"/>
            <w:vAlign w:val="center"/>
          </w:tcPr>
          <w:p>
            <w:pPr>
              <w:pStyle w:val="TableContents"/>
              <w:bidi w:val="0"/>
              <w:spacing w:before="0" w:after="0"/>
              <w:ind w:left="0" w:right="0" w:hanging="0"/>
              <w:jc w:val="left"/>
              <w:rPr/>
            </w:pPr>
            <w:r>
              <w:rPr/>
              <w:t xml:space="preserve">  </w:t>
            </w:r>
          </w:p>
        </w:tc>
        <w:tc>
          <w:tcPr>
            <w:tcW w:w="234" w:type="dxa"/>
            <w:tcBorders/>
            <w:shd w:fill="CCEEFF" w:val="clear"/>
            <w:vAlign w:val="center"/>
          </w:tcPr>
          <w:p>
            <w:pPr>
              <w:pStyle w:val="TableContents"/>
              <w:bidi w:val="0"/>
              <w:spacing w:before="0" w:after="0"/>
              <w:ind w:left="0" w:right="0" w:hanging="0"/>
              <w:jc w:val="left"/>
              <w:rPr/>
            </w:pPr>
            <w:r>
              <w:rPr/>
              <w:t xml:space="preserve">  </w:t>
            </w:r>
          </w:p>
        </w:tc>
        <w:tc>
          <w:tcPr>
            <w:tcW w:w="671" w:type="dxa"/>
            <w:tcBorders/>
            <w:shd w:fill="CCEEFF" w:val="clear"/>
            <w:vAlign w:val="center"/>
          </w:tcPr>
          <w:p>
            <w:pPr>
              <w:pStyle w:val="TableContents"/>
              <w:bidi w:val="0"/>
              <w:spacing w:before="0" w:after="0"/>
              <w:ind w:left="0" w:right="0" w:hanging="0"/>
              <w:jc w:val="left"/>
              <w:rPr/>
            </w:pPr>
            <w:r>
              <w:rPr/>
              <w:t xml:space="preserve">  </w:t>
            </w:r>
          </w:p>
        </w:tc>
        <w:tc>
          <w:tcPr>
            <w:tcW w:w="2613"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r>
      <w:tr>
        <w:trPr/>
        <w:tc>
          <w:tcPr>
            <w:tcW w:w="2584"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Raw materials </w:t>
            </w:r>
          </w:p>
        </w:tc>
        <w:tc>
          <w:tcPr>
            <w:tcW w:w="233" w:type="dxa"/>
            <w:tcBorders/>
            <w:shd w:fill="FFFFFF" w:val="clear"/>
            <w:vAlign w:val="center"/>
          </w:tcPr>
          <w:p>
            <w:pPr>
              <w:pStyle w:val="TableContents"/>
              <w:bidi w:val="0"/>
              <w:spacing w:before="0" w:after="0"/>
              <w:ind w:left="0" w:right="0" w:hanging="0"/>
              <w:jc w:val="left"/>
              <w:rPr/>
            </w:pPr>
            <w:r>
              <w:rPr/>
              <w:t xml:space="preserve">  </w:t>
            </w:r>
          </w:p>
        </w:tc>
        <w:tc>
          <w:tcPr>
            <w:tcW w:w="6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8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3,210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67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1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4,499 </w:t>
            </w:r>
          </w:p>
        </w:tc>
        <w:tc>
          <w:tcPr>
            <w:tcW w:w="264" w:type="dxa"/>
            <w:tcBorders/>
            <w:shd w:fill="FFFFFF" w:val="clear"/>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689" w:type="dxa"/>
            <w:tcBorders/>
            <w:shd w:fill="CCEEFF" w:val="clear"/>
            <w:vAlign w:val="center"/>
          </w:tcPr>
          <w:p>
            <w:pPr>
              <w:pStyle w:val="TableContents"/>
              <w:bidi w:val="0"/>
              <w:spacing w:before="0" w:after="0"/>
              <w:ind w:left="0" w:right="0" w:hanging="0"/>
              <w:jc w:val="left"/>
              <w:rPr/>
            </w:pPr>
            <w:r>
              <w:rPr/>
              <w:t xml:space="preserve">  </w:t>
            </w:r>
          </w:p>
        </w:tc>
        <w:tc>
          <w:tcPr>
            <w:tcW w:w="26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5,454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671" w:type="dxa"/>
            <w:tcBorders/>
            <w:shd w:fill="CCEEFF" w:val="clear"/>
            <w:vAlign w:val="center"/>
          </w:tcPr>
          <w:p>
            <w:pPr>
              <w:pStyle w:val="TableContents"/>
              <w:pBdr/>
              <w:bidi w:val="0"/>
              <w:spacing w:before="0" w:after="0"/>
              <w:ind w:left="0" w:right="0" w:hanging="0"/>
              <w:jc w:val="left"/>
              <w:rPr/>
            </w:pPr>
            <w:r>
              <w:rPr/>
              <w:t xml:space="preserve">  </w:t>
            </w:r>
          </w:p>
        </w:tc>
        <w:tc>
          <w:tcPr>
            <w:tcW w:w="261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4,462 </w:t>
            </w:r>
          </w:p>
        </w:tc>
        <w:tc>
          <w:tcPr>
            <w:tcW w:w="264" w:type="dxa"/>
            <w:tcBorders/>
            <w:shd w:fill="CCEEFF" w:val="clear"/>
            <w:vAlign w:val="center"/>
          </w:tcPr>
          <w:p>
            <w:pPr>
              <w:pStyle w:val="TableContents"/>
              <w:bidi w:val="0"/>
              <w:spacing w:before="0" w:after="0"/>
              <w:ind w:left="0" w:right="0" w:hanging="0"/>
              <w:jc w:val="left"/>
              <w:rPr/>
            </w:pPr>
            <w:r>
              <w:rPr/>
              <w:t xml:space="preserve">  </w:t>
            </w:r>
          </w:p>
        </w:tc>
      </w:tr>
      <w:tr>
        <w:trPr/>
        <w:tc>
          <w:tcPr>
            <w:tcW w:w="2584" w:type="dxa"/>
            <w:tcBorders/>
            <w:shd w:fill="FFFFFF" w:val="clear"/>
            <w:vAlign w:val="center"/>
          </w:tcPr>
          <w:p>
            <w:pPr>
              <w:pStyle w:val="TableContents"/>
              <w:bidi w:val="0"/>
              <w:spacing w:before="0" w:after="0"/>
              <w:ind w:left="0" w:right="0" w:hanging="0"/>
              <w:jc w:val="left"/>
              <w:rPr/>
            </w:pPr>
            <w:r>
              <w:rPr/>
              <w:t xml:space="preserve">  </w:t>
            </w:r>
          </w:p>
        </w:tc>
        <w:tc>
          <w:tcPr>
            <w:tcW w:w="233" w:type="dxa"/>
            <w:tcBorders/>
            <w:shd w:fill="FFFFFF" w:val="clear"/>
            <w:vAlign w:val="center"/>
          </w:tcPr>
          <w:p>
            <w:pPr>
              <w:pStyle w:val="TableContents"/>
              <w:bidi w:val="0"/>
              <w:spacing w:before="0" w:after="0"/>
              <w:ind w:left="0" w:right="0" w:hanging="0"/>
              <w:jc w:val="left"/>
              <w:rPr/>
            </w:pPr>
            <w:r>
              <w:rPr/>
              <w:t xml:space="preserve">  </w:t>
            </w:r>
          </w:p>
        </w:tc>
        <w:tc>
          <w:tcPr>
            <w:tcW w:w="6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8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8,664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67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1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8,961 </w:t>
            </w:r>
          </w:p>
        </w:tc>
        <w:tc>
          <w:tcPr>
            <w:tcW w:w="264" w:type="dxa"/>
            <w:tcBorders/>
            <w:shd w:fill="FFFFFF" w:val="clear"/>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0" w:right="0" w:hanging="0"/>
              <w:jc w:val="left"/>
              <w:rPr/>
            </w:pPr>
            <w:r>
              <w:rPr/>
              <w:t xml:space="preserve">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689" w:type="dxa"/>
            <w:tcBorders/>
            <w:shd w:fill="CCEEFF" w:val="clear"/>
            <w:vAlign w:val="center"/>
          </w:tcPr>
          <w:p>
            <w:pPr>
              <w:pStyle w:val="TableContents"/>
              <w:bidi w:val="0"/>
              <w:spacing w:before="0" w:after="0"/>
              <w:ind w:left="0" w:right="0" w:hanging="0"/>
              <w:jc w:val="left"/>
              <w:rPr/>
            </w:pPr>
            <w:r>
              <w:rPr/>
              <w:t xml:space="preserve">  </w:t>
            </w:r>
          </w:p>
        </w:tc>
        <w:tc>
          <w:tcPr>
            <w:tcW w:w="2683" w:type="dxa"/>
            <w:tcBorders/>
            <w:shd w:fill="CCEEFF" w:val="clear"/>
            <w:vAlign w:val="center"/>
          </w:tcPr>
          <w:p>
            <w:pPr>
              <w:pStyle w:val="TableContents"/>
              <w:pBdr/>
              <w:bidi w:val="0"/>
              <w:spacing w:before="0" w:after="0"/>
              <w:ind w:left="0" w:right="0" w:hanging="0"/>
              <w:jc w:val="left"/>
              <w:rPr/>
            </w:pPr>
            <w:r>
              <w:rPr/>
              <w:t xml:space="preserve">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671" w:type="dxa"/>
            <w:tcBorders/>
            <w:shd w:fill="CCEEFF" w:val="clear"/>
            <w:vAlign w:val="center"/>
          </w:tcPr>
          <w:p>
            <w:pPr>
              <w:pStyle w:val="TableContents"/>
              <w:pBdr/>
              <w:bidi w:val="0"/>
              <w:spacing w:before="0" w:after="0"/>
              <w:ind w:left="0" w:right="0" w:hanging="0"/>
              <w:jc w:val="left"/>
              <w:rPr/>
            </w:pPr>
            <w:r>
              <w:rPr/>
              <w:t xml:space="preserve">  </w:t>
            </w:r>
          </w:p>
        </w:tc>
        <w:tc>
          <w:tcPr>
            <w:tcW w:w="2613" w:type="dxa"/>
            <w:tcBorders/>
            <w:shd w:fill="CCEEFF" w:val="clear"/>
            <w:vAlign w:val="center"/>
          </w:tcPr>
          <w:p>
            <w:pPr>
              <w:pStyle w:val="TableContents"/>
              <w:pBdr/>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r>
      <w:tr>
        <w:trPr/>
        <w:tc>
          <w:tcPr>
            <w:tcW w:w="25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w:t>
            </w:r>
          </w:p>
        </w:tc>
        <w:tc>
          <w:tcPr>
            <w:tcW w:w="233" w:type="dxa"/>
            <w:tcBorders/>
            <w:shd w:fill="FFFFFF" w:val="clear"/>
            <w:vAlign w:val="center"/>
          </w:tcPr>
          <w:p>
            <w:pPr>
              <w:pStyle w:val="TableContents"/>
              <w:bidi w:val="0"/>
              <w:spacing w:before="0" w:after="0"/>
              <w:ind w:left="0" w:right="0" w:hanging="0"/>
              <w:jc w:val="left"/>
              <w:rPr/>
            </w:pPr>
            <w:r>
              <w:rPr/>
              <w:t xml:space="preserve">  </w:t>
            </w:r>
          </w:p>
        </w:tc>
        <w:tc>
          <w:tcPr>
            <w:tcW w:w="689" w:type="dxa"/>
            <w:tcBorders/>
            <w:shd w:fill="FFFFFF" w:val="clear"/>
            <w:vAlign w:val="center"/>
          </w:tcPr>
          <w:p>
            <w:pPr>
              <w:pStyle w:val="TableContents"/>
              <w:bidi w:val="0"/>
              <w:spacing w:before="0" w:after="0"/>
              <w:ind w:left="0" w:right="0" w:hanging="0"/>
              <w:jc w:val="left"/>
              <w:rPr/>
            </w:pPr>
            <w:r>
              <w:rPr/>
              <w:t xml:space="preserve">  </w:t>
            </w:r>
          </w:p>
        </w:tc>
        <w:tc>
          <w:tcPr>
            <w:tcW w:w="2683" w:type="dxa"/>
            <w:tcBorders/>
            <w:shd w:fill="FFFFFF" w:val="clear"/>
            <w:vAlign w:val="center"/>
          </w:tcPr>
          <w:p>
            <w:pPr>
              <w:pStyle w:val="TableContents"/>
              <w:pBdr/>
              <w:bidi w:val="0"/>
              <w:spacing w:before="0" w:after="0"/>
              <w:ind w:left="0" w:right="0" w:hanging="0"/>
              <w:jc w:val="left"/>
              <w:rPr/>
            </w:pPr>
            <w:r>
              <w:rPr/>
              <w:t xml:space="preserve">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671" w:type="dxa"/>
            <w:tcBorders/>
            <w:shd w:fill="FFFFFF" w:val="clear"/>
            <w:vAlign w:val="center"/>
          </w:tcPr>
          <w:p>
            <w:pPr>
              <w:pStyle w:val="TableContents"/>
              <w:pBdr/>
              <w:bidi w:val="0"/>
              <w:spacing w:before="0" w:after="0"/>
              <w:ind w:left="0" w:right="0" w:hanging="0"/>
              <w:jc w:val="left"/>
              <w:rPr/>
            </w:pPr>
            <w:r>
              <w:rPr/>
              <w:t xml:space="preserve">  </w:t>
            </w:r>
          </w:p>
        </w:tc>
        <w:tc>
          <w:tcPr>
            <w:tcW w:w="2613" w:type="dxa"/>
            <w:tcBorders/>
            <w:shd w:fill="FFFFFF" w:val="clear"/>
            <w:vAlign w:val="center"/>
          </w:tcPr>
          <w:p>
            <w:pPr>
              <w:pStyle w:val="TableContents"/>
              <w:pBdr/>
              <w:bidi w:val="0"/>
              <w:spacing w:before="0" w:after="0"/>
              <w:ind w:left="0" w:right="0" w:hanging="0"/>
              <w:jc w:val="left"/>
              <w:rPr/>
            </w:pPr>
            <w:r>
              <w:rPr/>
              <w:t xml:space="preserve">  </w:t>
            </w:r>
          </w:p>
        </w:tc>
        <w:tc>
          <w:tcPr>
            <w:tcW w:w="264" w:type="dxa"/>
            <w:tcBorders/>
            <w:shd w:fill="FFFFFF" w:val="clear"/>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Raw materials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6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1,302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67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1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1,068 </w:t>
            </w:r>
          </w:p>
        </w:tc>
        <w:tc>
          <w:tcPr>
            <w:tcW w:w="264" w:type="dxa"/>
            <w:tcBorders/>
            <w:shd w:fill="CCEEFF" w:val="clear"/>
            <w:vAlign w:val="center"/>
          </w:tcPr>
          <w:p>
            <w:pPr>
              <w:pStyle w:val="TableContents"/>
              <w:bidi w:val="0"/>
              <w:spacing w:before="0" w:after="0"/>
              <w:ind w:left="0" w:right="0" w:hanging="0"/>
              <w:jc w:val="left"/>
              <w:rPr/>
            </w:pPr>
            <w:r>
              <w:rPr/>
              <w:t xml:space="preserve">  </w:t>
            </w:r>
          </w:p>
        </w:tc>
      </w:tr>
      <w:tr>
        <w:trPr/>
        <w:tc>
          <w:tcPr>
            <w:tcW w:w="2584"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33" w:type="dxa"/>
            <w:tcBorders/>
            <w:shd w:fill="FFFFFF" w:val="clear"/>
            <w:vAlign w:val="center"/>
          </w:tcPr>
          <w:p>
            <w:pPr>
              <w:pStyle w:val="TableContents"/>
              <w:bidi w:val="0"/>
              <w:spacing w:before="0" w:after="0"/>
              <w:ind w:left="0" w:right="0" w:hanging="0"/>
              <w:jc w:val="left"/>
              <w:rPr/>
            </w:pPr>
            <w:r>
              <w:rPr/>
              <w:t xml:space="preserve">  </w:t>
            </w:r>
          </w:p>
        </w:tc>
        <w:tc>
          <w:tcPr>
            <w:tcW w:w="689" w:type="dxa"/>
            <w:tcBorders/>
            <w:shd w:fill="FFFFFF" w:val="clear"/>
            <w:vAlign w:val="center"/>
          </w:tcPr>
          <w:p>
            <w:pPr>
              <w:pStyle w:val="TableContents"/>
              <w:bidi w:val="0"/>
              <w:spacing w:before="0" w:after="0"/>
              <w:ind w:left="0" w:right="0" w:hanging="0"/>
              <w:jc w:val="left"/>
              <w:rPr/>
            </w:pPr>
            <w:r>
              <w:rPr/>
              <w:t xml:space="preserve">  </w:t>
            </w:r>
          </w:p>
        </w:tc>
        <w:tc>
          <w:tcPr>
            <w:tcW w:w="268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1,568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234" w:type="dxa"/>
            <w:tcBorders/>
            <w:shd w:fill="FFFFFF" w:val="clear"/>
            <w:vAlign w:val="center"/>
          </w:tcPr>
          <w:p>
            <w:pPr>
              <w:pStyle w:val="TableContents"/>
              <w:pBdr/>
              <w:bidi w:val="0"/>
              <w:spacing w:before="0" w:after="0"/>
              <w:ind w:left="0" w:right="0" w:hanging="0"/>
              <w:jc w:val="left"/>
              <w:rPr/>
            </w:pPr>
            <w:r>
              <w:rPr/>
              <w:t xml:space="preserve">  </w:t>
            </w:r>
          </w:p>
        </w:tc>
        <w:tc>
          <w:tcPr>
            <w:tcW w:w="671" w:type="dxa"/>
            <w:tcBorders/>
            <w:shd w:fill="FFFFFF" w:val="clear"/>
            <w:vAlign w:val="center"/>
          </w:tcPr>
          <w:p>
            <w:pPr>
              <w:pStyle w:val="TableContents"/>
              <w:pBdr/>
              <w:bidi w:val="0"/>
              <w:spacing w:before="0" w:after="0"/>
              <w:ind w:left="0" w:right="0" w:hanging="0"/>
              <w:jc w:val="left"/>
              <w:rPr/>
            </w:pPr>
            <w:r>
              <w:rPr/>
              <w:t xml:space="preserve">  </w:t>
            </w:r>
          </w:p>
        </w:tc>
        <w:tc>
          <w:tcPr>
            <w:tcW w:w="261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1,639 </w:t>
            </w:r>
          </w:p>
        </w:tc>
        <w:tc>
          <w:tcPr>
            <w:tcW w:w="264" w:type="dxa"/>
            <w:tcBorders/>
            <w:shd w:fill="FFFFFF" w:val="clear"/>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0" w:right="0" w:hanging="0"/>
              <w:jc w:val="left"/>
              <w:rPr/>
            </w:pPr>
            <w:r>
              <w:rPr/>
              <w:t xml:space="preserve">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6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2,870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c>
          <w:tcPr>
            <w:tcW w:w="67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1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2,707 </w:t>
            </w:r>
          </w:p>
        </w:tc>
        <w:tc>
          <w:tcPr>
            <w:tcW w:w="264"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Net loss incurred on valuation of inventory at lower of cost or market value and write-off of obsolete inventory for </w:t>
      </w:r>
      <w:r>
        <w:rPr>
          <w:rFonts w:ascii="times new roman;times" w:hAnsi="times new roman;times"/>
          <w:sz w:val="20"/>
        </w:rPr>
        <w:t>three and nine months ended September 30, 2023</w:t>
      </w:r>
      <w:r>
        <w:rPr>
          <w:rFonts w:ascii="times new roman;times" w:hAnsi="times new roman;times"/>
          <w:sz w:val="20"/>
        </w:rPr>
        <w:t> </w:t>
      </w:r>
      <w:r>
        <w:rPr>
          <w:rFonts w:ascii="Times New Roman" w:hAnsi="Times New Roman"/>
          <w:sz w:val="20"/>
        </w:rPr>
        <w:t>and 2022 was as follows:   </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5761"/>
        <w:gridCol w:w="23"/>
        <w:gridCol w:w="434"/>
        <w:gridCol w:w="356"/>
        <w:gridCol w:w="63"/>
        <w:gridCol w:w="63"/>
        <w:gridCol w:w="356"/>
        <w:gridCol w:w="961"/>
        <w:gridCol w:w="23"/>
        <w:gridCol w:w="23"/>
        <w:gridCol w:w="271"/>
        <w:gridCol w:w="729"/>
        <w:gridCol w:w="49"/>
        <w:gridCol w:w="48"/>
        <w:gridCol w:w="271"/>
        <w:gridCol w:w="729"/>
        <w:gridCol w:w="45"/>
      </w:tblGrid>
      <w:tr>
        <w:trPr/>
        <w:tc>
          <w:tcPr>
            <w:tcW w:w="5761"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233"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September 30,</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97"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45" w:type="dxa"/>
            <w:tcBorders/>
            <w:vAlign w:val="center"/>
          </w:tcPr>
          <w:p>
            <w:pPr>
              <w:pStyle w:val="TableContents"/>
              <w:bidi w:val="0"/>
              <w:spacing w:before="0" w:after="283"/>
              <w:jc w:val="left"/>
              <w:rPr/>
            </w:pPr>
            <w:r>
              <w:rPr/>
            </w:r>
          </w:p>
        </w:tc>
      </w:tr>
      <w:tr>
        <w:trPr/>
        <w:tc>
          <w:tcPr>
            <w:tcW w:w="5761"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790" w:type="dxa"/>
            <w:gridSpan w:val="2"/>
            <w:tcBorders/>
            <w:vAlign w:val="center"/>
          </w:tcPr>
          <w:p>
            <w:pPr>
              <w:pStyle w:val="TableContents"/>
              <w:bidi w:val="0"/>
              <w:spacing w:before="0" w:after="283"/>
              <w:jc w:val="center"/>
              <w:rPr>
                <w:b/>
              </w:rPr>
            </w:pPr>
            <w:r>
              <w:rPr>
                <w:b/>
              </w:rPr>
              <w:t>2023</w:t>
            </w:r>
          </w:p>
        </w:tc>
        <w:tc>
          <w:tcPr>
            <w:tcW w:w="63" w:type="dxa"/>
            <w:tcBorders/>
            <w:vAlign w:val="center"/>
          </w:tcPr>
          <w:p>
            <w:pPr>
              <w:pStyle w:val="TableContents"/>
              <w:bidi w:val="0"/>
              <w:spacing w:before="0" w:after="283"/>
              <w:jc w:val="left"/>
              <w:rPr/>
            </w:pPr>
            <w:r>
              <w:rPr/>
            </w:r>
          </w:p>
        </w:tc>
        <w:tc>
          <w:tcPr>
            <w:tcW w:w="63" w:type="dxa"/>
            <w:tcBorders/>
            <w:vAlign w:val="center"/>
          </w:tcPr>
          <w:p>
            <w:pPr>
              <w:pStyle w:val="TableContents"/>
              <w:bidi w:val="0"/>
              <w:spacing w:before="0" w:after="283"/>
              <w:jc w:val="left"/>
              <w:rPr/>
            </w:pPr>
            <w:r>
              <w:rPr/>
            </w:r>
          </w:p>
        </w:tc>
        <w:tc>
          <w:tcPr>
            <w:tcW w:w="1317" w:type="dxa"/>
            <w:gridSpan w:val="2"/>
            <w:tcBorders/>
            <w:vAlign w:val="center"/>
          </w:tcPr>
          <w:p>
            <w:pPr>
              <w:pStyle w:val="TableContents"/>
              <w:bidi w:val="0"/>
              <w:spacing w:before="0" w:after="283"/>
              <w:jc w:val="center"/>
              <w:rPr>
                <w:b/>
              </w:rPr>
            </w:pPr>
            <w:r>
              <w:rPr>
                <w:b/>
              </w:rPr>
              <w:t>2022</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000"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2023</w:t>
            </w:r>
          </w:p>
        </w:tc>
        <w:tc>
          <w:tcPr>
            <w:tcW w:w="49" w:type="dxa"/>
            <w:tcBorders/>
            <w:vAlign w:val="center"/>
          </w:tcPr>
          <w:p>
            <w:pPr>
              <w:pStyle w:val="TableContents"/>
              <w:bidi w:val="0"/>
              <w:spacing w:before="0" w:after="283"/>
              <w:jc w:val="left"/>
              <w:rPr/>
            </w:pPr>
            <w:r>
              <w:rPr/>
            </w:r>
          </w:p>
        </w:tc>
        <w:tc>
          <w:tcPr>
            <w:tcW w:w="48" w:type="dxa"/>
            <w:tcBorders/>
            <w:vAlign w:val="center"/>
          </w:tcPr>
          <w:p>
            <w:pPr>
              <w:pStyle w:val="TableContents"/>
              <w:bidi w:val="0"/>
              <w:spacing w:before="0" w:after="283"/>
              <w:jc w:val="left"/>
              <w:rPr/>
            </w:pPr>
            <w:r>
              <w:rPr/>
            </w:r>
          </w:p>
        </w:tc>
        <w:tc>
          <w:tcPr>
            <w:tcW w:w="1000" w:type="dxa"/>
            <w:gridSpan w:val="2"/>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2022</w:t>
            </w:r>
          </w:p>
        </w:tc>
        <w:tc>
          <w:tcPr>
            <w:tcW w:w="45" w:type="dxa"/>
            <w:tcBorders/>
            <w:vAlign w:val="center"/>
          </w:tcPr>
          <w:p>
            <w:pPr>
              <w:pStyle w:val="TableContents"/>
              <w:bidi w:val="0"/>
              <w:spacing w:before="0" w:after="283"/>
              <w:jc w:val="left"/>
              <w:rPr/>
            </w:pPr>
            <w:r>
              <w:rPr/>
            </w:r>
          </w:p>
        </w:tc>
      </w:tr>
      <w:tr>
        <w:trPr/>
        <w:tc>
          <w:tcPr>
            <w:tcW w:w="57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incurred on valuation of inventory at lower of cost or market value and write-off of obsolete inventory </w:t>
            </w:r>
          </w:p>
        </w:tc>
        <w:tc>
          <w:tcPr>
            <w:tcW w:w="23" w:type="dxa"/>
            <w:tcBorders/>
            <w:shd w:fill="CCEEFF" w:val="clear"/>
            <w:vAlign w:val="center"/>
          </w:tcPr>
          <w:p>
            <w:pPr>
              <w:pStyle w:val="TableContents"/>
              <w:bidi w:val="0"/>
              <w:spacing w:before="0" w:after="283"/>
              <w:jc w:val="left"/>
              <w:rPr/>
            </w:pPr>
            <w:r>
              <w:rPr/>
            </w:r>
          </w:p>
        </w:tc>
        <w:tc>
          <w:tcPr>
            <w:tcW w:w="43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356" w:type="dxa"/>
            <w:tcBorders/>
            <w:shd w:fill="CCEEFF" w:val="clear"/>
            <w:vAlign w:val="center"/>
          </w:tcPr>
          <w:p>
            <w:pPr>
              <w:pStyle w:val="TableContents"/>
              <w:bidi w:val="0"/>
              <w:spacing w:before="0" w:after="0"/>
              <w:ind w:left="0" w:right="0" w:hanging="0"/>
              <w:jc w:val="right"/>
              <w:rPr>
                <w:sz w:val="20"/>
              </w:rPr>
            </w:pPr>
            <w:r>
              <w:rPr>
                <w:sz w:val="20"/>
              </w:rPr>
              <w:t>3</w:t>
            </w:r>
          </w:p>
        </w:tc>
        <w:tc>
          <w:tcPr>
            <w:tcW w:w="63" w:type="dxa"/>
            <w:tcBorders/>
            <w:shd w:fill="CCEEFF" w:val="clear"/>
            <w:vAlign w:val="center"/>
          </w:tcPr>
          <w:p>
            <w:pPr>
              <w:pStyle w:val="TableContents"/>
              <w:bidi w:val="0"/>
              <w:spacing w:before="0" w:after="283"/>
              <w:ind w:left="0" w:right="0" w:hanging="0"/>
              <w:jc w:val="left"/>
              <w:rPr/>
            </w:pPr>
            <w:r>
              <w:rPr/>
            </w:r>
          </w:p>
        </w:tc>
        <w:tc>
          <w:tcPr>
            <w:tcW w:w="63" w:type="dxa"/>
            <w:tcBorders/>
            <w:shd w:fill="CCEEFF" w:val="clear"/>
            <w:vAlign w:val="center"/>
          </w:tcPr>
          <w:p>
            <w:pPr>
              <w:pStyle w:val="TableContents"/>
              <w:bidi w:val="0"/>
              <w:spacing w:before="0" w:after="283"/>
              <w:ind w:left="0" w:right="0" w:hanging="0"/>
              <w:jc w:val="left"/>
              <w:rPr/>
            </w:pPr>
            <w:r>
              <w:rPr/>
            </w:r>
          </w:p>
        </w:tc>
        <w:tc>
          <w:tcPr>
            <w:tcW w:w="356"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61" w:type="dxa"/>
            <w:tcBorders/>
            <w:shd w:fill="CCEEFF" w:val="clear"/>
            <w:vAlign w:val="center"/>
          </w:tcPr>
          <w:p>
            <w:pPr>
              <w:pStyle w:val="TableContents"/>
              <w:bidi w:val="0"/>
              <w:spacing w:before="0" w:after="0"/>
              <w:ind w:left="0" w:right="0" w:hanging="0"/>
              <w:jc w:val="right"/>
              <w:rPr>
                <w:sz w:val="20"/>
              </w:rPr>
            </w:pPr>
            <w:r>
              <w:rPr>
                <w:sz w:val="20"/>
              </w:rPr>
              <w:t>194</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71"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29" w:type="dxa"/>
            <w:tcBorders/>
            <w:shd w:fill="CCEEFF"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105</w:t>
            </w:r>
          </w:p>
        </w:tc>
        <w:tc>
          <w:tcPr>
            <w:tcW w:w="49" w:type="dxa"/>
            <w:tcBorders/>
            <w:shd w:fill="CCEEFF" w:val="clear"/>
            <w:vAlign w:val="center"/>
          </w:tcPr>
          <w:p>
            <w:pPr>
              <w:pStyle w:val="TableContents"/>
              <w:bidi w:val="0"/>
              <w:spacing w:before="0" w:after="283"/>
              <w:ind w:left="0" w:right="0" w:hanging="0"/>
              <w:jc w:val="left"/>
              <w:rPr/>
            </w:pPr>
            <w:r>
              <w:rPr/>
            </w:r>
          </w:p>
        </w:tc>
        <w:tc>
          <w:tcPr>
            <w:tcW w:w="48" w:type="dxa"/>
            <w:tcBorders/>
            <w:shd w:fill="CCEEFF" w:val="clear"/>
            <w:vAlign w:val="center"/>
          </w:tcPr>
          <w:p>
            <w:pPr>
              <w:pStyle w:val="TableContents"/>
              <w:bidi w:val="0"/>
              <w:spacing w:before="0" w:after="283"/>
              <w:ind w:left="0" w:right="0" w:hanging="0"/>
              <w:jc w:val="left"/>
              <w:rPr/>
            </w:pPr>
            <w:r>
              <w:rPr/>
            </w:r>
          </w:p>
        </w:tc>
        <w:tc>
          <w:tcPr>
            <w:tcW w:w="271"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29" w:type="dxa"/>
            <w:tcBorders/>
            <w:shd w:fill="CCEEFF"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221</w:t>
            </w:r>
          </w:p>
        </w:tc>
        <w:tc>
          <w:tcPr>
            <w:tcW w:w="45"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7</w:t>
      </w:r>
      <w:r>
        <w:rPr>
          <w:rFonts w:ascii="Times New Roman" w:hAnsi="Times New Roman"/>
          <w:b/>
          <w:sz w:val="20"/>
        </w:rPr>
        <w:t>. Leases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Rent expense for </w:t>
      </w:r>
      <w:r>
        <w:rPr>
          <w:rFonts w:ascii="Times New Roman" w:hAnsi="Times New Roman"/>
          <w:sz w:val="20"/>
        </w:rPr>
        <w:t>three and nine months ended September 30, 2023</w:t>
      </w:r>
      <w:r>
        <w:rPr>
          <w:rFonts w:ascii="times new roman;times" w:hAnsi="times new roman;times"/>
          <w:sz w:val="20"/>
        </w:rPr>
        <w:t> </w:t>
      </w:r>
      <w:r>
        <w:rPr>
          <w:rFonts w:ascii="Times New Roman" w:hAnsi="Times New Roman"/>
          <w:sz w:val="20"/>
        </w:rPr>
        <w:t>and 2022</w:t>
      </w:r>
      <w:r>
        <w:rPr>
          <w:rFonts w:ascii="times new roman;times" w:hAnsi="times new roman;times"/>
          <w:sz w:val="20"/>
        </w:rPr>
        <w:t> </w:t>
      </w:r>
      <w:r>
        <w:rPr>
          <w:rFonts w:ascii="Times New Roman" w:hAnsi="Times New Roman"/>
          <w:sz w:val="20"/>
        </w:rPr>
        <w:t>was as follows: </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1618"/>
        <w:gridCol w:w="167"/>
        <w:gridCol w:w="534"/>
        <w:gridCol w:w="1194"/>
        <w:gridCol w:w="377"/>
        <w:gridCol w:w="376"/>
        <w:gridCol w:w="535"/>
        <w:gridCol w:w="1194"/>
        <w:gridCol w:w="32"/>
        <w:gridCol w:w="167"/>
        <w:gridCol w:w="559"/>
        <w:gridCol w:w="1340"/>
        <w:gridCol w:w="90"/>
        <w:gridCol w:w="91"/>
        <w:gridCol w:w="559"/>
        <w:gridCol w:w="1339"/>
        <w:gridCol w:w="33"/>
      </w:tblGrid>
      <w:tr>
        <w:trPr/>
        <w:tc>
          <w:tcPr>
            <w:tcW w:w="1618" w:type="dxa"/>
            <w:tcBorders/>
            <w:vAlign w:val="bottom"/>
          </w:tcPr>
          <w:p>
            <w:pPr>
              <w:pStyle w:val="TableContents"/>
              <w:pBdr/>
              <w:bidi w:val="0"/>
              <w:spacing w:before="0" w:after="0"/>
              <w:ind w:left="0" w:right="0" w:hanging="0"/>
              <w:jc w:val="left"/>
              <w:rPr/>
            </w:pPr>
            <w:r>
              <w:rPr/>
              <w:t xml:space="preserve">  </w:t>
            </w:r>
          </w:p>
        </w:tc>
        <w:tc>
          <w:tcPr>
            <w:tcW w:w="167" w:type="dxa"/>
            <w:tcBorders/>
            <w:vAlign w:val="bottom"/>
          </w:tcPr>
          <w:p>
            <w:pPr>
              <w:pStyle w:val="TableContents"/>
              <w:pBdr/>
              <w:bidi w:val="0"/>
              <w:spacing w:before="0" w:after="0"/>
              <w:ind w:left="0" w:right="0" w:hanging="0"/>
              <w:jc w:val="left"/>
              <w:rPr/>
            </w:pPr>
            <w:r>
              <w:rPr/>
              <w:t xml:space="preserve">  </w:t>
            </w:r>
          </w:p>
        </w:tc>
        <w:tc>
          <w:tcPr>
            <w:tcW w:w="4210" w:type="dxa"/>
            <w:gridSpan w:val="6"/>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Three months ended September 30,</w:t>
            </w:r>
            <w:r>
              <w:rPr>
                <w:rFonts w:ascii="times new roman;times" w:hAnsi="times new roman;times"/>
                <w:b/>
                <w:sz w:val="20"/>
              </w:rPr>
              <w:t xml:space="preserve"> </w:t>
            </w:r>
          </w:p>
        </w:tc>
        <w:tc>
          <w:tcPr>
            <w:tcW w:w="32" w:type="dxa"/>
            <w:tcBorders/>
            <w:vAlign w:val="center"/>
          </w:tcPr>
          <w:p>
            <w:pPr>
              <w:pStyle w:val="TableContents"/>
              <w:bidi w:val="0"/>
              <w:spacing w:before="0" w:after="283"/>
              <w:ind w:left="0" w:right="0" w:hanging="0"/>
              <w:jc w:val="left"/>
              <w:rPr/>
            </w:pPr>
            <w:r>
              <w:rPr/>
            </w:r>
          </w:p>
        </w:tc>
        <w:tc>
          <w:tcPr>
            <w:tcW w:w="167" w:type="dxa"/>
            <w:tcBorders/>
            <w:vAlign w:val="bottom"/>
          </w:tcPr>
          <w:p>
            <w:pPr>
              <w:pStyle w:val="TableContents"/>
              <w:pBdr/>
              <w:bidi w:val="0"/>
              <w:spacing w:before="0" w:after="0"/>
              <w:ind w:left="0" w:right="0" w:hanging="0"/>
              <w:jc w:val="left"/>
              <w:rPr/>
            </w:pPr>
            <w:r>
              <w:rPr/>
              <w:t xml:space="preserve">  </w:t>
            </w:r>
          </w:p>
        </w:tc>
        <w:tc>
          <w:tcPr>
            <w:tcW w:w="3978" w:type="dxa"/>
            <w:gridSpan w:val="6"/>
            <w:tcBorders/>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Nine months ended September 30,</w:t>
            </w:r>
          </w:p>
        </w:tc>
        <w:tc>
          <w:tcPr>
            <w:tcW w:w="33" w:type="dxa"/>
            <w:tcBorders/>
            <w:vAlign w:val="center"/>
          </w:tcPr>
          <w:p>
            <w:pPr>
              <w:pStyle w:val="TableContents"/>
              <w:bidi w:val="0"/>
              <w:spacing w:before="0" w:after="283"/>
              <w:ind w:left="0" w:right="0" w:hanging="0"/>
              <w:jc w:val="left"/>
              <w:rPr/>
            </w:pPr>
            <w:r>
              <w:rPr/>
            </w:r>
          </w:p>
        </w:tc>
      </w:tr>
      <w:tr>
        <w:trPr/>
        <w:tc>
          <w:tcPr>
            <w:tcW w:w="1618" w:type="dxa"/>
            <w:tcBorders/>
            <w:vAlign w:val="bottom"/>
          </w:tcPr>
          <w:p>
            <w:pPr>
              <w:pStyle w:val="TableContents"/>
              <w:pBdr/>
              <w:bidi w:val="0"/>
              <w:spacing w:before="0" w:after="0"/>
              <w:ind w:left="0" w:right="0" w:hanging="0"/>
              <w:jc w:val="left"/>
              <w:rPr/>
            </w:pPr>
            <w:r>
              <w:rPr/>
              <w:t xml:space="preserve">  </w:t>
            </w:r>
          </w:p>
        </w:tc>
        <w:tc>
          <w:tcPr>
            <w:tcW w:w="167" w:type="dxa"/>
            <w:tcBorders/>
            <w:vAlign w:val="bottom"/>
          </w:tcPr>
          <w:p>
            <w:pPr>
              <w:pStyle w:val="TableContents"/>
              <w:pBdr/>
              <w:bidi w:val="0"/>
              <w:spacing w:before="0" w:after="0"/>
              <w:ind w:left="0" w:right="0" w:hanging="0"/>
              <w:jc w:val="left"/>
              <w:rPr/>
            </w:pPr>
            <w:r>
              <w:rPr/>
              <w:t xml:space="preserve">  </w:t>
            </w:r>
          </w:p>
        </w:tc>
        <w:tc>
          <w:tcPr>
            <w:tcW w:w="1728"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377" w:type="dxa"/>
            <w:tcBorders/>
            <w:vAlign w:val="bottom"/>
          </w:tcPr>
          <w:p>
            <w:pPr>
              <w:pStyle w:val="TableContents"/>
              <w:pBdr/>
              <w:bidi w:val="0"/>
              <w:spacing w:before="0" w:after="0"/>
              <w:ind w:left="0" w:right="0" w:hanging="0"/>
              <w:jc w:val="left"/>
              <w:rPr/>
            </w:pPr>
            <w:r>
              <w:rPr/>
              <w:t xml:space="preserve">  </w:t>
            </w:r>
          </w:p>
        </w:tc>
        <w:tc>
          <w:tcPr>
            <w:tcW w:w="376" w:type="dxa"/>
            <w:tcBorders/>
            <w:vAlign w:val="bottom"/>
          </w:tcPr>
          <w:p>
            <w:pPr>
              <w:pStyle w:val="TableContents"/>
              <w:pBdr/>
              <w:bidi w:val="0"/>
              <w:spacing w:before="0" w:after="0"/>
              <w:ind w:left="0" w:right="0" w:hanging="0"/>
              <w:jc w:val="left"/>
              <w:rPr/>
            </w:pPr>
            <w:r>
              <w:rPr/>
              <w:t xml:space="preserve">  </w:t>
            </w:r>
          </w:p>
        </w:tc>
        <w:tc>
          <w:tcPr>
            <w:tcW w:w="1729"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32" w:type="dxa"/>
            <w:tcBorders/>
            <w:vAlign w:val="center"/>
          </w:tcPr>
          <w:p>
            <w:pPr>
              <w:pStyle w:val="TableContents"/>
              <w:bidi w:val="0"/>
              <w:spacing w:before="0" w:after="283"/>
              <w:ind w:left="0" w:right="0" w:hanging="0"/>
              <w:jc w:val="left"/>
              <w:rPr/>
            </w:pPr>
            <w:r>
              <w:rPr/>
            </w:r>
          </w:p>
        </w:tc>
        <w:tc>
          <w:tcPr>
            <w:tcW w:w="167" w:type="dxa"/>
            <w:tcBorders/>
            <w:vAlign w:val="bottom"/>
          </w:tcPr>
          <w:p>
            <w:pPr>
              <w:pStyle w:val="TableContents"/>
              <w:pBdr/>
              <w:bidi w:val="0"/>
              <w:spacing w:before="0" w:after="0"/>
              <w:ind w:left="0" w:right="0" w:hanging="0"/>
              <w:jc w:val="left"/>
              <w:rPr/>
            </w:pPr>
            <w:r>
              <w:rPr/>
              <w:t xml:space="preserve">  </w:t>
            </w:r>
          </w:p>
        </w:tc>
        <w:tc>
          <w:tcPr>
            <w:tcW w:w="1899" w:type="dxa"/>
            <w:gridSpan w:val="2"/>
            <w:tcBorders/>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2023</w:t>
            </w:r>
          </w:p>
        </w:tc>
        <w:tc>
          <w:tcPr>
            <w:tcW w:w="90" w:type="dxa"/>
            <w:tcBorders/>
            <w:vAlign w:val="center"/>
          </w:tcPr>
          <w:p>
            <w:pPr>
              <w:pStyle w:val="TableContents"/>
              <w:bidi w:val="0"/>
              <w:spacing w:before="0" w:after="283"/>
              <w:ind w:left="0" w:right="0" w:hanging="0"/>
              <w:jc w:val="left"/>
              <w:rPr/>
            </w:pPr>
            <w:r>
              <w:rPr/>
            </w:r>
          </w:p>
        </w:tc>
        <w:tc>
          <w:tcPr>
            <w:tcW w:w="91" w:type="dxa"/>
            <w:tcBorders/>
            <w:vAlign w:val="center"/>
          </w:tcPr>
          <w:p>
            <w:pPr>
              <w:pStyle w:val="TableContents"/>
              <w:bidi w:val="0"/>
              <w:spacing w:before="0" w:after="283"/>
              <w:ind w:left="0" w:right="0" w:hanging="0"/>
              <w:jc w:val="left"/>
              <w:rPr/>
            </w:pPr>
            <w:r>
              <w:rPr/>
            </w:r>
          </w:p>
        </w:tc>
        <w:tc>
          <w:tcPr>
            <w:tcW w:w="1898" w:type="dxa"/>
            <w:gridSpan w:val="2"/>
            <w:tcBorders/>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2022</w:t>
            </w:r>
          </w:p>
        </w:tc>
        <w:tc>
          <w:tcPr>
            <w:tcW w:w="33" w:type="dxa"/>
            <w:tcBorders/>
            <w:vAlign w:val="center"/>
          </w:tcPr>
          <w:p>
            <w:pPr>
              <w:pStyle w:val="TableContents"/>
              <w:bidi w:val="0"/>
              <w:spacing w:before="0" w:after="283"/>
              <w:ind w:left="0" w:right="0" w:hanging="0"/>
              <w:jc w:val="left"/>
              <w:rPr/>
            </w:pPr>
            <w:r>
              <w:rPr/>
            </w:r>
          </w:p>
        </w:tc>
      </w:tr>
      <w:tr>
        <w:trPr/>
        <w:tc>
          <w:tcPr>
            <w:tcW w:w="161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Rent expense </w:t>
            </w:r>
          </w:p>
        </w:tc>
        <w:tc>
          <w:tcPr>
            <w:tcW w:w="167" w:type="dxa"/>
            <w:tcBorders/>
            <w:shd w:fill="CCEEFF" w:val="clear"/>
            <w:vAlign w:val="bottom"/>
          </w:tcPr>
          <w:p>
            <w:pPr>
              <w:pStyle w:val="TableContents"/>
              <w:pBdr/>
              <w:bidi w:val="0"/>
              <w:spacing w:before="0" w:after="0"/>
              <w:ind w:left="0" w:right="0" w:hanging="0"/>
              <w:jc w:val="left"/>
              <w:rPr/>
            </w:pPr>
            <w:r>
              <w:rPr/>
              <w:t xml:space="preserve">  </w:t>
            </w:r>
          </w:p>
        </w:tc>
        <w:tc>
          <w:tcPr>
            <w:tcW w:w="534"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110 </w:t>
            </w:r>
          </w:p>
        </w:tc>
        <w:tc>
          <w:tcPr>
            <w:tcW w:w="377" w:type="dxa"/>
            <w:tcBorders/>
            <w:shd w:fill="CCEEFF" w:val="clear"/>
            <w:vAlign w:val="bottom"/>
          </w:tcPr>
          <w:p>
            <w:pPr>
              <w:pStyle w:val="TableContents"/>
              <w:pBdr/>
              <w:bidi w:val="0"/>
              <w:spacing w:before="0" w:after="0"/>
              <w:ind w:left="0" w:right="0" w:hanging="0"/>
              <w:jc w:val="left"/>
              <w:rPr/>
            </w:pPr>
            <w:r>
              <w:rPr/>
              <w:t xml:space="preserve">  </w:t>
            </w:r>
          </w:p>
        </w:tc>
        <w:tc>
          <w:tcPr>
            <w:tcW w:w="376" w:type="dxa"/>
            <w:tcBorders/>
            <w:shd w:fill="CCEEFF" w:val="clear"/>
            <w:vAlign w:val="bottom"/>
          </w:tcPr>
          <w:p>
            <w:pPr>
              <w:pStyle w:val="TableContents"/>
              <w:pBdr/>
              <w:bidi w:val="0"/>
              <w:spacing w:before="0" w:after="0"/>
              <w:ind w:left="0" w:right="0" w:hanging="0"/>
              <w:jc w:val="left"/>
              <w:rPr/>
            </w:pPr>
            <w:r>
              <w:rPr/>
              <w:t xml:space="preserve">  </w:t>
            </w:r>
          </w:p>
        </w:tc>
        <w:tc>
          <w:tcPr>
            <w:tcW w:w="53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169 </w:t>
            </w:r>
          </w:p>
        </w:tc>
        <w:tc>
          <w:tcPr>
            <w:tcW w:w="32" w:type="dxa"/>
            <w:tcBorders/>
            <w:shd w:fill="CCEEFF" w:val="clear"/>
            <w:vAlign w:val="center"/>
          </w:tcPr>
          <w:p>
            <w:pPr>
              <w:pStyle w:val="TableContents"/>
              <w:bidi w:val="0"/>
              <w:spacing w:before="0" w:after="283"/>
              <w:ind w:left="0" w:right="0" w:hanging="0"/>
              <w:jc w:val="left"/>
              <w:rPr/>
            </w:pPr>
            <w:r>
              <w:rPr/>
            </w:r>
          </w:p>
        </w:tc>
        <w:tc>
          <w:tcPr>
            <w:tcW w:w="167" w:type="dxa"/>
            <w:tcBorders/>
            <w:shd w:fill="CCEEFF" w:val="clear"/>
            <w:vAlign w:val="bottom"/>
          </w:tcPr>
          <w:p>
            <w:pPr>
              <w:pStyle w:val="TableContents"/>
              <w:pBdr/>
              <w:bidi w:val="0"/>
              <w:spacing w:before="0" w:after="0"/>
              <w:ind w:left="0" w:right="0" w:hanging="0"/>
              <w:jc w:val="left"/>
              <w:rPr/>
            </w:pPr>
            <w:r>
              <w:rPr/>
              <w:t xml:space="preserve">  </w:t>
            </w:r>
          </w:p>
        </w:tc>
        <w:tc>
          <w:tcPr>
            <w:tcW w:w="55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369</w:t>
            </w:r>
          </w:p>
        </w:tc>
        <w:tc>
          <w:tcPr>
            <w:tcW w:w="90" w:type="dxa"/>
            <w:tcBorders/>
            <w:shd w:fill="CCEEFF" w:val="clear"/>
            <w:vAlign w:val="center"/>
          </w:tcPr>
          <w:p>
            <w:pPr>
              <w:pStyle w:val="TableContents"/>
              <w:bidi w:val="0"/>
              <w:spacing w:before="0" w:after="283"/>
              <w:ind w:left="0" w:right="0" w:hanging="0"/>
              <w:jc w:val="left"/>
              <w:rPr/>
            </w:pPr>
            <w:r>
              <w:rPr/>
            </w:r>
          </w:p>
        </w:tc>
        <w:tc>
          <w:tcPr>
            <w:tcW w:w="91" w:type="dxa"/>
            <w:tcBorders/>
            <w:shd w:fill="CCEEFF" w:val="clear"/>
            <w:vAlign w:val="center"/>
          </w:tcPr>
          <w:p>
            <w:pPr>
              <w:pStyle w:val="TableContents"/>
              <w:bidi w:val="0"/>
              <w:spacing w:before="0" w:after="283"/>
              <w:ind w:left="0" w:right="0" w:hanging="0"/>
              <w:jc w:val="left"/>
              <w:rPr/>
            </w:pPr>
            <w:r>
              <w:rPr/>
            </w:r>
          </w:p>
        </w:tc>
        <w:tc>
          <w:tcPr>
            <w:tcW w:w="55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518</w:t>
            </w:r>
          </w:p>
        </w:tc>
        <w:tc>
          <w:tcPr>
            <w:tcW w:w="33" w:type="dxa"/>
            <w:tcBorders/>
            <w:shd w:fill="CCEEFF" w:val="clear"/>
            <w:vAlign w:val="center"/>
          </w:tcPr>
          <w:p>
            <w:pPr>
              <w:pStyle w:val="TableContents"/>
              <w:bidi w:val="0"/>
              <w:spacing w:before="0" w:after="283"/>
              <w:jc w:val="left"/>
              <w:rPr/>
            </w:pPr>
            <w:r>
              <w:rPr/>
            </w:r>
          </w:p>
        </w:tc>
      </w:tr>
    </w:tbl>
    <w:p>
      <w:pPr>
        <w:pStyle w:val="TextBody"/>
        <w:bidi w:val="0"/>
        <w:spacing w:lineRule="auto" w:line="288" w:before="200" w:after="0"/>
        <w:ind w:left="0" w:right="0" w:hanging="0"/>
        <w:jc w:val="left"/>
        <w:rPr>
          <w:rFonts w:ascii="times new roman;times" w:hAnsi="times new roman;times"/>
          <w:sz w:val="20"/>
        </w:rPr>
      </w:pPr>
      <w:r>
        <w:rPr>
          <w:rFonts w:ascii="Times New Roman" w:hAnsi="Times New Roman"/>
          <w:sz w:val="20"/>
          <w:shd w:fill="FFFFFF" w:val="clear"/>
        </w:rPr>
        <w:t xml:space="preserve">The Company </w:t>
      </w:r>
      <w:r>
        <w:rPr>
          <w:rFonts w:ascii="Times New Roman" w:hAnsi="Times New Roman"/>
          <w:sz w:val="20"/>
        </w:rPr>
        <w:t>occupies</w:t>
      </w:r>
      <w:r>
        <w:rPr>
          <w:rFonts w:ascii="times new roman;times" w:hAnsi="times new roman;times"/>
          <w:sz w:val="20"/>
        </w:rPr>
        <w:t> </w:t>
      </w:r>
      <w:r>
        <w:rPr>
          <w:rFonts w:ascii="Times New Roman" w:hAnsi="Times New Roman"/>
          <w:sz w:val="20"/>
        </w:rPr>
        <w:t>a 1,350 square-foot facility in Gainesville, Florida under the terms of an operating lease expiring in February 2028. The Gainesville facility is used primarily to support the Company's research and development activities.</w:t>
      </w:r>
      <w:r>
        <w:rPr>
          <w:rFonts w:ascii="times new roman;times" w:hAnsi="times new roman;times"/>
          <w:sz w:val="20"/>
        </w:rPr>
        <w:t> </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Company occupies a 9,402 square-foot facility in Salt Lake City, Utah under the terms of an operating lease expiring in February 2028. The facility supports </w:t>
      </w:r>
      <w:r>
        <w:rPr>
          <w:rFonts w:ascii="Times New Roman" w:hAnsi="Times New Roman"/>
          <w:b w:val="false"/>
          <w:i w:val="false"/>
          <w:caps w:val="false"/>
          <w:smallCaps w:val="false"/>
          <w:color w:val="000000"/>
          <w:spacing w:val="0"/>
          <w:sz w:val="20"/>
        </w:rPr>
        <w:t>the Company's </w:t>
      </w:r>
      <w:r>
        <w:rPr>
          <w:rFonts w:ascii="Times New Roman" w:hAnsi="Times New Roman"/>
          <w:b w:val="false"/>
          <w:i w:val="false"/>
          <w:caps w:val="false"/>
          <w:smallCaps w:val="false"/>
          <w:color w:val="000000"/>
          <w:spacing w:val="0"/>
          <w:sz w:val="20"/>
        </w:rPr>
        <w:t>principal administrative, sales, marketing, customer support, and research and product development activities. </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left"/>
        <w:rPr/>
      </w:pPr>
      <w:r>
        <w:rPr/>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occupies a 6,175 square-foot facility in Chennai, India under the terms of an operating lease expiring in August 2024. This facility supports</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the Company's </w:t>
      </w:r>
      <w:r>
        <w:rPr>
          <w:rFonts w:ascii="Times New Roman" w:hAnsi="Times New Roman"/>
          <w:b w:val="false"/>
          <w:i w:val="false"/>
          <w:caps w:val="false"/>
          <w:smallCaps w:val="false"/>
          <w:color w:val="000000"/>
          <w:spacing w:val="0"/>
          <w:sz w:val="20"/>
        </w:rPr>
        <w:t>administrative, marketing, customer support, and research and product development activities. The Company is planning to renew the lease.</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occupies a 40,000 square-foot warehouse in Salt Lake City, Utah under the terms of an operating lease expiring in April 2025, which serves as the Company's primary inventory fulfillment center. </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cash flow information related to leases was as follows: </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598"/>
        <w:gridCol w:w="138"/>
        <w:gridCol w:w="362"/>
        <w:gridCol w:w="985"/>
        <w:gridCol w:w="310"/>
        <w:gridCol w:w="310"/>
        <w:gridCol w:w="363"/>
        <w:gridCol w:w="984"/>
        <w:gridCol w:w="155"/>
      </w:tblGrid>
      <w:tr>
        <w:trPr/>
        <w:tc>
          <w:tcPr>
            <w:tcW w:w="6598" w:type="dxa"/>
            <w:tcBorders/>
            <w:vAlign w:val="center"/>
          </w:tcPr>
          <w:p>
            <w:pPr>
              <w:pStyle w:val="TableContents"/>
              <w:bidi w:val="0"/>
              <w:spacing w:before="0" w:after="0"/>
              <w:ind w:left="0" w:right="0" w:hanging="0"/>
              <w:jc w:val="left"/>
              <w:rPr/>
            </w:pPr>
            <w:r>
              <w:rPr/>
              <w:t xml:space="preserve">  </w:t>
            </w:r>
          </w:p>
        </w:tc>
        <w:tc>
          <w:tcPr>
            <w:tcW w:w="138" w:type="dxa"/>
            <w:tcBorders/>
            <w:vAlign w:val="center"/>
          </w:tcPr>
          <w:p>
            <w:pPr>
              <w:pStyle w:val="TableContents"/>
              <w:bidi w:val="0"/>
              <w:spacing w:before="0" w:after="0"/>
              <w:ind w:left="0" w:right="0" w:hanging="0"/>
              <w:jc w:val="left"/>
              <w:rPr/>
            </w:pPr>
            <w:r>
              <w:rPr/>
              <w:t xml:space="preserve">  </w:t>
            </w:r>
          </w:p>
        </w:tc>
        <w:tc>
          <w:tcPr>
            <w:tcW w:w="3314"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Nine months ended September 30, </w:t>
            </w:r>
          </w:p>
        </w:tc>
        <w:tc>
          <w:tcPr>
            <w:tcW w:w="155" w:type="dxa"/>
            <w:tcBorders/>
            <w:vAlign w:val="center"/>
          </w:tcPr>
          <w:p>
            <w:pPr>
              <w:pStyle w:val="TableContents"/>
              <w:bidi w:val="0"/>
              <w:spacing w:before="0" w:after="0"/>
              <w:ind w:left="0" w:right="0" w:hanging="0"/>
              <w:jc w:val="left"/>
              <w:rPr/>
            </w:pPr>
            <w:r>
              <w:rPr/>
              <w:t xml:space="preserve">  </w:t>
            </w:r>
          </w:p>
        </w:tc>
      </w:tr>
      <w:tr>
        <w:trPr/>
        <w:tc>
          <w:tcPr>
            <w:tcW w:w="6598" w:type="dxa"/>
            <w:tcBorders/>
            <w:vAlign w:val="center"/>
          </w:tcPr>
          <w:p>
            <w:pPr>
              <w:pStyle w:val="TableContents"/>
              <w:bidi w:val="0"/>
              <w:spacing w:before="0" w:after="0"/>
              <w:ind w:left="0" w:right="0" w:hanging="0"/>
              <w:jc w:val="left"/>
              <w:rPr/>
            </w:pPr>
            <w:r>
              <w:rPr/>
              <w:t xml:space="preserve">  </w:t>
            </w:r>
          </w:p>
        </w:tc>
        <w:tc>
          <w:tcPr>
            <w:tcW w:w="138" w:type="dxa"/>
            <w:tcBorders/>
            <w:vAlign w:val="center"/>
          </w:tcPr>
          <w:p>
            <w:pPr>
              <w:pStyle w:val="TableContents"/>
              <w:bidi w:val="0"/>
              <w:spacing w:before="0" w:after="0"/>
              <w:ind w:left="0" w:right="0" w:hanging="0"/>
              <w:jc w:val="left"/>
              <w:rPr/>
            </w:pPr>
            <w:r>
              <w:rPr/>
              <w:t xml:space="preserve">  </w:t>
            </w:r>
          </w:p>
        </w:tc>
        <w:tc>
          <w:tcPr>
            <w:tcW w:w="134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310" w:type="dxa"/>
            <w:tcBorders/>
            <w:vAlign w:val="center"/>
          </w:tcPr>
          <w:p>
            <w:pPr>
              <w:pStyle w:val="TableContents"/>
              <w:bidi w:val="0"/>
              <w:spacing w:before="0" w:after="0"/>
              <w:ind w:left="0" w:right="0" w:hanging="0"/>
              <w:jc w:val="left"/>
              <w:rPr/>
            </w:pPr>
            <w:r>
              <w:rPr/>
              <w:t xml:space="preserve">  </w:t>
            </w:r>
          </w:p>
        </w:tc>
        <w:tc>
          <w:tcPr>
            <w:tcW w:w="310" w:type="dxa"/>
            <w:tcBorders/>
            <w:vAlign w:val="center"/>
          </w:tcPr>
          <w:p>
            <w:pPr>
              <w:pStyle w:val="TableContents"/>
              <w:bidi w:val="0"/>
              <w:spacing w:before="0" w:after="0"/>
              <w:ind w:left="0" w:right="0" w:hanging="0"/>
              <w:jc w:val="left"/>
              <w:rPr/>
            </w:pPr>
            <w:r>
              <w:rPr/>
              <w:t xml:space="preserve">  </w:t>
            </w:r>
          </w:p>
        </w:tc>
        <w:tc>
          <w:tcPr>
            <w:tcW w:w="134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55" w:type="dxa"/>
            <w:tcBorders/>
            <w:vAlign w:val="center"/>
          </w:tcPr>
          <w:p>
            <w:pPr>
              <w:pStyle w:val="TableContents"/>
              <w:bidi w:val="0"/>
              <w:spacing w:before="0" w:after="0"/>
              <w:ind w:left="0" w:right="0" w:hanging="0"/>
              <w:jc w:val="left"/>
              <w:rPr/>
            </w:pPr>
            <w:r>
              <w:rPr/>
              <w:t xml:space="preserve">  </w:t>
            </w:r>
          </w:p>
        </w:tc>
      </w:tr>
      <w:tr>
        <w:trPr/>
        <w:tc>
          <w:tcPr>
            <w:tcW w:w="65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amounts included in the measurement of lease liabilities </w:t>
            </w:r>
          </w:p>
        </w:tc>
        <w:tc>
          <w:tcPr>
            <w:tcW w:w="138" w:type="dxa"/>
            <w:tcBorders/>
            <w:shd w:fill="CCEEFF" w:val="clear"/>
            <w:vAlign w:val="center"/>
          </w:tcPr>
          <w:p>
            <w:pPr>
              <w:pStyle w:val="TableContents"/>
              <w:bidi w:val="0"/>
              <w:spacing w:before="0" w:after="0"/>
              <w:ind w:left="0" w:right="0" w:hanging="0"/>
              <w:jc w:val="left"/>
              <w:rPr/>
            </w:pPr>
            <w:r>
              <w:rPr/>
              <w:t xml:space="preserve">  </w:t>
            </w:r>
          </w:p>
        </w:tc>
        <w:tc>
          <w:tcPr>
            <w:tcW w:w="362" w:type="dxa"/>
            <w:tcBorders/>
            <w:shd w:fill="CCEEFF" w:val="clear"/>
            <w:vAlign w:val="center"/>
          </w:tcPr>
          <w:p>
            <w:pPr>
              <w:pStyle w:val="TableContents"/>
              <w:bidi w:val="0"/>
              <w:spacing w:before="0" w:after="283"/>
              <w:jc w:val="left"/>
              <w:rPr/>
            </w:pPr>
            <w:r>
              <w:rPr/>
            </w:r>
          </w:p>
        </w:tc>
        <w:tc>
          <w:tcPr>
            <w:tcW w:w="985"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0"/>
              <w:ind w:left="0" w:right="0" w:hanging="0"/>
              <w:jc w:val="left"/>
              <w:rPr/>
            </w:pPr>
            <w:r>
              <w:rPr/>
              <w:t xml:space="preserve">  </w:t>
            </w:r>
          </w:p>
        </w:tc>
        <w:tc>
          <w:tcPr>
            <w:tcW w:w="310" w:type="dxa"/>
            <w:tcBorders/>
            <w:shd w:fill="CCEEFF" w:val="clear"/>
            <w:vAlign w:val="center"/>
          </w:tcPr>
          <w:p>
            <w:pPr>
              <w:pStyle w:val="TableContents"/>
              <w:bidi w:val="0"/>
              <w:spacing w:before="0" w:after="0"/>
              <w:ind w:left="0" w:right="0" w:hanging="0"/>
              <w:jc w:val="left"/>
              <w:rPr/>
            </w:pPr>
            <w:r>
              <w:rPr/>
              <w:t xml:space="preserve">  </w:t>
            </w:r>
          </w:p>
        </w:tc>
        <w:tc>
          <w:tcPr>
            <w:tcW w:w="363" w:type="dxa"/>
            <w:tcBorders/>
            <w:shd w:fill="CCEEFF" w:val="clear"/>
            <w:vAlign w:val="center"/>
          </w:tcPr>
          <w:p>
            <w:pPr>
              <w:pStyle w:val="TableContents"/>
              <w:bidi w:val="0"/>
              <w:spacing w:before="0" w:after="0"/>
              <w:ind w:left="0" w:right="0" w:hanging="0"/>
              <w:jc w:val="left"/>
              <w:rPr/>
            </w:pPr>
            <w:r>
              <w:rPr/>
            </w:r>
          </w:p>
        </w:tc>
        <w:tc>
          <w:tcPr>
            <w:tcW w:w="984" w:type="dxa"/>
            <w:tcBorders/>
            <w:shd w:fill="CCEEFF" w:val="clear"/>
            <w:vAlign w:val="center"/>
          </w:tcPr>
          <w:p>
            <w:pPr>
              <w:pStyle w:val="TableContents"/>
              <w:bidi w:val="0"/>
              <w:spacing w:before="0" w:after="0"/>
              <w:ind w:left="0" w:right="0" w:hanging="0"/>
              <w:jc w:val="right"/>
              <w:rPr/>
            </w:pPr>
            <w:r>
              <w:rPr/>
            </w:r>
          </w:p>
        </w:tc>
        <w:tc>
          <w:tcPr>
            <w:tcW w:w="155" w:type="dxa"/>
            <w:tcBorders/>
            <w:shd w:fill="CCEEFF" w:val="clear"/>
            <w:vAlign w:val="center"/>
          </w:tcPr>
          <w:p>
            <w:pPr>
              <w:pStyle w:val="TableContents"/>
              <w:bidi w:val="0"/>
              <w:spacing w:before="0" w:after="0"/>
              <w:ind w:left="0" w:right="0" w:hanging="0"/>
              <w:jc w:val="left"/>
              <w:rPr/>
            </w:pPr>
            <w:r>
              <w:rPr/>
              <w:t xml:space="preserve">  </w:t>
            </w:r>
          </w:p>
        </w:tc>
      </w:tr>
      <w:tr>
        <w:trPr/>
        <w:tc>
          <w:tcPr>
            <w:tcW w:w="659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cash flows from operating leases</w:t>
            </w:r>
          </w:p>
        </w:tc>
        <w:tc>
          <w:tcPr>
            <w:tcW w:w="1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378</w:t>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r>
          </w:p>
        </w:tc>
        <w:tc>
          <w:tcPr>
            <w:tcW w:w="363"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531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38" w:type="dxa"/>
            <w:tcBorders/>
            <w:shd w:fill="CCEEFF" w:val="clear"/>
            <w:vAlign w:val="center"/>
          </w:tcPr>
          <w:p>
            <w:pPr>
              <w:pStyle w:val="TableContents"/>
              <w:bidi w:val="0"/>
              <w:spacing w:before="0" w:after="283"/>
              <w:jc w:val="left"/>
              <w:rPr/>
            </w:pPr>
            <w:r>
              <w:rPr/>
            </w:r>
          </w:p>
        </w:tc>
        <w:tc>
          <w:tcPr>
            <w:tcW w:w="362" w:type="dxa"/>
            <w:tcBorders/>
            <w:shd w:fill="CCEEFF" w:val="clear"/>
            <w:vAlign w:val="center"/>
          </w:tcPr>
          <w:p>
            <w:pPr>
              <w:pStyle w:val="TableContents"/>
              <w:bidi w:val="0"/>
              <w:spacing w:before="0" w:after="283"/>
              <w:jc w:val="left"/>
              <w:rPr/>
            </w:pPr>
            <w:r>
              <w:rPr/>
            </w:r>
          </w:p>
        </w:tc>
        <w:tc>
          <w:tcPr>
            <w:tcW w:w="985"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283"/>
              <w:jc w:val="left"/>
              <w:rPr/>
            </w:pPr>
            <w:r>
              <w:rPr/>
            </w:r>
          </w:p>
        </w:tc>
        <w:tc>
          <w:tcPr>
            <w:tcW w:w="363" w:type="dxa"/>
            <w:tcBorders/>
            <w:shd w:fill="CCEEFF" w:val="clear"/>
            <w:vAlign w:val="center"/>
          </w:tcPr>
          <w:p>
            <w:pPr>
              <w:pStyle w:val="TableContents"/>
              <w:bidi w:val="0"/>
              <w:spacing w:before="0" w:after="283"/>
              <w:jc w:val="left"/>
              <w:rPr/>
            </w:pPr>
            <w:r>
              <w:rPr/>
            </w:r>
          </w:p>
        </w:tc>
        <w:tc>
          <w:tcPr>
            <w:tcW w:w="984" w:type="dxa"/>
            <w:tcBorders/>
            <w:shd w:fill="CCEEFF" w:val="clear"/>
            <w:vAlign w:val="center"/>
          </w:tcPr>
          <w:p>
            <w:pPr>
              <w:pStyle w:val="TableContents"/>
              <w:bidi w:val="0"/>
              <w:spacing w:before="0" w:after="283"/>
              <w:jc w:val="left"/>
              <w:rPr/>
            </w:pPr>
            <w:r>
              <w:rPr/>
            </w:r>
          </w:p>
        </w:tc>
        <w:tc>
          <w:tcPr>
            <w:tcW w:w="155" w:type="dxa"/>
            <w:tcBorders/>
            <w:shd w:fill="CCEEFF" w:val="clear"/>
            <w:vAlign w:val="center"/>
          </w:tcPr>
          <w:p>
            <w:pPr>
              <w:pStyle w:val="TableContents"/>
              <w:bidi w:val="0"/>
              <w:spacing w:before="0" w:after="283"/>
              <w:jc w:val="left"/>
              <w:rPr/>
            </w:pPr>
            <w:r>
              <w:rPr/>
            </w:r>
          </w:p>
        </w:tc>
      </w:tr>
      <w:tr>
        <w:trPr/>
        <w:tc>
          <w:tcPr>
            <w:tcW w:w="659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leases</w:t>
            </w:r>
          </w:p>
        </w:tc>
        <w:tc>
          <w:tcPr>
            <w:tcW w:w="1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341</w:t>
            </w:r>
          </w:p>
        </w:tc>
        <w:tc>
          <w:tcPr>
            <w:tcW w:w="310" w:type="dxa"/>
            <w:tcBorders/>
            <w:vAlign w:val="center"/>
          </w:tcPr>
          <w:p>
            <w:pPr>
              <w:pStyle w:val="TableContents"/>
              <w:bidi w:val="0"/>
              <w:spacing w:before="0" w:after="283"/>
              <w:jc w:val="left"/>
              <w:rPr/>
            </w:pPr>
            <w:r>
              <w:rPr/>
            </w:r>
          </w:p>
        </w:tc>
        <w:tc>
          <w:tcPr>
            <w:tcW w:w="310" w:type="dxa"/>
            <w:tcBorders/>
            <w:vAlign w:val="center"/>
          </w:tcPr>
          <w:p>
            <w:pPr>
              <w:pStyle w:val="TableContents"/>
              <w:bidi w:val="0"/>
              <w:spacing w:before="0" w:after="283"/>
              <w:jc w:val="left"/>
              <w:rPr/>
            </w:pPr>
            <w:r>
              <w:rPr/>
            </w:r>
          </w:p>
        </w:tc>
        <w:tc>
          <w:tcPr>
            <w:tcW w:w="363"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balance sheet information related to leases was as follows:</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6120"/>
        <w:gridCol w:w="119"/>
        <w:gridCol w:w="344"/>
        <w:gridCol w:w="1377"/>
        <w:gridCol w:w="215"/>
        <w:gridCol w:w="119"/>
        <w:gridCol w:w="335"/>
        <w:gridCol w:w="1341"/>
        <w:gridCol w:w="235"/>
      </w:tblGrid>
      <w:tr>
        <w:trPr/>
        <w:tc>
          <w:tcPr>
            <w:tcW w:w="6120" w:type="dxa"/>
            <w:tcBorders/>
            <w:vAlign w:val="center"/>
          </w:tcPr>
          <w:p>
            <w:pPr>
              <w:pStyle w:val="TableContents"/>
              <w:bidi w:val="0"/>
              <w:spacing w:before="0" w:after="0"/>
              <w:ind w:left="0" w:right="0" w:hanging="0"/>
              <w:jc w:val="left"/>
              <w:rPr/>
            </w:pPr>
            <w:r>
              <w:rPr/>
              <w:t xml:space="preserve">  </w:t>
            </w:r>
          </w:p>
        </w:tc>
        <w:tc>
          <w:tcPr>
            <w:tcW w:w="119" w:type="dxa"/>
            <w:tcBorders/>
            <w:vAlign w:val="center"/>
          </w:tcPr>
          <w:p>
            <w:pPr>
              <w:pStyle w:val="TableContents"/>
              <w:bidi w:val="0"/>
              <w:spacing w:before="0" w:after="0"/>
              <w:ind w:left="0" w:right="0" w:hanging="0"/>
              <w:jc w:val="left"/>
              <w:rPr/>
            </w:pPr>
            <w:r>
              <w:rPr/>
              <w:t xml:space="preserve">  </w:t>
            </w:r>
          </w:p>
        </w:tc>
        <w:tc>
          <w:tcPr>
            <w:tcW w:w="1721"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September 30, 2023 </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1676"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December 31, 2022 </w:t>
            </w:r>
          </w:p>
        </w:tc>
        <w:tc>
          <w:tcPr>
            <w:tcW w:w="235" w:type="dxa"/>
            <w:tcBorders/>
            <w:vAlign w:val="center"/>
          </w:tcPr>
          <w:p>
            <w:pPr>
              <w:pStyle w:val="TableContents"/>
              <w:bidi w:val="0"/>
              <w:spacing w:before="0" w:after="0"/>
              <w:ind w:left="0" w:right="0" w:hanging="0"/>
              <w:jc w:val="left"/>
              <w:rPr/>
            </w:pPr>
            <w:r>
              <w:rPr/>
              <w:t xml:space="preserve">  </w:t>
            </w:r>
          </w:p>
        </w:tc>
      </w:tr>
      <w:tr>
        <w:trPr/>
        <w:tc>
          <w:tcPr>
            <w:tcW w:w="6120"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right-of-use assets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77"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1,081</w:t>
            </w:r>
          </w:p>
        </w:tc>
        <w:tc>
          <w:tcPr>
            <w:tcW w:w="215" w:type="dxa"/>
            <w:tcBorders/>
            <w:shd w:fill="CCEEFF" w:val="clear"/>
            <w:vAlign w:val="center"/>
          </w:tcPr>
          <w:p>
            <w:pPr>
              <w:pStyle w:val="TableContents"/>
              <w:pBdr/>
              <w:bidi w:val="0"/>
              <w:spacing w:before="0" w:after="0"/>
              <w:ind w:left="0" w:right="0" w:hanging="0"/>
              <w:jc w:val="left"/>
              <w:rPr/>
            </w:pPr>
            <w:r>
              <w:rPr/>
              <w:t xml:space="preserve">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3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1"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1,047</w:t>
            </w:r>
          </w:p>
        </w:tc>
        <w:tc>
          <w:tcPr>
            <w:tcW w:w="235" w:type="dxa"/>
            <w:tcBorders/>
            <w:shd w:fill="CCEEFF" w:val="clear"/>
            <w:vAlign w:val="center"/>
          </w:tcPr>
          <w:p>
            <w:pPr>
              <w:pStyle w:val="TableContents"/>
              <w:pBdr/>
              <w:bidi w:val="0"/>
              <w:spacing w:before="0" w:after="0"/>
              <w:ind w:left="0" w:right="0" w:hanging="0"/>
              <w:jc w:val="left"/>
              <w:rPr/>
            </w:pPr>
            <w:r>
              <w:rPr/>
              <w:t xml:space="preserve">  </w:t>
            </w:r>
          </w:p>
        </w:tc>
      </w:tr>
      <w:tr>
        <w:trPr/>
        <w:tc>
          <w:tcPr>
            <w:tcW w:w="6120"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pBdr/>
              <w:bidi w:val="0"/>
              <w:spacing w:before="0" w:after="0"/>
              <w:ind w:left="0" w:right="0" w:hanging="0"/>
              <w:jc w:val="left"/>
              <w:rPr/>
            </w:pPr>
            <w:r>
              <w:rPr/>
              <w:t xml:space="preserve">  </w:t>
            </w:r>
          </w:p>
        </w:tc>
        <w:tc>
          <w:tcPr>
            <w:tcW w:w="344" w:type="dxa"/>
            <w:tcBorders/>
            <w:vAlign w:val="center"/>
          </w:tcPr>
          <w:p>
            <w:pPr>
              <w:pStyle w:val="TableContents"/>
              <w:pBdr/>
              <w:bidi w:val="0"/>
              <w:spacing w:before="0" w:after="0"/>
              <w:ind w:left="0" w:right="0" w:hanging="0"/>
              <w:jc w:val="left"/>
              <w:rPr/>
            </w:pPr>
            <w:r>
              <w:rPr/>
            </w:r>
          </w:p>
        </w:tc>
        <w:tc>
          <w:tcPr>
            <w:tcW w:w="1377" w:type="dxa"/>
            <w:tcBorders/>
            <w:vAlign w:val="center"/>
          </w:tcPr>
          <w:p>
            <w:pPr>
              <w:pStyle w:val="TableContents"/>
              <w:bidi w:val="0"/>
              <w:spacing w:before="0" w:after="283"/>
              <w:ind w:left="0" w:right="0" w:hanging="0"/>
              <w:jc w:val="left"/>
              <w:rPr/>
            </w:pPr>
            <w:r>
              <w:rPr/>
            </w:r>
          </w:p>
        </w:tc>
        <w:tc>
          <w:tcPr>
            <w:tcW w:w="215"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bidi w:val="0"/>
              <w:spacing w:before="0" w:after="283"/>
              <w:ind w:left="0" w:right="0" w:hanging="0"/>
              <w:jc w:val="left"/>
              <w:rPr/>
            </w:pPr>
            <w:r>
              <w:rPr/>
            </w:r>
          </w:p>
        </w:tc>
        <w:tc>
          <w:tcPr>
            <w:tcW w:w="335" w:type="dxa"/>
            <w:tcBorders/>
            <w:vAlign w:val="center"/>
          </w:tcPr>
          <w:p>
            <w:pPr>
              <w:pStyle w:val="TableContents"/>
              <w:bidi w:val="0"/>
              <w:spacing w:before="0" w:after="283"/>
              <w:ind w:left="0" w:right="0" w:hanging="0"/>
              <w:jc w:val="left"/>
              <w:rPr/>
            </w:pPr>
            <w:r>
              <w:rPr/>
            </w:r>
          </w:p>
        </w:tc>
        <w:tc>
          <w:tcPr>
            <w:tcW w:w="1341" w:type="dxa"/>
            <w:tcBorders/>
            <w:vAlign w:val="center"/>
          </w:tcPr>
          <w:p>
            <w:pPr>
              <w:pStyle w:val="TableContents"/>
              <w:bidi w:val="0"/>
              <w:spacing w:before="0" w:after="283"/>
              <w:ind w:left="0" w:right="0" w:hanging="0"/>
              <w:jc w:val="left"/>
              <w:rPr/>
            </w:pPr>
            <w:r>
              <w:rPr/>
            </w:r>
          </w:p>
        </w:tc>
        <w:tc>
          <w:tcPr>
            <w:tcW w:w="235" w:type="dxa"/>
            <w:tcBorders/>
            <w:vAlign w:val="center"/>
          </w:tcPr>
          <w:p>
            <w:pPr>
              <w:pStyle w:val="TableContents"/>
              <w:bidi w:val="0"/>
              <w:spacing w:before="0" w:after="283"/>
              <w:jc w:val="left"/>
              <w:rPr/>
            </w:pPr>
            <w:r>
              <w:rPr/>
            </w:r>
          </w:p>
        </w:tc>
      </w:tr>
      <w:tr>
        <w:trPr/>
        <w:tc>
          <w:tcPr>
            <w:tcW w:w="6120"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Current portion of operating lease liabilities, included in accrued liabilities </w:t>
            </w:r>
          </w:p>
        </w:tc>
        <w:tc>
          <w:tcPr>
            <w:tcW w:w="119" w:type="dxa"/>
            <w:tcBorders/>
            <w:shd w:fill="CCEEFF" w:val="clear"/>
            <w:vAlign w:val="center"/>
          </w:tcPr>
          <w:p>
            <w:pPr>
              <w:pStyle w:val="TableContents"/>
              <w:bidi w:val="0"/>
              <w:spacing w:before="0" w:after="283"/>
              <w:ind w:left="0" w:right="0" w:hanging="0"/>
              <w:jc w:val="left"/>
              <w:rPr/>
            </w:pPr>
            <w:r>
              <w:rPr/>
            </w:r>
          </w:p>
        </w:tc>
        <w:tc>
          <w:tcPr>
            <w:tcW w:w="344"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390</w:t>
            </w:r>
          </w:p>
        </w:tc>
        <w:tc>
          <w:tcPr>
            <w:tcW w:w="215"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c>
          <w:tcPr>
            <w:tcW w:w="335"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right"/>
              <w:rPr/>
            </w:pPr>
            <w:r>
              <w:rPr/>
              <w:t>641</w:t>
            </w:r>
          </w:p>
        </w:tc>
        <w:tc>
          <w:tcPr>
            <w:tcW w:w="235" w:type="dxa"/>
            <w:tcBorders/>
            <w:shd w:fill="CCEEFF" w:val="clear"/>
            <w:vAlign w:val="center"/>
          </w:tcPr>
          <w:p>
            <w:pPr>
              <w:pStyle w:val="TableContents"/>
              <w:bidi w:val="0"/>
              <w:spacing w:before="0" w:after="283"/>
              <w:jc w:val="left"/>
              <w:rPr/>
            </w:pPr>
            <w:r>
              <w:rPr/>
            </w:r>
          </w:p>
        </w:tc>
      </w:tr>
      <w:tr>
        <w:trPr/>
        <w:tc>
          <w:tcPr>
            <w:tcW w:w="6120"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liabilities, net of current portion </w:t>
            </w:r>
          </w:p>
        </w:tc>
        <w:tc>
          <w:tcPr>
            <w:tcW w:w="119" w:type="dxa"/>
            <w:tcBorders/>
            <w:vAlign w:val="center"/>
          </w:tcPr>
          <w:p>
            <w:pPr>
              <w:pStyle w:val="TableContents"/>
              <w:pBdr/>
              <w:bidi w:val="0"/>
              <w:spacing w:before="0" w:after="0"/>
              <w:ind w:left="0" w:right="0" w:hanging="0"/>
              <w:jc w:val="left"/>
              <w:rPr/>
            </w:pPr>
            <w:r>
              <w:rPr/>
              <w:t xml:space="preserve">  </w:t>
            </w:r>
          </w:p>
        </w:tc>
        <w:tc>
          <w:tcPr>
            <w:tcW w:w="344" w:type="dxa"/>
            <w:tcBorders/>
            <w:vAlign w:val="center"/>
          </w:tcPr>
          <w:p>
            <w:pPr>
              <w:pStyle w:val="TableContents"/>
              <w:pBdr/>
              <w:bidi w:val="0"/>
              <w:spacing w:before="0" w:after="0"/>
              <w:ind w:left="0" w:right="0" w:hanging="0"/>
              <w:jc w:val="left"/>
              <w:rPr/>
            </w:pPr>
            <w:r>
              <w:rPr/>
              <w:t xml:space="preserve">  </w:t>
            </w:r>
          </w:p>
        </w:tc>
        <w:tc>
          <w:tcPr>
            <w:tcW w:w="1377" w:type="dxa"/>
            <w:tcBorders/>
            <w:vAlign w:val="center"/>
          </w:tcPr>
          <w:p>
            <w:pPr>
              <w:pStyle w:val="TableContents"/>
              <w:pBdr/>
              <w:bidi w:val="0"/>
              <w:spacing w:before="0" w:after="0"/>
              <w:ind w:left="0" w:right="0" w:hanging="0"/>
              <w:jc w:val="right"/>
              <w:rPr/>
            </w:pPr>
            <w:r>
              <w:rPr/>
              <w:t>755</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335" w:type="dxa"/>
            <w:tcBorders/>
            <w:vAlign w:val="center"/>
          </w:tcPr>
          <w:p>
            <w:pPr>
              <w:pStyle w:val="TableContents"/>
              <w:pBdr/>
              <w:bidi w:val="0"/>
              <w:spacing w:before="0" w:after="0"/>
              <w:ind w:left="0" w:right="0" w:hanging="0"/>
              <w:jc w:val="left"/>
              <w:rPr/>
            </w:pPr>
            <w:r>
              <w:rPr/>
              <w:t xml:space="preserve">  </w:t>
            </w:r>
          </w:p>
        </w:tc>
        <w:tc>
          <w:tcPr>
            <w:tcW w:w="1341" w:type="dxa"/>
            <w:tcBorders/>
            <w:vAlign w:val="center"/>
          </w:tcPr>
          <w:p>
            <w:pPr>
              <w:pStyle w:val="TableContents"/>
              <w:pBdr/>
              <w:bidi w:val="0"/>
              <w:spacing w:before="0" w:after="0"/>
              <w:ind w:left="0" w:right="0" w:hanging="0"/>
              <w:jc w:val="right"/>
              <w:rPr/>
            </w:pPr>
            <w:r>
              <w:rPr/>
              <w:t>492</w:t>
            </w:r>
          </w:p>
        </w:tc>
        <w:tc>
          <w:tcPr>
            <w:tcW w:w="235" w:type="dxa"/>
            <w:tcBorders/>
            <w:vAlign w:val="center"/>
          </w:tcPr>
          <w:p>
            <w:pPr>
              <w:pStyle w:val="TableContents"/>
              <w:pBdr/>
              <w:bidi w:val="0"/>
              <w:spacing w:before="0" w:after="0"/>
              <w:ind w:left="0" w:right="0" w:hanging="0"/>
              <w:jc w:val="left"/>
              <w:rPr/>
            </w:pPr>
            <w:r>
              <w:rPr/>
              <w:t xml:space="preserve">  </w:t>
            </w:r>
          </w:p>
        </w:tc>
      </w:tr>
      <w:tr>
        <w:trPr/>
        <w:tc>
          <w:tcPr>
            <w:tcW w:w="612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Total operating lease liabilities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77" w:type="dxa"/>
            <w:tcBorders/>
            <w:shd w:fill="CCEEFF" w:val="clear"/>
            <w:vAlign w:val="center"/>
          </w:tcPr>
          <w:p>
            <w:pPr>
              <w:pStyle w:val="TableContents"/>
              <w:pBdr/>
              <w:bidi w:val="0"/>
              <w:spacing w:before="0" w:after="0"/>
              <w:ind w:left="0" w:right="0" w:hanging="0"/>
              <w:jc w:val="right"/>
              <w:rPr/>
            </w:pPr>
            <w:r>
              <w:rPr/>
              <w:t>1,145</w:t>
            </w:r>
          </w:p>
        </w:tc>
        <w:tc>
          <w:tcPr>
            <w:tcW w:w="215" w:type="dxa"/>
            <w:tcBorders/>
            <w:shd w:fill="CCEEFF" w:val="clear"/>
            <w:vAlign w:val="center"/>
          </w:tcPr>
          <w:p>
            <w:pPr>
              <w:pStyle w:val="TableContents"/>
              <w:pBdr/>
              <w:bidi w:val="0"/>
              <w:spacing w:before="0" w:after="0"/>
              <w:ind w:left="0" w:right="0" w:hanging="0"/>
              <w:jc w:val="left"/>
              <w:rPr/>
            </w:pPr>
            <w:r>
              <w:rPr/>
              <w:t xml:space="preserve">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3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1" w:type="dxa"/>
            <w:tcBorders/>
            <w:shd w:fill="CCEEFF" w:val="clear"/>
            <w:vAlign w:val="center"/>
          </w:tcPr>
          <w:p>
            <w:pPr>
              <w:pStyle w:val="TableContents"/>
              <w:pBdr/>
              <w:bidi w:val="0"/>
              <w:spacing w:before="0" w:after="0"/>
              <w:ind w:left="0" w:right="0" w:hanging="0"/>
              <w:jc w:val="right"/>
              <w:rPr/>
            </w:pPr>
            <w:r>
              <w:rPr/>
              <w:t>1,133</w:t>
            </w:r>
          </w:p>
        </w:tc>
        <w:tc>
          <w:tcPr>
            <w:tcW w:w="235" w:type="dxa"/>
            <w:tcBorders/>
            <w:shd w:fill="CCEEFF" w:val="clear"/>
            <w:vAlign w:val="center"/>
          </w:tcPr>
          <w:p>
            <w:pPr>
              <w:pStyle w:val="TableContents"/>
              <w:pBdr/>
              <w:bidi w:val="0"/>
              <w:spacing w:before="0" w:after="0"/>
              <w:ind w:left="0" w:right="0" w:hanging="0"/>
              <w:jc w:val="left"/>
              <w:rPr/>
            </w:pPr>
            <w:r>
              <w:rPr/>
              <w:t xml:space="preserve">  </w:t>
            </w:r>
          </w:p>
        </w:tc>
      </w:tr>
      <w:tr>
        <w:trPr/>
        <w:tc>
          <w:tcPr>
            <w:tcW w:w="6120" w:type="dxa"/>
            <w:tcBorders/>
            <w:vAlign w:val="center"/>
          </w:tcPr>
          <w:p>
            <w:pPr>
              <w:pStyle w:val="TableContents"/>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344" w:type="dxa"/>
            <w:tcBorders/>
            <w:vAlign w:val="center"/>
          </w:tcPr>
          <w:p>
            <w:pPr>
              <w:pStyle w:val="TableContents"/>
              <w:pBdr/>
              <w:bidi w:val="0"/>
              <w:spacing w:before="0" w:after="0"/>
              <w:ind w:left="0" w:right="0" w:hanging="0"/>
              <w:jc w:val="left"/>
              <w:rPr/>
            </w:pPr>
            <w:r>
              <w:rPr/>
              <w:t xml:space="preserve">  </w:t>
            </w:r>
          </w:p>
        </w:tc>
        <w:tc>
          <w:tcPr>
            <w:tcW w:w="1377" w:type="dxa"/>
            <w:tcBorders/>
            <w:vAlign w:val="center"/>
          </w:tcPr>
          <w:p>
            <w:pPr>
              <w:pStyle w:val="TableContents"/>
              <w:pBdr/>
              <w:bidi w:val="0"/>
              <w:spacing w:before="0" w:after="0"/>
              <w:ind w:left="0" w:right="0" w:hanging="0"/>
              <w:jc w:val="left"/>
              <w:rPr/>
            </w:pPr>
            <w:r>
              <w:rPr/>
              <w:t xml:space="preserve">  </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335" w:type="dxa"/>
            <w:tcBorders/>
            <w:vAlign w:val="center"/>
          </w:tcPr>
          <w:p>
            <w:pPr>
              <w:pStyle w:val="TableContents"/>
              <w:pBdr/>
              <w:bidi w:val="0"/>
              <w:spacing w:before="0" w:after="0"/>
              <w:ind w:left="0" w:right="0" w:hanging="0"/>
              <w:jc w:val="left"/>
              <w:rPr/>
            </w:pPr>
            <w:r>
              <w:rPr/>
              <w:t xml:space="preserve">  </w:t>
            </w:r>
          </w:p>
        </w:tc>
        <w:tc>
          <w:tcPr>
            <w:tcW w:w="1341" w:type="dxa"/>
            <w:tcBorders/>
            <w:vAlign w:val="center"/>
          </w:tcPr>
          <w:p>
            <w:pPr>
              <w:pStyle w:val="TableContents"/>
              <w:pBdr/>
              <w:bidi w:val="0"/>
              <w:spacing w:before="0" w:after="0"/>
              <w:ind w:left="0" w:right="0" w:hanging="0"/>
              <w:jc w:val="left"/>
              <w:rPr/>
            </w:pPr>
            <w:r>
              <w:rPr/>
              <w:t xml:space="preserve">  </w:t>
            </w:r>
          </w:p>
        </w:tc>
        <w:tc>
          <w:tcPr>
            <w:tcW w:w="235" w:type="dxa"/>
            <w:tcBorders/>
            <w:vAlign w:val="center"/>
          </w:tcPr>
          <w:p>
            <w:pPr>
              <w:pStyle w:val="TableContents"/>
              <w:pBdr/>
              <w:bidi w:val="0"/>
              <w:spacing w:before="0" w:after="0"/>
              <w:ind w:left="0" w:right="0" w:hanging="0"/>
              <w:jc w:val="left"/>
              <w:rPr/>
            </w:pPr>
            <w:r>
              <w:rPr/>
              <w:t xml:space="preserve">  </w:t>
            </w:r>
          </w:p>
        </w:tc>
      </w:tr>
      <w:tr>
        <w:trPr/>
        <w:tc>
          <w:tcPr>
            <w:tcW w:w="6120"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Weighted average remaining lease term for operating leases (in years) </w:t>
            </w:r>
          </w:p>
        </w:tc>
        <w:tc>
          <w:tcPr>
            <w:tcW w:w="119" w:type="dxa"/>
            <w:tcBorders/>
            <w:shd w:fill="CCEEFF" w:val="clear"/>
            <w:vAlign w:val="center"/>
          </w:tcPr>
          <w:p>
            <w:pPr>
              <w:pStyle w:val="TableContents"/>
              <w:bidi w:val="0"/>
              <w:spacing w:before="0" w:after="283"/>
              <w:ind w:left="0" w:right="0" w:hanging="0"/>
              <w:jc w:val="left"/>
              <w:rPr/>
            </w:pPr>
            <w:r>
              <w:rPr/>
            </w:r>
          </w:p>
        </w:tc>
        <w:tc>
          <w:tcPr>
            <w:tcW w:w="344" w:type="dxa"/>
            <w:tcBorders/>
            <w:shd w:fill="CCEEFF" w:val="clear"/>
            <w:vAlign w:val="center"/>
          </w:tcPr>
          <w:p>
            <w:pPr>
              <w:pStyle w:val="TableContents"/>
              <w:bidi w:val="0"/>
              <w:spacing w:before="0" w:after="283"/>
              <w:ind w:left="0" w:right="0" w:hanging="0"/>
              <w:jc w:val="left"/>
              <w:rPr/>
            </w:pPr>
            <w:r>
              <w:rPr/>
            </w:r>
          </w:p>
        </w:tc>
        <w:tc>
          <w:tcPr>
            <w:tcW w:w="1377" w:type="dxa"/>
            <w:tcBorders/>
            <w:shd w:fill="CCEEFF" w:val="clear"/>
            <w:vAlign w:val="center"/>
          </w:tcPr>
          <w:p>
            <w:pPr>
              <w:pStyle w:val="TableContents"/>
              <w:bidi w:val="0"/>
              <w:spacing w:before="0" w:after="0"/>
              <w:ind w:left="0" w:right="0" w:hanging="0"/>
              <w:jc w:val="right"/>
              <w:rPr/>
            </w:pPr>
            <w:r>
              <w:rPr/>
              <w:t>3.56</w:t>
            </w:r>
          </w:p>
        </w:tc>
        <w:tc>
          <w:tcPr>
            <w:tcW w:w="215"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c>
          <w:tcPr>
            <w:tcW w:w="335" w:type="dxa"/>
            <w:tcBorders/>
            <w:shd w:fill="CCEEFF" w:val="clear"/>
            <w:vAlign w:val="center"/>
          </w:tcPr>
          <w:p>
            <w:pPr>
              <w:pStyle w:val="TableContents"/>
              <w:bidi w:val="0"/>
              <w:spacing w:before="0" w:after="283"/>
              <w:ind w:left="0" w:right="0" w:hanging="0"/>
              <w:jc w:val="left"/>
              <w:rPr/>
            </w:pPr>
            <w:r>
              <w:rPr/>
            </w:r>
          </w:p>
        </w:tc>
        <w:tc>
          <w:tcPr>
            <w:tcW w:w="1341" w:type="dxa"/>
            <w:tcBorders/>
            <w:shd w:fill="CCEEFF" w:val="clear"/>
            <w:vAlign w:val="center"/>
          </w:tcPr>
          <w:p>
            <w:pPr>
              <w:pStyle w:val="TableContents"/>
              <w:bidi w:val="0"/>
              <w:spacing w:before="0" w:after="0"/>
              <w:ind w:left="0" w:right="0" w:hanging="0"/>
              <w:jc w:val="right"/>
              <w:rPr/>
            </w:pPr>
            <w:r>
              <w:rPr/>
              <w:t>2.12</w:t>
            </w:r>
          </w:p>
        </w:tc>
        <w:tc>
          <w:tcPr>
            <w:tcW w:w="235" w:type="dxa"/>
            <w:tcBorders/>
            <w:shd w:fill="CCEEFF" w:val="clear"/>
            <w:vAlign w:val="center"/>
          </w:tcPr>
          <w:p>
            <w:pPr>
              <w:pStyle w:val="TableContents"/>
              <w:bidi w:val="0"/>
              <w:spacing w:before="0" w:after="283"/>
              <w:jc w:val="left"/>
              <w:rPr/>
            </w:pPr>
            <w:r>
              <w:rPr/>
            </w:r>
          </w:p>
        </w:tc>
      </w:tr>
      <w:tr>
        <w:trPr/>
        <w:tc>
          <w:tcPr>
            <w:tcW w:w="6120" w:type="dxa"/>
            <w:tcBorders/>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Weighted average discount rate for operating leases </w:t>
            </w:r>
          </w:p>
        </w:tc>
        <w:tc>
          <w:tcPr>
            <w:tcW w:w="119" w:type="dxa"/>
            <w:tcBorders/>
            <w:vAlign w:val="center"/>
          </w:tcPr>
          <w:p>
            <w:pPr>
              <w:pStyle w:val="TableContents"/>
              <w:bidi w:val="0"/>
              <w:spacing w:before="0" w:after="283"/>
              <w:ind w:left="0" w:right="0" w:hanging="0"/>
              <w:jc w:val="left"/>
              <w:rPr/>
            </w:pPr>
            <w:r>
              <w:rPr/>
            </w:r>
          </w:p>
        </w:tc>
        <w:tc>
          <w:tcPr>
            <w:tcW w:w="344" w:type="dxa"/>
            <w:tcBorders/>
            <w:vAlign w:val="center"/>
          </w:tcPr>
          <w:p>
            <w:pPr>
              <w:pStyle w:val="TableContents"/>
              <w:bidi w:val="0"/>
              <w:spacing w:before="0" w:after="283"/>
              <w:ind w:left="0" w:right="0" w:hanging="0"/>
              <w:jc w:val="left"/>
              <w:rPr/>
            </w:pPr>
            <w:r>
              <w:rPr/>
            </w:r>
          </w:p>
        </w:tc>
        <w:tc>
          <w:tcPr>
            <w:tcW w:w="1377" w:type="dxa"/>
            <w:tcBorders/>
            <w:vAlign w:val="center"/>
          </w:tcPr>
          <w:p>
            <w:pPr>
              <w:pStyle w:val="TableContents"/>
              <w:bidi w:val="0"/>
              <w:spacing w:before="0" w:after="0"/>
              <w:ind w:left="0" w:right="0" w:hanging="0"/>
              <w:jc w:val="right"/>
              <w:rPr/>
            </w:pPr>
            <w:r>
              <w:rPr/>
              <w:t>6.43</w:t>
            </w:r>
          </w:p>
        </w:tc>
        <w:tc>
          <w:tcPr>
            <w:tcW w:w="215"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283"/>
              <w:ind w:left="0" w:right="0" w:hanging="0"/>
              <w:jc w:val="left"/>
              <w:rPr/>
            </w:pPr>
            <w:r>
              <w:rPr/>
            </w:r>
          </w:p>
        </w:tc>
        <w:tc>
          <w:tcPr>
            <w:tcW w:w="335" w:type="dxa"/>
            <w:tcBorders/>
            <w:vAlign w:val="center"/>
          </w:tcPr>
          <w:p>
            <w:pPr>
              <w:pStyle w:val="TableContents"/>
              <w:bidi w:val="0"/>
              <w:spacing w:before="0" w:after="283"/>
              <w:ind w:left="0" w:right="0" w:hanging="0"/>
              <w:jc w:val="left"/>
              <w:rPr/>
            </w:pPr>
            <w:r>
              <w:rPr/>
            </w:r>
          </w:p>
        </w:tc>
        <w:tc>
          <w:tcPr>
            <w:tcW w:w="1341" w:type="dxa"/>
            <w:tcBorders/>
            <w:vAlign w:val="center"/>
          </w:tcPr>
          <w:p>
            <w:pPr>
              <w:pStyle w:val="TableContents"/>
              <w:bidi w:val="0"/>
              <w:spacing w:before="0" w:after="0"/>
              <w:ind w:left="0" w:right="0" w:hanging="0"/>
              <w:jc w:val="right"/>
              <w:rPr/>
            </w:pPr>
            <w:r>
              <w:rPr/>
              <w:t>5.93</w:t>
            </w:r>
          </w:p>
        </w:tc>
        <w:tc>
          <w:tcPr>
            <w:tcW w:w="235" w:type="dxa"/>
            <w:tcBorders/>
            <w:vAlign w:val="center"/>
          </w:tcPr>
          <w:p>
            <w:pPr>
              <w:pStyle w:val="TableContents"/>
              <w:bidi w:val="0"/>
              <w:spacing w:before="0" w:after="0"/>
              <w:jc w:val="left"/>
              <w:rPr/>
            </w:pPr>
            <w:r>
              <w:rPr/>
              <w:t>%</w:t>
            </w:r>
          </w:p>
        </w:tc>
      </w:tr>
    </w:tbl>
    <w:p>
      <w:pPr>
        <w:pStyle w:val="TextBody"/>
        <w:bidi w:val="0"/>
        <w:spacing w:lineRule="auto" w:line="288" w:before="0" w:after="0"/>
        <w:ind w:left="144" w:right="144"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represents maturities of operating lease liabilities as of September 30, 2023:</w:t>
      </w:r>
    </w:p>
    <w:p>
      <w:pPr>
        <w:pStyle w:val="TextBody"/>
        <w:bidi w:val="0"/>
        <w:spacing w:lineRule="auto" w:line="288" w:before="0" w:after="0"/>
        <w:ind w:left="144" w:right="144" w:hanging="0"/>
        <w:jc w:val="left"/>
        <w:rPr/>
      </w:pPr>
      <w:r>
        <w:rPr/>
        <w:t> </w:t>
      </w:r>
    </w:p>
    <w:tbl>
      <w:tblPr>
        <w:tblW w:w="4500" w:type="pct"/>
        <w:jc w:val="left"/>
        <w:tblInd w:w="0" w:type="dxa"/>
        <w:tblLayout w:type="fixed"/>
        <w:tblCellMar>
          <w:top w:w="0" w:type="dxa"/>
          <w:left w:w="0" w:type="dxa"/>
          <w:bottom w:w="0" w:type="dxa"/>
          <w:right w:w="0" w:type="dxa"/>
        </w:tblCellMar>
      </w:tblPr>
      <w:tblGrid>
        <w:gridCol w:w="6562"/>
        <w:gridCol w:w="329"/>
        <w:gridCol w:w="467"/>
        <w:gridCol w:w="1455"/>
        <w:gridCol w:w="371"/>
      </w:tblGrid>
      <w:tr>
        <w:trPr/>
        <w:tc>
          <w:tcPr>
            <w:tcW w:w="656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December 31,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467" w:type="dxa"/>
            <w:tcBorders/>
            <w:shd w:fill="CCEEFF" w:val="clear"/>
            <w:vAlign w:val="center"/>
          </w:tcPr>
          <w:p>
            <w:pPr>
              <w:pStyle w:val="TableContents"/>
              <w:bidi w:val="0"/>
              <w:spacing w:before="0" w:after="0"/>
              <w:ind w:left="0" w:right="0" w:hanging="0"/>
              <w:jc w:val="left"/>
              <w:rPr/>
            </w:pPr>
            <w:r>
              <w:rPr/>
              <w:t xml:space="preserve">  </w:t>
            </w:r>
          </w:p>
        </w:tc>
        <w:tc>
          <w:tcPr>
            <w:tcW w:w="1455" w:type="dxa"/>
            <w:tcBorders/>
            <w:shd w:fill="CCEEFF" w:val="clear"/>
            <w:vAlign w:val="center"/>
          </w:tcPr>
          <w:p>
            <w:pPr>
              <w:pStyle w:val="TableContents"/>
              <w:bidi w:val="0"/>
              <w:spacing w:before="0" w:after="0"/>
              <w:ind w:left="0" w:right="0" w:hanging="0"/>
              <w:jc w:val="left"/>
              <w:rPr/>
            </w:pPr>
            <w:r>
              <w:rPr/>
              <w:t xml:space="preserve">  </w:t>
            </w:r>
          </w:p>
        </w:tc>
        <w:tc>
          <w:tcPr>
            <w:tcW w:w="371" w:type="dxa"/>
            <w:tcBorders/>
            <w:shd w:fill="CCEEFF" w:val="clear"/>
            <w:vAlign w:val="center"/>
          </w:tcPr>
          <w:p>
            <w:pPr>
              <w:pStyle w:val="TableContents"/>
              <w:bidi w:val="0"/>
              <w:spacing w:before="0" w:after="0"/>
              <w:ind w:left="0" w:right="0" w:hanging="0"/>
              <w:jc w:val="left"/>
              <w:rPr/>
            </w:pPr>
            <w:r>
              <w:rPr/>
              <w:t xml:space="preserve">  </w:t>
            </w:r>
          </w:p>
        </w:tc>
      </w:tr>
      <w:tr>
        <w:trPr/>
        <w:tc>
          <w:tcPr>
            <w:tcW w:w="6562"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2023 (Remainder) </w:t>
            </w:r>
          </w:p>
        </w:tc>
        <w:tc>
          <w:tcPr>
            <w:tcW w:w="329" w:type="dxa"/>
            <w:tcBorders/>
            <w:vAlign w:val="center"/>
          </w:tcPr>
          <w:p>
            <w:pPr>
              <w:pStyle w:val="TableContents"/>
              <w:bidi w:val="0"/>
              <w:spacing w:before="0" w:after="0"/>
              <w:ind w:left="0" w:right="0" w:hanging="0"/>
              <w:jc w:val="left"/>
              <w:rPr/>
            </w:pPr>
            <w:r>
              <w:rPr/>
              <w:t xml:space="preserve">  </w:t>
            </w:r>
          </w:p>
        </w:tc>
        <w:tc>
          <w:tcPr>
            <w:tcW w:w="4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55" w:type="dxa"/>
            <w:tcBorders/>
            <w:vAlign w:val="center"/>
          </w:tcPr>
          <w:p>
            <w:pPr>
              <w:pStyle w:val="TableContents"/>
              <w:bidi w:val="0"/>
              <w:spacing w:before="0" w:after="283"/>
              <w:jc w:val="right"/>
              <w:rPr/>
            </w:pPr>
            <w:r>
              <w:rPr/>
              <w:t>114</w:t>
            </w:r>
          </w:p>
        </w:tc>
        <w:tc>
          <w:tcPr>
            <w:tcW w:w="371" w:type="dxa"/>
            <w:tcBorders/>
            <w:vAlign w:val="center"/>
          </w:tcPr>
          <w:p>
            <w:pPr>
              <w:pStyle w:val="TableContents"/>
              <w:bidi w:val="0"/>
              <w:spacing w:before="0" w:after="0"/>
              <w:ind w:left="0" w:right="0" w:hanging="0"/>
              <w:jc w:val="left"/>
              <w:rPr/>
            </w:pPr>
            <w:r>
              <w:rPr/>
              <w:t xml:space="preserve">  </w:t>
            </w:r>
          </w:p>
        </w:tc>
      </w:tr>
      <w:tr>
        <w:trPr/>
        <w:tc>
          <w:tcPr>
            <w:tcW w:w="656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2024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467" w:type="dxa"/>
            <w:tcBorders/>
            <w:shd w:fill="CCEEFF" w:val="clear"/>
            <w:vAlign w:val="center"/>
          </w:tcPr>
          <w:p>
            <w:pPr>
              <w:pStyle w:val="TableContents"/>
              <w:bidi w:val="0"/>
              <w:spacing w:before="0" w:after="0"/>
              <w:ind w:left="0" w:right="0" w:hanging="0"/>
              <w:jc w:val="left"/>
              <w:rPr/>
            </w:pPr>
            <w:r>
              <w:rPr/>
              <w:t xml:space="preserve">  </w:t>
            </w:r>
          </w:p>
        </w:tc>
        <w:tc>
          <w:tcPr>
            <w:tcW w:w="14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439 </w:t>
            </w:r>
          </w:p>
        </w:tc>
        <w:tc>
          <w:tcPr>
            <w:tcW w:w="371" w:type="dxa"/>
            <w:tcBorders/>
            <w:shd w:fill="CCEEFF" w:val="clear"/>
            <w:vAlign w:val="center"/>
          </w:tcPr>
          <w:p>
            <w:pPr>
              <w:pStyle w:val="TableContents"/>
              <w:bidi w:val="0"/>
              <w:spacing w:before="0" w:after="0"/>
              <w:ind w:left="0" w:right="0" w:hanging="0"/>
              <w:jc w:val="left"/>
              <w:rPr/>
            </w:pPr>
            <w:r>
              <w:rPr/>
              <w:t xml:space="preserve">  </w:t>
            </w:r>
          </w:p>
        </w:tc>
      </w:tr>
      <w:tr>
        <w:trPr/>
        <w:tc>
          <w:tcPr>
            <w:tcW w:w="6562"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2025 </w:t>
            </w:r>
          </w:p>
        </w:tc>
        <w:tc>
          <w:tcPr>
            <w:tcW w:w="329" w:type="dxa"/>
            <w:tcBorders/>
            <w:vAlign w:val="center"/>
          </w:tcPr>
          <w:p>
            <w:pPr>
              <w:pStyle w:val="TableContents"/>
              <w:bidi w:val="0"/>
              <w:spacing w:before="0" w:after="0"/>
              <w:ind w:left="0" w:right="0" w:hanging="0"/>
              <w:jc w:val="left"/>
              <w:rPr/>
            </w:pPr>
            <w:r>
              <w:rPr/>
              <w:t xml:space="preserve">  </w:t>
            </w:r>
          </w:p>
        </w:tc>
        <w:tc>
          <w:tcPr>
            <w:tcW w:w="467" w:type="dxa"/>
            <w:tcBorders/>
            <w:vAlign w:val="center"/>
          </w:tcPr>
          <w:p>
            <w:pPr>
              <w:pStyle w:val="TableContents"/>
              <w:bidi w:val="0"/>
              <w:spacing w:before="0" w:after="0"/>
              <w:ind w:left="0" w:right="0" w:hanging="0"/>
              <w:jc w:val="left"/>
              <w:rPr/>
            </w:pPr>
            <w:r>
              <w:rPr/>
              <w:t xml:space="preserve">  </w:t>
            </w:r>
          </w:p>
        </w:tc>
        <w:tc>
          <w:tcPr>
            <w:tcW w:w="145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272 </w:t>
            </w:r>
          </w:p>
        </w:tc>
        <w:tc>
          <w:tcPr>
            <w:tcW w:w="371" w:type="dxa"/>
            <w:tcBorders/>
            <w:vAlign w:val="center"/>
          </w:tcPr>
          <w:p>
            <w:pPr>
              <w:pStyle w:val="TableContents"/>
              <w:bidi w:val="0"/>
              <w:spacing w:before="0" w:after="0"/>
              <w:ind w:left="0" w:right="0" w:hanging="0"/>
              <w:jc w:val="left"/>
              <w:rPr/>
            </w:pPr>
            <w:r>
              <w:rPr/>
              <w:t xml:space="preserve">  </w:t>
            </w:r>
          </w:p>
        </w:tc>
      </w:tr>
      <w:tr>
        <w:trPr/>
        <w:tc>
          <w:tcPr>
            <w:tcW w:w="656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2026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467" w:type="dxa"/>
            <w:tcBorders/>
            <w:shd w:fill="CCEEFF" w:val="clear"/>
            <w:vAlign w:val="center"/>
          </w:tcPr>
          <w:p>
            <w:pPr>
              <w:pStyle w:val="TableContents"/>
              <w:bidi w:val="0"/>
              <w:spacing w:before="0" w:after="0"/>
              <w:ind w:left="0" w:right="0" w:hanging="0"/>
              <w:jc w:val="left"/>
              <w:rPr/>
            </w:pPr>
            <w:r>
              <w:rPr/>
              <w:t xml:space="preserve">  </w:t>
            </w:r>
          </w:p>
        </w:tc>
        <w:tc>
          <w:tcPr>
            <w:tcW w:w="14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210 </w:t>
            </w:r>
          </w:p>
        </w:tc>
        <w:tc>
          <w:tcPr>
            <w:tcW w:w="371" w:type="dxa"/>
            <w:tcBorders/>
            <w:shd w:fill="CCEEFF" w:val="clear"/>
            <w:vAlign w:val="center"/>
          </w:tcPr>
          <w:p>
            <w:pPr>
              <w:pStyle w:val="TableContents"/>
              <w:bidi w:val="0"/>
              <w:spacing w:before="0" w:after="0"/>
              <w:ind w:left="0" w:right="0" w:hanging="0"/>
              <w:jc w:val="left"/>
              <w:rPr/>
            </w:pPr>
            <w:r>
              <w:rPr/>
              <w:t xml:space="preserve">  </w:t>
            </w:r>
          </w:p>
        </w:tc>
      </w:tr>
      <w:tr>
        <w:trPr/>
        <w:tc>
          <w:tcPr>
            <w:tcW w:w="6562"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2027 </w:t>
            </w:r>
          </w:p>
        </w:tc>
        <w:tc>
          <w:tcPr>
            <w:tcW w:w="329" w:type="dxa"/>
            <w:tcBorders/>
            <w:vAlign w:val="center"/>
          </w:tcPr>
          <w:p>
            <w:pPr>
              <w:pStyle w:val="TableContents"/>
              <w:bidi w:val="0"/>
              <w:spacing w:before="0" w:after="0"/>
              <w:ind w:left="0" w:right="0" w:hanging="0"/>
              <w:jc w:val="left"/>
              <w:rPr/>
            </w:pPr>
            <w:r>
              <w:rPr/>
              <w:t xml:space="preserve">  </w:t>
            </w:r>
          </w:p>
        </w:tc>
        <w:tc>
          <w:tcPr>
            <w:tcW w:w="467" w:type="dxa"/>
            <w:tcBorders/>
            <w:vAlign w:val="center"/>
          </w:tcPr>
          <w:p>
            <w:pPr>
              <w:pStyle w:val="TableContents"/>
              <w:bidi w:val="0"/>
              <w:spacing w:before="0" w:after="0"/>
              <w:ind w:left="0" w:right="0" w:hanging="0"/>
              <w:jc w:val="left"/>
              <w:rPr/>
            </w:pPr>
            <w:r>
              <w:rPr/>
              <w:t xml:space="preserve">  </w:t>
            </w:r>
          </w:p>
        </w:tc>
        <w:tc>
          <w:tcPr>
            <w:tcW w:w="145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216 </w:t>
            </w:r>
          </w:p>
        </w:tc>
        <w:tc>
          <w:tcPr>
            <w:tcW w:w="371" w:type="dxa"/>
            <w:tcBorders/>
            <w:vAlign w:val="center"/>
          </w:tcPr>
          <w:p>
            <w:pPr>
              <w:pStyle w:val="TableContents"/>
              <w:bidi w:val="0"/>
              <w:spacing w:before="0" w:after="0"/>
              <w:ind w:left="0" w:right="0" w:hanging="0"/>
              <w:jc w:val="left"/>
              <w:rPr/>
            </w:pPr>
            <w:r>
              <w:rPr/>
              <w:t xml:space="preserve">  </w:t>
            </w:r>
          </w:p>
        </w:tc>
      </w:tr>
      <w:tr>
        <w:trPr/>
        <w:tc>
          <w:tcPr>
            <w:tcW w:w="6562" w:type="dxa"/>
            <w:tcBorders/>
            <w:shd w:fill="CCEEFF" w:val="clear"/>
            <w:vAlign w:val="center"/>
          </w:tcPr>
          <w:p>
            <w:pPr>
              <w:pStyle w:val="TableContents"/>
              <w:bidi w:val="0"/>
              <w:spacing w:before="0" w:after="0"/>
              <w:jc w:val="left"/>
              <w:rPr/>
            </w:pPr>
            <w:r>
              <w:rPr/>
              <w:t>Thereafter</w:t>
            </w:r>
          </w:p>
        </w:tc>
        <w:tc>
          <w:tcPr>
            <w:tcW w:w="329" w:type="dxa"/>
            <w:tcBorders/>
            <w:shd w:fill="CCEEFF" w:val="clear"/>
            <w:vAlign w:val="center"/>
          </w:tcPr>
          <w:p>
            <w:pPr>
              <w:pStyle w:val="TableContents"/>
              <w:bidi w:val="0"/>
              <w:spacing w:before="0" w:after="283"/>
              <w:jc w:val="left"/>
              <w:rPr/>
            </w:pPr>
            <w:r>
              <w:rPr/>
            </w:r>
          </w:p>
        </w:tc>
        <w:tc>
          <w:tcPr>
            <w:tcW w:w="467" w:type="dxa"/>
            <w:tcBorders/>
            <w:shd w:fill="CCEEFF" w:val="clear"/>
            <w:vAlign w:val="center"/>
          </w:tcPr>
          <w:p>
            <w:pPr>
              <w:pStyle w:val="TableContents"/>
              <w:bidi w:val="0"/>
              <w:spacing w:before="0" w:after="283"/>
              <w:jc w:val="left"/>
              <w:rPr/>
            </w:pPr>
            <w:r>
              <w:rPr/>
            </w:r>
          </w:p>
        </w:tc>
        <w:tc>
          <w:tcPr>
            <w:tcW w:w="1455" w:type="dxa"/>
            <w:tcBorders/>
            <w:shd w:fill="CCEEFF" w:val="clear"/>
            <w:vAlign w:val="center"/>
          </w:tcPr>
          <w:p>
            <w:pPr>
              <w:pStyle w:val="TableContents"/>
              <w:bidi w:val="0"/>
              <w:spacing w:before="0" w:after="283"/>
              <w:jc w:val="right"/>
              <w:rPr/>
            </w:pPr>
            <w:r>
              <w:rPr/>
              <w:t>38</w:t>
            </w:r>
          </w:p>
        </w:tc>
        <w:tc>
          <w:tcPr>
            <w:tcW w:w="371" w:type="dxa"/>
            <w:tcBorders/>
            <w:shd w:fill="CCEEFF" w:val="clear"/>
            <w:vAlign w:val="center"/>
          </w:tcPr>
          <w:p>
            <w:pPr>
              <w:pStyle w:val="TableContents"/>
              <w:bidi w:val="0"/>
              <w:spacing w:before="0" w:after="283"/>
              <w:jc w:val="left"/>
              <w:rPr/>
            </w:pPr>
            <w:r>
              <w:rPr/>
            </w:r>
          </w:p>
        </w:tc>
      </w:tr>
      <w:tr>
        <w:trPr/>
        <w:tc>
          <w:tcPr>
            <w:tcW w:w="6562" w:type="dxa"/>
            <w:tcBorders/>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lease payments </w:t>
            </w:r>
          </w:p>
        </w:tc>
        <w:tc>
          <w:tcPr>
            <w:tcW w:w="329" w:type="dxa"/>
            <w:tcBorders/>
            <w:vAlign w:val="center"/>
          </w:tcPr>
          <w:p>
            <w:pPr>
              <w:pStyle w:val="TableContents"/>
              <w:bidi w:val="0"/>
              <w:spacing w:before="0" w:after="0"/>
              <w:ind w:left="0" w:right="0" w:hanging="0"/>
              <w:jc w:val="left"/>
              <w:rPr/>
            </w:pPr>
            <w:r>
              <w:rPr/>
              <w:t xml:space="preserve">  </w:t>
            </w:r>
          </w:p>
        </w:tc>
        <w:tc>
          <w:tcPr>
            <w:tcW w:w="467" w:type="dxa"/>
            <w:tcBorders/>
            <w:vAlign w:val="center"/>
          </w:tcPr>
          <w:p>
            <w:pPr>
              <w:pStyle w:val="TableContents"/>
              <w:bidi w:val="0"/>
              <w:spacing w:before="0" w:after="0"/>
              <w:ind w:left="0" w:right="0" w:hanging="0"/>
              <w:jc w:val="left"/>
              <w:rPr/>
            </w:pPr>
            <w:r>
              <w:rPr/>
              <w:t xml:space="preserve">  </w:t>
            </w:r>
          </w:p>
        </w:tc>
        <w:tc>
          <w:tcPr>
            <w:tcW w:w="145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1,289 </w:t>
            </w:r>
          </w:p>
        </w:tc>
        <w:tc>
          <w:tcPr>
            <w:tcW w:w="371" w:type="dxa"/>
            <w:tcBorders/>
            <w:vAlign w:val="center"/>
          </w:tcPr>
          <w:p>
            <w:pPr>
              <w:pStyle w:val="TableContents"/>
              <w:bidi w:val="0"/>
              <w:spacing w:before="0" w:after="0"/>
              <w:ind w:left="0" w:right="0" w:hanging="0"/>
              <w:jc w:val="left"/>
              <w:rPr/>
            </w:pPr>
            <w:r>
              <w:rPr/>
              <w:t xml:space="preserve">  </w:t>
            </w:r>
          </w:p>
        </w:tc>
      </w:tr>
      <w:tr>
        <w:trPr/>
        <w:tc>
          <w:tcPr>
            <w:tcW w:w="656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Less: Imputed interest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467" w:type="dxa"/>
            <w:tcBorders/>
            <w:shd w:fill="CCEEFF" w:val="clear"/>
            <w:vAlign w:val="center"/>
          </w:tcPr>
          <w:p>
            <w:pPr>
              <w:pStyle w:val="TableContents"/>
              <w:bidi w:val="0"/>
              <w:spacing w:before="0" w:after="0"/>
              <w:ind w:left="0" w:right="0" w:hanging="0"/>
              <w:jc w:val="left"/>
              <w:rPr/>
            </w:pPr>
            <w:r>
              <w:rPr/>
              <w:t xml:space="preserve">  </w:t>
            </w:r>
          </w:p>
        </w:tc>
        <w:tc>
          <w:tcPr>
            <w:tcW w:w="14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p>
        </w:tc>
        <w:tc>
          <w:tcPr>
            <w:tcW w:w="371" w:type="dxa"/>
            <w:tcBorders/>
            <w:shd w:fill="CCEEFF" w:val="clear"/>
            <w:vAlign w:val="center"/>
          </w:tcPr>
          <w:p>
            <w:pPr>
              <w:pStyle w:val="TableContents"/>
              <w:bidi w:val="0"/>
              <w:spacing w:before="0" w:after="283"/>
              <w:jc w:val="left"/>
              <w:rPr/>
            </w:pPr>
            <w:r>
              <w:rPr/>
              <w:t>)</w:t>
            </w:r>
          </w:p>
        </w:tc>
      </w:tr>
      <w:tr>
        <w:trPr/>
        <w:tc>
          <w:tcPr>
            <w:tcW w:w="6562" w:type="dxa"/>
            <w:tcBorders/>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w:t>
            </w:r>
          </w:p>
        </w:tc>
        <w:tc>
          <w:tcPr>
            <w:tcW w:w="329" w:type="dxa"/>
            <w:tcBorders/>
            <w:vAlign w:val="center"/>
          </w:tcPr>
          <w:p>
            <w:pPr>
              <w:pStyle w:val="TableContents"/>
              <w:bidi w:val="0"/>
              <w:spacing w:before="0" w:after="0"/>
              <w:ind w:left="0" w:right="0" w:hanging="0"/>
              <w:jc w:val="left"/>
              <w:rPr/>
            </w:pPr>
            <w:r>
              <w:rPr/>
              <w:t xml:space="preserve">  </w:t>
            </w:r>
          </w:p>
        </w:tc>
        <w:tc>
          <w:tcPr>
            <w:tcW w:w="4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5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1,145</w:t>
            </w:r>
          </w:p>
        </w:tc>
        <w:tc>
          <w:tcPr>
            <w:tcW w:w="37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144" w:right="144"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left"/>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Shareholders' Equity</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4270"/>
        <w:gridCol w:w="111"/>
        <w:gridCol w:w="247"/>
        <w:gridCol w:w="944"/>
        <w:gridCol w:w="175"/>
        <w:gridCol w:w="170"/>
        <w:gridCol w:w="247"/>
        <w:gridCol w:w="1033"/>
        <w:gridCol w:w="120"/>
        <w:gridCol w:w="23"/>
        <w:gridCol w:w="193"/>
        <w:gridCol w:w="1170"/>
        <w:gridCol w:w="147"/>
        <w:gridCol w:w="34"/>
        <w:gridCol w:w="193"/>
        <w:gridCol w:w="1008"/>
        <w:gridCol w:w="120"/>
      </w:tblGrid>
      <w:tr>
        <w:trPr/>
        <w:tc>
          <w:tcPr>
            <w:tcW w:w="4270" w:type="dxa"/>
            <w:tcBorders/>
            <w:vAlign w:val="center"/>
          </w:tcPr>
          <w:p>
            <w:pPr>
              <w:pStyle w:val="TableContents"/>
              <w:bidi w:val="0"/>
              <w:spacing w:before="0" w:after="0"/>
              <w:ind w:left="0" w:right="0" w:hanging="0"/>
              <w:jc w:val="left"/>
              <w:rPr/>
            </w:pPr>
            <w:r>
              <w:rPr/>
              <w:t xml:space="preserve">  </w:t>
            </w:r>
          </w:p>
        </w:tc>
        <w:tc>
          <w:tcPr>
            <w:tcW w:w="111" w:type="dxa"/>
            <w:tcBorders/>
            <w:vAlign w:val="center"/>
          </w:tcPr>
          <w:p>
            <w:pPr>
              <w:pStyle w:val="TableContents"/>
              <w:bidi w:val="0"/>
              <w:spacing w:before="0" w:after="0"/>
              <w:ind w:left="0" w:right="0" w:hanging="0"/>
              <w:jc w:val="left"/>
              <w:rPr/>
            </w:pPr>
            <w:r>
              <w:rPr/>
              <w:t xml:space="preserve">  </w:t>
            </w:r>
          </w:p>
        </w:tc>
        <w:tc>
          <w:tcPr>
            <w:tcW w:w="281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September 30,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45" w:type="dxa"/>
            <w:gridSpan w:val="6"/>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r>
              <w:rPr>
                <w:rFonts w:ascii="times new roman" w:hAnsi="times new roman"/>
                <w:b/>
                <w:color w:val="000000"/>
                <w:spacing w:val="0"/>
                <w:sz w:val="20"/>
              </w:rPr>
              <w:t>Nine Months Ended September 30,</w:t>
            </w:r>
          </w:p>
        </w:tc>
        <w:tc>
          <w:tcPr>
            <w:tcW w:w="120" w:type="dxa"/>
            <w:tcBorders/>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pPr>
            <w:r>
              <w:rPr/>
              <w:t xml:space="preserve">  </w:t>
            </w:r>
          </w:p>
        </w:tc>
        <w:tc>
          <w:tcPr>
            <w:tcW w:w="111" w:type="dxa"/>
            <w:tcBorders/>
            <w:vAlign w:val="center"/>
          </w:tcPr>
          <w:p>
            <w:pPr>
              <w:pStyle w:val="TableContents"/>
              <w:bidi w:val="0"/>
              <w:spacing w:before="0" w:after="0"/>
              <w:ind w:left="0" w:right="0" w:hanging="0"/>
              <w:jc w:val="left"/>
              <w:rPr/>
            </w:pPr>
            <w:r>
              <w:rPr/>
              <w:t xml:space="preserve">  </w:t>
            </w:r>
          </w:p>
        </w:tc>
        <w:tc>
          <w:tcPr>
            <w:tcW w:w="119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175" w:type="dxa"/>
            <w:tcBorders/>
            <w:vAlign w:val="center"/>
          </w:tcPr>
          <w:p>
            <w:pPr>
              <w:pStyle w:val="TableContents"/>
              <w:bidi w:val="0"/>
              <w:spacing w:before="0" w:after="0"/>
              <w:ind w:left="0" w:right="0" w:hanging="0"/>
              <w:jc w:val="center"/>
              <w:rPr/>
            </w:pPr>
            <w:r>
              <w:rPr/>
              <w:t xml:space="preserve">  </w:t>
            </w:r>
          </w:p>
        </w:tc>
        <w:tc>
          <w:tcPr>
            <w:tcW w:w="170" w:type="dxa"/>
            <w:tcBorders/>
            <w:vAlign w:val="center"/>
          </w:tcPr>
          <w:p>
            <w:pPr>
              <w:pStyle w:val="TableContents"/>
              <w:bidi w:val="0"/>
              <w:spacing w:before="0" w:after="0"/>
              <w:ind w:left="0" w:right="0" w:hanging="0"/>
              <w:jc w:val="center"/>
              <w:rPr/>
            </w:pPr>
            <w:r>
              <w:rPr/>
              <w:t xml:space="preserve">  </w:t>
            </w:r>
          </w:p>
        </w:tc>
        <w:tc>
          <w:tcPr>
            <w:tcW w:w="128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63" w:type="dxa"/>
            <w:gridSpan w:val="2"/>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r>
              <w:rPr>
                <w:rFonts w:ascii="times new roman" w:hAnsi="times new roman"/>
                <w:b/>
                <w:color w:val="000000"/>
                <w:spacing w:val="0"/>
                <w:sz w:val="20"/>
              </w:rPr>
              <w:t>2023</w:t>
            </w:r>
          </w:p>
        </w:tc>
        <w:tc>
          <w:tcPr>
            <w:tcW w:w="147" w:type="dxa"/>
            <w:tcBorders/>
            <w:vAlign w:val="center"/>
          </w:tcPr>
          <w:p>
            <w:pPr>
              <w:pStyle w:val="TableContents"/>
              <w:bidi w:val="0"/>
              <w:spacing w:before="0" w:after="283"/>
              <w:jc w:val="left"/>
              <w:rPr/>
            </w:pPr>
            <w:r>
              <w:rPr/>
            </w:r>
          </w:p>
        </w:tc>
        <w:tc>
          <w:tcPr>
            <w:tcW w:w="34" w:type="dxa"/>
            <w:tcBorders/>
            <w:vAlign w:val="center"/>
          </w:tcPr>
          <w:p>
            <w:pPr>
              <w:pStyle w:val="TableContents"/>
              <w:bidi w:val="0"/>
              <w:spacing w:before="0" w:after="283"/>
              <w:jc w:val="left"/>
              <w:rPr/>
            </w:pPr>
            <w:r>
              <w:rPr/>
            </w:r>
          </w:p>
        </w:tc>
        <w:tc>
          <w:tcPr>
            <w:tcW w:w="1201" w:type="dxa"/>
            <w:gridSpan w:val="2"/>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r>
              <w:rPr>
                <w:rFonts w:ascii="times new roman" w:hAnsi="times new roman"/>
                <w:b/>
                <w:color w:val="000000"/>
                <w:spacing w:val="0"/>
                <w:sz w:val="20"/>
              </w:rPr>
              <w:t>2022</w:t>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Common stock and additional paid-in capital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center"/>
          </w:tcPr>
          <w:p>
            <w:pPr>
              <w:pStyle w:val="TableContents"/>
              <w:bidi w:val="0"/>
              <w:spacing w:before="0" w:after="0"/>
              <w:ind w:left="0" w:right="0" w:hanging="0"/>
              <w:jc w:val="right"/>
              <w:rPr/>
            </w:pPr>
            <w:r>
              <w:rPr/>
              <w:t xml:space="preserve">  </w:t>
            </w:r>
          </w:p>
        </w:tc>
        <w:tc>
          <w:tcPr>
            <w:tcW w:w="17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1033" w:type="dxa"/>
            <w:tcBorders/>
            <w:shd w:fill="CCEEFF" w:val="clear"/>
            <w:vAlign w:val="center"/>
          </w:tcPr>
          <w:p>
            <w:pPr>
              <w:pStyle w:val="TableContents"/>
              <w:bidi w:val="0"/>
              <w:spacing w:before="0" w:after="0"/>
              <w:ind w:left="0" w:right="0" w:hanging="0"/>
              <w:jc w:val="right"/>
              <w:rPr/>
            </w:pPr>
            <w:r>
              <w:rPr/>
              <w:t xml:space="preserve">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93" w:type="dxa"/>
            <w:tcBorders/>
            <w:shd w:fill="CCEEFF" w:val="clear"/>
            <w:vAlign w:val="center"/>
          </w:tcPr>
          <w:p>
            <w:pPr>
              <w:pStyle w:val="TableContents"/>
              <w:bidi w:val="0"/>
              <w:spacing w:before="0" w:after="283"/>
              <w:jc w:val="left"/>
              <w:rPr/>
            </w:pPr>
            <w:r>
              <w:rPr/>
            </w:r>
          </w:p>
        </w:tc>
        <w:tc>
          <w:tcPr>
            <w:tcW w:w="1170"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c>
          <w:tcPr>
            <w:tcW w:w="34" w:type="dxa"/>
            <w:tcBorders/>
            <w:shd w:fill="CCEEFF" w:val="clear"/>
            <w:vAlign w:val="center"/>
          </w:tcPr>
          <w:p>
            <w:pPr>
              <w:pStyle w:val="TableContents"/>
              <w:bidi w:val="0"/>
              <w:spacing w:before="0" w:after="283"/>
              <w:jc w:val="left"/>
              <w:rPr/>
            </w:pPr>
            <w:r>
              <w:rPr/>
            </w:r>
          </w:p>
        </w:tc>
        <w:tc>
          <w:tcPr>
            <w:tcW w:w="193" w:type="dxa"/>
            <w:tcBorders/>
            <w:shd w:fill="CCEEFF" w:val="clear"/>
            <w:vAlign w:val="center"/>
          </w:tcPr>
          <w:p>
            <w:pPr>
              <w:pStyle w:val="TableContents"/>
              <w:bidi w:val="0"/>
              <w:spacing w:before="0" w:after="283"/>
              <w:jc w:val="left"/>
              <w:rPr/>
            </w:pPr>
            <w:r>
              <w:rPr/>
            </w:r>
          </w:p>
        </w:tc>
        <w:tc>
          <w:tcPr>
            <w:tcW w:w="1008"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46,003 </w:t>
            </w:r>
          </w:p>
        </w:tc>
        <w:tc>
          <w:tcPr>
            <w:tcW w:w="175" w:type="dxa"/>
            <w:tcBorders/>
            <w:vAlign w:val="bottom"/>
          </w:tcPr>
          <w:p>
            <w:pPr>
              <w:pStyle w:val="TableContents"/>
              <w:pBdr/>
              <w:bidi w:val="0"/>
              <w:spacing w:before="0" w:after="0"/>
              <w:ind w:left="0" w:right="0" w:hanging="0"/>
              <w:jc w:val="left"/>
              <w:rPr/>
            </w:pPr>
            <w:r>
              <w:rPr/>
              <w:t xml:space="preserve">  </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74,885 </w:t>
            </w:r>
          </w:p>
        </w:tc>
        <w:tc>
          <w:tcPr>
            <w:tcW w:w="120"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74,934</w:t>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72,817</w:t>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Dividends paid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r>
          </w:p>
        </w:tc>
        <w:tc>
          <w:tcPr>
            <w:tcW w:w="944" w:type="dxa"/>
            <w:tcBorders/>
            <w:shd w:fill="CCEEFF" w:val="clear"/>
            <w:vAlign w:val="bottom"/>
          </w:tcPr>
          <w:p>
            <w:pPr>
              <w:pStyle w:val="TableContents"/>
              <w:pBdr/>
              <w:bidi w:val="0"/>
              <w:spacing w:before="0" w:after="0"/>
              <w:ind w:left="0" w:right="0" w:hanging="0"/>
              <w:jc w:val="right"/>
              <w:rPr/>
            </w:pPr>
            <w:r>
              <w:rPr/>
              <w:t>—</w:t>
            </w:r>
          </w:p>
        </w:tc>
        <w:tc>
          <w:tcPr>
            <w:tcW w:w="17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r>
          </w:p>
        </w:tc>
        <w:tc>
          <w:tcPr>
            <w:tcW w:w="1033" w:type="dxa"/>
            <w:tcBorders/>
            <w:shd w:fill="CCEEFF" w:val="clear"/>
            <w:vAlign w:val="bottom"/>
          </w:tcPr>
          <w:p>
            <w:pPr>
              <w:pStyle w:val="TableContents"/>
              <w:pBdr/>
              <w:bidi w:val="0"/>
              <w:spacing w:before="0" w:after="0"/>
              <w:ind w:left="0" w:right="0" w:hanging="0"/>
              <w:jc w:val="right"/>
              <w:rPr/>
            </w:pPr>
            <w:r>
              <w:rPr/>
              <w:t xml:space="preserve">—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170" w:type="dxa"/>
            <w:tcBorders/>
            <w:shd w:fill="CCEEFF" w:val="clear"/>
            <w:vAlign w:val="bottom"/>
          </w:tcPr>
          <w:p>
            <w:pPr>
              <w:pStyle w:val="TableContents"/>
              <w:bidi w:val="0"/>
              <w:spacing w:before="0" w:after="0"/>
              <w:ind w:left="0" w:right="0" w:hanging="0"/>
              <w:jc w:val="right"/>
              <w:rPr/>
            </w:pPr>
            <w:r>
              <w:rPr/>
              <w:t>(28,979</w:t>
            </w:r>
          </w:p>
        </w:tc>
        <w:tc>
          <w:tcPr>
            <w:tcW w:w="147" w:type="dxa"/>
            <w:tcBorders/>
            <w:shd w:fill="CCEEFF" w:val="clear"/>
            <w:vAlign w:val="bottom"/>
          </w:tcPr>
          <w:p>
            <w:pPr>
              <w:pStyle w:val="TableContents"/>
              <w:bidi w:val="0"/>
              <w:spacing w:before="0" w:after="0"/>
              <w:ind w:left="0" w:right="0" w:hanging="0"/>
              <w:jc w:val="left"/>
              <w:rPr/>
            </w:pPr>
            <w:r>
              <w:rPr/>
              <w:t>)</w:t>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008" w:type="dxa"/>
            <w:tcBorders/>
            <w:shd w:fill="CCEEFF" w:val="clear"/>
            <w:vAlign w:val="bottom"/>
          </w:tcPr>
          <w:p>
            <w:pPr>
              <w:pStyle w:val="TableContents"/>
              <w:bidi w:val="0"/>
              <w:spacing w:before="0" w:after="0"/>
              <w:ind w:left="0" w:right="0" w:hanging="0"/>
              <w:jc w:val="right"/>
              <w:rPr/>
            </w:pPr>
            <w:r>
              <w:rPr/>
              <w:t>—</w:t>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283"/>
              <w:jc w:val="left"/>
              <w:rPr/>
            </w:pPr>
            <w:r>
              <w:rPr/>
              <w:t>Issuance of common stock and warrants, net</w:t>
            </w:r>
          </w:p>
        </w:tc>
        <w:tc>
          <w:tcPr>
            <w:tcW w:w="111"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ind w:left="0" w:right="0" w:hanging="0"/>
              <w:jc w:val="left"/>
              <w:rPr/>
            </w:pPr>
            <w:r>
              <w:rPr/>
            </w:r>
          </w:p>
        </w:tc>
        <w:tc>
          <w:tcPr>
            <w:tcW w:w="944" w:type="dxa"/>
            <w:tcBorders/>
            <w:vAlign w:val="bottom"/>
          </w:tcPr>
          <w:p>
            <w:pPr>
              <w:pStyle w:val="TableContents"/>
              <w:widowControl/>
              <w:bidi w:val="0"/>
              <w:spacing w:before="0" w:after="0"/>
              <w:ind w:left="0" w:right="0" w:hanging="0"/>
              <w:jc w:val="right"/>
              <w:rPr/>
            </w:pPr>
            <w:r>
              <w:rPr/>
              <w:t> </w:t>
            </w:r>
            <w:r>
              <w:rPr>
                <w:color w:val="000000"/>
                <w:spacing w:val="0"/>
              </w:rPr>
              <w:t>—</w:t>
            </w:r>
          </w:p>
        </w:tc>
        <w:tc>
          <w:tcPr>
            <w:tcW w:w="175" w:type="dxa"/>
            <w:tcBorders/>
            <w:vAlign w:val="bottom"/>
          </w:tcPr>
          <w:p>
            <w:pPr>
              <w:pStyle w:val="TableContents"/>
              <w:bidi w:val="0"/>
              <w:spacing w:before="0" w:after="283"/>
              <w:ind w:left="0" w:right="0" w:hanging="0"/>
              <w:jc w:val="left"/>
              <w:rPr/>
            </w:pPr>
            <w:r>
              <w:rPr/>
            </w:r>
          </w:p>
        </w:tc>
        <w:tc>
          <w:tcPr>
            <w:tcW w:w="170" w:type="dxa"/>
            <w:tcBorders/>
            <w:vAlign w:val="bottom"/>
          </w:tcPr>
          <w:p>
            <w:pPr>
              <w:pStyle w:val="TableContents"/>
              <w:bidi w:val="0"/>
              <w:spacing w:before="0" w:after="283"/>
              <w:ind w:left="0" w:right="0" w:hanging="0"/>
              <w:jc w:val="left"/>
              <w:rPr/>
            </w:pPr>
            <w:r>
              <w:rPr/>
            </w:r>
          </w:p>
        </w:tc>
        <w:tc>
          <w:tcPr>
            <w:tcW w:w="247" w:type="dxa"/>
            <w:tcBorders/>
            <w:vAlign w:val="bottom"/>
          </w:tcPr>
          <w:p>
            <w:pPr>
              <w:pStyle w:val="TableContents"/>
              <w:bidi w:val="0"/>
              <w:spacing w:before="0" w:after="283"/>
              <w:ind w:left="0" w:right="0" w:hanging="0"/>
              <w:jc w:val="left"/>
              <w:rPr/>
            </w:pPr>
            <w:r>
              <w:rPr/>
            </w:r>
          </w:p>
        </w:tc>
        <w:tc>
          <w:tcPr>
            <w:tcW w:w="1033" w:type="dxa"/>
            <w:tcBorders/>
            <w:vAlign w:val="bottom"/>
          </w:tcPr>
          <w:p>
            <w:pPr>
              <w:pStyle w:val="TableContents"/>
              <w:bidi w:val="0"/>
              <w:spacing w:before="0" w:after="0"/>
              <w:ind w:left="0" w:right="0" w:hanging="0"/>
              <w:jc w:val="right"/>
              <w:rPr/>
            </w:pPr>
            <w:r>
              <w:rPr/>
              <w:t>—</w:t>
            </w:r>
          </w:p>
        </w:tc>
        <w:tc>
          <w:tcPr>
            <w:tcW w:w="120" w:type="dxa"/>
            <w:tcBorders/>
            <w:vAlign w:val="bottom"/>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1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2,000</w:t>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80</w:t>
            </w:r>
          </w:p>
        </w:tc>
        <w:tc>
          <w:tcPr>
            <w:tcW w:w="147" w:type="dxa"/>
            <w:tcBorders/>
            <w:shd w:fill="CCEEFF" w:val="clear"/>
            <w:vAlign w:val="bottom"/>
          </w:tcPr>
          <w:p>
            <w:pPr>
              <w:pStyle w:val="TableContents"/>
              <w:bidi w:val="0"/>
              <w:spacing w:before="0" w:after="283"/>
              <w:ind w:left="0" w:right="0" w:hanging="0"/>
              <w:jc w:val="left"/>
              <w:rPr/>
            </w:pPr>
            <w:r>
              <w:rPr/>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90</w:t>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175" w:type="dxa"/>
            <w:tcBorders/>
            <w:vAlign w:val="bottom"/>
          </w:tcPr>
          <w:p>
            <w:pPr>
              <w:pStyle w:val="TableContents"/>
              <w:pBdr/>
              <w:bidi w:val="0"/>
              <w:spacing w:before="0" w:after="0"/>
              <w:ind w:left="0" w:right="0" w:hanging="0"/>
              <w:jc w:val="left"/>
              <w:rPr/>
            </w:pPr>
            <w:r>
              <w:rPr/>
              <w:t xml:space="preserve">  </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pPr>
            <w:r>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120"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4</w:t>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w:t>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46,039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74,910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46,039</w:t>
            </w:r>
          </w:p>
        </w:tc>
        <w:tc>
          <w:tcPr>
            <w:tcW w:w="147" w:type="dxa"/>
            <w:tcBorders/>
            <w:shd w:fill="CCEEFF" w:val="clear"/>
            <w:vAlign w:val="bottom"/>
          </w:tcPr>
          <w:p>
            <w:pPr>
              <w:pStyle w:val="TableContents"/>
              <w:bidi w:val="0"/>
              <w:spacing w:before="0" w:after="283"/>
              <w:ind w:left="0" w:right="0" w:hanging="0"/>
              <w:jc w:val="left"/>
              <w:rPr/>
            </w:pPr>
            <w:r>
              <w:rPr/>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74,910</w:t>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pPr>
            <w:r>
              <w:rPr/>
              <w:t xml:space="preserve">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944" w:type="dxa"/>
            <w:tcBorders/>
            <w:vAlign w:val="bottom"/>
          </w:tcPr>
          <w:p>
            <w:pPr>
              <w:pStyle w:val="TableContents"/>
              <w:pBdr/>
              <w:bidi w:val="0"/>
              <w:spacing w:before="0" w:after="0"/>
              <w:ind w:left="0" w:right="0" w:hanging="0"/>
              <w:jc w:val="right"/>
              <w:rPr/>
            </w:pPr>
            <w:r>
              <w:rPr/>
              <w:t xml:space="preserve">  </w:t>
            </w:r>
          </w:p>
        </w:tc>
        <w:tc>
          <w:tcPr>
            <w:tcW w:w="175" w:type="dxa"/>
            <w:tcBorders/>
            <w:vAlign w:val="bottom"/>
          </w:tcPr>
          <w:p>
            <w:pPr>
              <w:pStyle w:val="TableContents"/>
              <w:pBdr/>
              <w:bidi w:val="0"/>
              <w:spacing w:before="0" w:after="0"/>
              <w:ind w:left="0" w:right="0" w:hanging="0"/>
              <w:jc w:val="left"/>
              <w:rPr/>
            </w:pPr>
            <w:r>
              <w:rPr/>
              <w:t xml:space="preserve">  </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pPr>
            <w:r>
              <w:rPr/>
              <w:t xml:space="preserve">  </w:t>
            </w:r>
          </w:p>
        </w:tc>
        <w:tc>
          <w:tcPr>
            <w:tcW w:w="1033" w:type="dxa"/>
            <w:tcBorders/>
            <w:vAlign w:val="bottom"/>
          </w:tcPr>
          <w:p>
            <w:pPr>
              <w:pStyle w:val="TableContents"/>
              <w:pBdr/>
              <w:bidi w:val="0"/>
              <w:spacing w:before="0" w:after="0"/>
              <w:ind w:left="0" w:right="0" w:hanging="0"/>
              <w:jc w:val="right"/>
              <w:rPr/>
            </w:pPr>
            <w:r>
              <w:rPr/>
              <w:t xml:space="preserve">  </w:t>
            </w:r>
          </w:p>
        </w:tc>
        <w:tc>
          <w:tcPr>
            <w:tcW w:w="120"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170" w:type="dxa"/>
            <w:tcBorders/>
            <w:vAlign w:val="bottom"/>
          </w:tcPr>
          <w:p>
            <w:pPr>
              <w:pStyle w:val="TableContents"/>
              <w:bidi w:val="0"/>
              <w:spacing w:before="0" w:after="283"/>
              <w:ind w:left="0" w:right="0" w:hanging="0"/>
              <w:jc w:val="left"/>
              <w:rPr/>
            </w:pPr>
            <w:r>
              <w:rPr/>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008" w:type="dxa"/>
            <w:tcBorders/>
            <w:vAlign w:val="bottom"/>
          </w:tcPr>
          <w:p>
            <w:pPr>
              <w:pStyle w:val="TableContents"/>
              <w:bidi w:val="0"/>
              <w:spacing w:before="0" w:after="283"/>
              <w:ind w:left="0" w:right="0" w:hanging="0"/>
              <w:jc w:val="left"/>
              <w:rPr/>
            </w:pPr>
            <w:r>
              <w:rPr/>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other comprehensive loss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pPr>
            <w:r>
              <w:rPr/>
              <w:t xml:space="preserve">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bidi w:val="0"/>
              <w:spacing w:before="0" w:after="283"/>
              <w:ind w:left="0" w:right="0" w:hanging="0"/>
              <w:jc w:val="left"/>
              <w:rPr/>
            </w:pPr>
            <w:r>
              <w:rPr/>
            </w:r>
          </w:p>
        </w:tc>
        <w:tc>
          <w:tcPr>
            <w:tcW w:w="147" w:type="dxa"/>
            <w:tcBorders/>
            <w:shd w:fill="CCEEFF" w:val="clear"/>
            <w:vAlign w:val="bottom"/>
          </w:tcPr>
          <w:p>
            <w:pPr>
              <w:pStyle w:val="TableContents"/>
              <w:bidi w:val="0"/>
              <w:spacing w:before="0" w:after="283"/>
              <w:ind w:left="0" w:right="0" w:hanging="0"/>
              <w:jc w:val="left"/>
              <w:rPr/>
            </w:pPr>
            <w:r>
              <w:rPr/>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bidi w:val="0"/>
              <w:spacing w:before="0" w:after="283"/>
              <w:ind w:left="0" w:right="0" w:hanging="0"/>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(270</w:t>
            </w:r>
          </w:p>
        </w:tc>
        <w:tc>
          <w:tcPr>
            <w:tcW w:w="175" w:type="dxa"/>
            <w:tcBorders/>
            <w:vAlign w:val="bottom"/>
          </w:tcPr>
          <w:p>
            <w:pPr>
              <w:pStyle w:val="TableContents"/>
              <w:bidi w:val="0"/>
              <w:spacing w:before="0" w:after="0"/>
              <w:ind w:left="0" w:right="0" w:hanging="0"/>
              <w:jc w:val="left"/>
              <w:rPr/>
            </w:pPr>
            <w:r>
              <w:rPr/>
              <w:t>)</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(266 </w:t>
            </w:r>
          </w:p>
        </w:tc>
        <w:tc>
          <w:tcPr>
            <w:tcW w:w="12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(288</w:t>
            </w:r>
          </w:p>
        </w:tc>
        <w:tc>
          <w:tcPr>
            <w:tcW w:w="147" w:type="dxa"/>
            <w:tcBorders/>
            <w:vAlign w:val="bottom"/>
          </w:tcPr>
          <w:p>
            <w:pPr>
              <w:pStyle w:val="TableContents"/>
              <w:bidi w:val="0"/>
              <w:spacing w:before="0" w:after="0"/>
              <w:ind w:left="0" w:right="0" w:hanging="0"/>
              <w:jc w:val="left"/>
              <w:rPr/>
            </w:pPr>
            <w:r>
              <w:rPr/>
              <w:t>)</w:t>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(241</w:t>
            </w:r>
          </w:p>
        </w:tc>
        <w:tc>
          <w:tcPr>
            <w:tcW w:w="120" w:type="dxa"/>
            <w:tcBorders/>
            <w:vAlign w:val="center"/>
          </w:tcPr>
          <w:p>
            <w:pPr>
              <w:pStyle w:val="TableContents"/>
              <w:bidi w:val="0"/>
              <w:spacing w:before="0" w:after="0"/>
              <w:jc w:val="left"/>
              <w:rPr/>
            </w:pPr>
            <w:r>
              <w:rPr/>
              <w:t>)</w:t>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Unrealized loss on available-for-sale securities, net of tax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w:t>
            </w:r>
          </w:p>
        </w:tc>
        <w:tc>
          <w:tcPr>
            <w:tcW w:w="175" w:type="dxa"/>
            <w:tcBorders/>
            <w:shd w:fill="CCEEFF" w:val="clear"/>
            <w:vAlign w:val="bottom"/>
          </w:tcPr>
          <w:p>
            <w:pPr>
              <w:pStyle w:val="TableContents"/>
              <w:bidi w:val="0"/>
              <w:spacing w:before="0" w:after="0"/>
              <w:ind w:left="0" w:right="0" w:hanging="0"/>
              <w:jc w:val="left"/>
              <w:rPr/>
            </w:pPr>
            <w:r>
              <w:rPr/>
              <w:t>)</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pPr>
            <w:r>
              <w:rPr/>
              <w:t>—</w:t>
            </w:r>
          </w:p>
        </w:tc>
        <w:tc>
          <w:tcPr>
            <w:tcW w:w="12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(17</w:t>
            </w:r>
          </w:p>
        </w:tc>
        <w:tc>
          <w:tcPr>
            <w:tcW w:w="147" w:type="dxa"/>
            <w:tcBorders/>
            <w:shd w:fill="CCEEFF" w:val="clear"/>
            <w:vAlign w:val="bottom"/>
          </w:tcPr>
          <w:p>
            <w:pPr>
              <w:pStyle w:val="TableContents"/>
              <w:bidi w:val="0"/>
              <w:spacing w:before="0" w:after="0"/>
              <w:ind w:left="0" w:right="0" w:hanging="0"/>
              <w:jc w:val="left"/>
              <w:rPr/>
            </w:pPr>
            <w:r>
              <w:rPr/>
              <w:t>)</w:t>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w:t>
            </w:r>
          </w:p>
        </w:tc>
        <w:tc>
          <w:tcPr>
            <w:tcW w:w="120" w:type="dxa"/>
            <w:tcBorders/>
            <w:shd w:fill="CCEEFF" w:val="clear"/>
            <w:vAlign w:val="center"/>
          </w:tcPr>
          <w:p>
            <w:pPr>
              <w:pStyle w:val="TableContents"/>
              <w:bidi w:val="0"/>
              <w:spacing w:before="0" w:after="0"/>
              <w:jc w:val="left"/>
              <w:rPr/>
            </w:pPr>
            <w:r>
              <w:rPr/>
              <w:t>)</w:t>
            </w:r>
          </w:p>
        </w:tc>
      </w:tr>
      <w:tr>
        <w:trPr/>
        <w:tc>
          <w:tcPr>
            <w:tcW w:w="427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11" w:type="dxa"/>
            <w:tcBorders/>
            <w:vAlign w:val="bottom"/>
          </w:tcPr>
          <w:p>
            <w:pPr>
              <w:pStyle w:val="TableContents"/>
              <w:bidi w:val="0"/>
              <w:spacing w:before="0" w:after="0"/>
              <w:ind w:left="0" w:right="0" w:hanging="0"/>
              <w:jc w:val="left"/>
              <w:rPr/>
            </w:pPr>
            <w:r>
              <w:rPr/>
              <w:t xml:space="preserve">  </w:t>
            </w:r>
          </w:p>
        </w:tc>
        <w:tc>
          <w:tcPr>
            <w:tcW w:w="247" w:type="dxa"/>
            <w:tcBorders/>
            <w:vAlign w:val="bottom"/>
          </w:tcPr>
          <w:p>
            <w:pPr>
              <w:pStyle w:val="TableContents"/>
              <w:bidi w:val="0"/>
              <w:spacing w:before="0" w:after="0"/>
              <w:ind w:left="0" w:right="0" w:hanging="0"/>
              <w:jc w:val="left"/>
              <w:rPr/>
            </w:pPr>
            <w:r>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75" w:type="dxa"/>
            <w:tcBorders/>
            <w:vAlign w:val="bottom"/>
          </w:tcPr>
          <w:p>
            <w:pPr>
              <w:pStyle w:val="TableContents"/>
              <w:bidi w:val="0"/>
              <w:spacing w:before="0" w:after="0"/>
              <w:ind w:left="0" w:right="0" w:hanging="0"/>
              <w:jc w:val="left"/>
              <w:rPr/>
            </w:pPr>
            <w:r>
              <w:rPr/>
              <w:t>)</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pPr>
            <w:r>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20" w:type="dxa"/>
            <w:tcBorders/>
            <w:vAlign w:val="bottom"/>
          </w:tcPr>
          <w:p>
            <w:pPr>
              <w:pStyle w:val="TableContents"/>
              <w:bidi w:val="0"/>
              <w:spacing w:before="0" w:after="0"/>
              <w:ind w:left="0" w:right="0" w:hanging="0"/>
              <w:jc w:val="left"/>
              <w:rPr/>
            </w:pPr>
            <w:r>
              <w:rPr/>
              <w:t>)</w:t>
            </w:r>
          </w:p>
        </w:tc>
        <w:tc>
          <w:tcPr>
            <w:tcW w:w="23"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w:t>
            </w:r>
          </w:p>
        </w:tc>
        <w:tc>
          <w:tcPr>
            <w:tcW w:w="147" w:type="dxa"/>
            <w:tcBorders/>
            <w:vAlign w:val="bottom"/>
          </w:tcPr>
          <w:p>
            <w:pPr>
              <w:pStyle w:val="TableContents"/>
              <w:bidi w:val="0"/>
              <w:spacing w:before="0" w:after="0"/>
              <w:ind w:left="0" w:right="0" w:hanging="0"/>
              <w:jc w:val="left"/>
              <w:rPr/>
            </w:pPr>
            <w:r>
              <w:rPr/>
              <w:t>)</w:t>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(45</w:t>
            </w:r>
          </w:p>
        </w:tc>
        <w:tc>
          <w:tcPr>
            <w:tcW w:w="120" w:type="dxa"/>
            <w:tcBorders/>
            <w:vAlign w:val="bottom"/>
          </w:tcPr>
          <w:p>
            <w:pPr>
              <w:pStyle w:val="TableContents"/>
              <w:bidi w:val="0"/>
              <w:spacing w:before="0" w:after="0"/>
              <w:jc w:val="left"/>
              <w:rPr/>
            </w:pPr>
            <w:r>
              <w:rPr/>
              <w:t>)</w:t>
            </w:r>
          </w:p>
        </w:tc>
      </w:tr>
      <w:tr>
        <w:trPr/>
        <w:tc>
          <w:tcPr>
            <w:tcW w:w="42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1" w:type="dxa"/>
            <w:tcBorders/>
            <w:shd w:fill="CCEEFF" w:val="clear"/>
            <w:vAlign w:val="bottom"/>
          </w:tcPr>
          <w:p>
            <w:pPr>
              <w:pStyle w:val="TableContents"/>
              <w:bidi w:val="0"/>
              <w:spacing w:before="0" w:after="0"/>
              <w:ind w:left="0" w:right="0" w:hanging="0"/>
              <w:jc w:val="left"/>
              <w:rPr/>
            </w:pPr>
            <w:r>
              <w:rPr/>
              <w:t xml:space="preserve">  </w:t>
            </w:r>
          </w:p>
        </w:tc>
        <w:tc>
          <w:tcPr>
            <w:tcW w:w="24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(308</w:t>
            </w:r>
          </w:p>
        </w:tc>
        <w:tc>
          <w:tcPr>
            <w:tcW w:w="175" w:type="dxa"/>
            <w:tcBorders/>
            <w:shd w:fill="CCEEFF" w:val="clear"/>
            <w:vAlign w:val="bottom"/>
          </w:tcPr>
          <w:p>
            <w:pPr>
              <w:pStyle w:val="TableContents"/>
              <w:bidi w:val="0"/>
              <w:spacing w:before="0" w:after="0"/>
              <w:ind w:left="0" w:right="0" w:hanging="0"/>
              <w:jc w:val="left"/>
              <w:rPr/>
            </w:pPr>
            <w:r>
              <w:rPr/>
              <w:t>)</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(288 </w:t>
            </w:r>
          </w:p>
        </w:tc>
        <w:tc>
          <w:tcPr>
            <w:tcW w:w="1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(308</w:t>
            </w:r>
          </w:p>
        </w:tc>
        <w:tc>
          <w:tcPr>
            <w:tcW w:w="147" w:type="dxa"/>
            <w:tcBorders/>
            <w:shd w:fill="CCEEFF" w:val="clear"/>
            <w:vAlign w:val="bottom"/>
          </w:tcPr>
          <w:p>
            <w:pPr>
              <w:pStyle w:val="TableContents"/>
              <w:bidi w:val="0"/>
              <w:spacing w:before="0" w:after="0"/>
              <w:ind w:left="0" w:right="0" w:hanging="0"/>
              <w:jc w:val="left"/>
              <w:rPr/>
            </w:pPr>
            <w:r>
              <w:rPr/>
              <w:t>)</w:t>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(288</w:t>
            </w:r>
          </w:p>
        </w:tc>
        <w:tc>
          <w:tcPr>
            <w:tcW w:w="120" w:type="dxa"/>
            <w:tcBorders/>
            <w:shd w:fill="CCEEFF" w:val="clear"/>
            <w:vAlign w:val="bottom"/>
          </w:tcPr>
          <w:p>
            <w:pPr>
              <w:pStyle w:val="TableContents"/>
              <w:bidi w:val="0"/>
              <w:spacing w:before="0" w:after="0"/>
              <w:jc w:val="left"/>
              <w:rPr/>
            </w:pPr>
            <w:r>
              <w:rPr/>
              <w:t>)</w:t>
            </w:r>
          </w:p>
        </w:tc>
      </w:tr>
      <w:tr>
        <w:trPr/>
        <w:tc>
          <w:tcPr>
            <w:tcW w:w="4270" w:type="dxa"/>
            <w:tcBorders/>
            <w:vAlign w:val="center"/>
          </w:tcPr>
          <w:p>
            <w:pPr>
              <w:pStyle w:val="TableContents"/>
              <w:bidi w:val="0"/>
              <w:spacing w:before="0" w:after="0"/>
              <w:ind w:left="0" w:right="0" w:hanging="0"/>
              <w:jc w:val="left"/>
              <w:rPr/>
            </w:pPr>
            <w:r>
              <w:rPr/>
              <w:t xml:space="preserve">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pPr>
            <w:r>
              <w:rPr/>
              <w:t xml:space="preserve">  </w:t>
            </w:r>
          </w:p>
        </w:tc>
        <w:tc>
          <w:tcPr>
            <w:tcW w:w="944" w:type="dxa"/>
            <w:tcBorders/>
            <w:vAlign w:val="bottom"/>
          </w:tcPr>
          <w:p>
            <w:pPr>
              <w:pStyle w:val="TableContents"/>
              <w:pBdr/>
              <w:bidi w:val="0"/>
              <w:spacing w:before="0" w:after="0"/>
              <w:ind w:left="0" w:right="0" w:hanging="0"/>
              <w:jc w:val="right"/>
              <w:rPr/>
            </w:pPr>
            <w:r>
              <w:rPr/>
              <w:t xml:space="preserve">  </w:t>
            </w:r>
          </w:p>
        </w:tc>
        <w:tc>
          <w:tcPr>
            <w:tcW w:w="175" w:type="dxa"/>
            <w:tcBorders/>
            <w:vAlign w:val="bottom"/>
          </w:tcPr>
          <w:p>
            <w:pPr>
              <w:pStyle w:val="TableContents"/>
              <w:pBdr/>
              <w:bidi w:val="0"/>
              <w:spacing w:before="0" w:after="0"/>
              <w:ind w:left="0" w:right="0" w:hanging="0"/>
              <w:jc w:val="left"/>
              <w:rPr/>
            </w:pPr>
            <w:r>
              <w:rPr/>
              <w:t xml:space="preserve">  </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pPr>
            <w:r>
              <w:rPr/>
              <w:t xml:space="preserve">  </w:t>
            </w:r>
          </w:p>
        </w:tc>
        <w:tc>
          <w:tcPr>
            <w:tcW w:w="1033" w:type="dxa"/>
            <w:tcBorders/>
            <w:vAlign w:val="bottom"/>
          </w:tcPr>
          <w:p>
            <w:pPr>
              <w:pStyle w:val="TableContents"/>
              <w:pBdr/>
              <w:bidi w:val="0"/>
              <w:spacing w:before="0" w:after="0"/>
              <w:ind w:left="0" w:right="0" w:hanging="0"/>
              <w:jc w:val="right"/>
              <w:rPr/>
            </w:pPr>
            <w:r>
              <w:rPr/>
              <w:t xml:space="preserve">  </w:t>
            </w:r>
          </w:p>
        </w:tc>
        <w:tc>
          <w:tcPr>
            <w:tcW w:w="120"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170" w:type="dxa"/>
            <w:tcBorders/>
            <w:vAlign w:val="bottom"/>
          </w:tcPr>
          <w:p>
            <w:pPr>
              <w:pStyle w:val="TableContents"/>
              <w:bidi w:val="0"/>
              <w:spacing w:before="0" w:after="283"/>
              <w:ind w:left="0" w:right="0" w:hanging="0"/>
              <w:jc w:val="left"/>
              <w:rPr/>
            </w:pPr>
            <w:r>
              <w:rPr/>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bidi w:val="0"/>
              <w:spacing w:before="0" w:after="283"/>
              <w:ind w:left="0" w:right="0" w:hanging="0"/>
              <w:jc w:val="left"/>
              <w:rPr/>
            </w:pPr>
            <w:r>
              <w:rPr/>
            </w:r>
          </w:p>
        </w:tc>
        <w:tc>
          <w:tcPr>
            <w:tcW w:w="1008" w:type="dxa"/>
            <w:tcBorders/>
            <w:vAlign w:val="bottom"/>
          </w:tcPr>
          <w:p>
            <w:pPr>
              <w:pStyle w:val="TableContents"/>
              <w:bidi w:val="0"/>
              <w:spacing w:before="0" w:after="283"/>
              <w:ind w:left="0" w:right="0" w:hanging="0"/>
              <w:jc w:val="left"/>
              <w:rPr/>
            </w:pPr>
            <w:r>
              <w:rPr/>
            </w:r>
          </w:p>
        </w:tc>
        <w:tc>
          <w:tcPr>
            <w:tcW w:w="120" w:type="dxa"/>
            <w:tcBorders/>
            <w:vAlign w:val="center"/>
          </w:tcPr>
          <w:p>
            <w:pPr>
              <w:pStyle w:val="TableContents"/>
              <w:bidi w:val="0"/>
              <w:spacing w:before="0" w:after="283"/>
              <w:jc w:val="left"/>
              <w:rPr/>
            </w:pPr>
            <w:r>
              <w:rPr/>
            </w:r>
          </w:p>
        </w:tc>
      </w:tr>
      <w:tr>
        <w:trPr/>
        <w:tc>
          <w:tcPr>
            <w:tcW w:w="427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pPr>
            <w:r>
              <w:rPr/>
              <w:t xml:space="preserve">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bidi w:val="0"/>
              <w:spacing w:before="0" w:after="283"/>
              <w:ind w:left="0" w:right="0" w:hanging="0"/>
              <w:jc w:val="left"/>
              <w:rPr/>
            </w:pPr>
            <w:r>
              <w:rPr/>
            </w:r>
          </w:p>
        </w:tc>
        <w:tc>
          <w:tcPr>
            <w:tcW w:w="147" w:type="dxa"/>
            <w:tcBorders/>
            <w:shd w:fill="CCEEFF" w:val="clear"/>
            <w:vAlign w:val="bottom"/>
          </w:tcPr>
          <w:p>
            <w:pPr>
              <w:pStyle w:val="TableContents"/>
              <w:bidi w:val="0"/>
              <w:spacing w:before="0" w:after="283"/>
              <w:ind w:left="0" w:right="0" w:hanging="0"/>
              <w:jc w:val="left"/>
              <w:rPr/>
            </w:pPr>
            <w:r>
              <w:rPr/>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bidi w:val="0"/>
              <w:spacing w:before="0" w:after="283"/>
              <w:ind w:left="0" w:right="0" w:hanging="0"/>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(2,367</w:t>
            </w:r>
          </w:p>
        </w:tc>
        <w:tc>
          <w:tcPr>
            <w:tcW w:w="175" w:type="dxa"/>
            <w:tcBorders/>
            <w:vAlign w:val="bottom"/>
          </w:tcPr>
          <w:p>
            <w:pPr>
              <w:pStyle w:val="TableContents"/>
              <w:bidi w:val="0"/>
              <w:spacing w:before="0" w:after="0"/>
              <w:ind w:left="0" w:right="0" w:hanging="0"/>
              <w:jc w:val="left"/>
              <w:rPr/>
            </w:pPr>
            <w:r>
              <w:rPr/>
              <w:t>)</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(23,296</w:t>
            </w:r>
          </w:p>
        </w:tc>
        <w:tc>
          <w:tcPr>
            <w:tcW w:w="120"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(516</w:t>
            </w:r>
          </w:p>
        </w:tc>
        <w:tc>
          <w:tcPr>
            <w:tcW w:w="147" w:type="dxa"/>
            <w:tcBorders/>
            <w:vAlign w:val="bottom"/>
          </w:tcPr>
          <w:p>
            <w:pPr>
              <w:pStyle w:val="TableContents"/>
              <w:bidi w:val="0"/>
              <w:spacing w:before="0" w:after="0"/>
              <w:ind w:left="0" w:right="0" w:hanging="0"/>
              <w:jc w:val="left"/>
              <w:rPr/>
            </w:pPr>
            <w:r>
              <w:rPr/>
              <w:t>)</w:t>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(21,072</w:t>
            </w:r>
          </w:p>
        </w:tc>
        <w:tc>
          <w:tcPr>
            <w:tcW w:w="120" w:type="dxa"/>
            <w:tcBorders/>
            <w:vAlign w:val="center"/>
          </w:tcPr>
          <w:p>
            <w:pPr>
              <w:pStyle w:val="TableContents"/>
              <w:bidi w:val="0"/>
              <w:spacing w:before="0" w:after="0"/>
              <w:jc w:val="left"/>
              <w:rPr/>
            </w:pPr>
            <w:r>
              <w:rPr/>
              <w:t>)</w:t>
            </w:r>
          </w:p>
        </w:tc>
      </w:tr>
      <w:tr>
        <w:trPr/>
        <w:tc>
          <w:tcPr>
            <w:tcW w:w="42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11" w:type="dxa"/>
            <w:tcBorders/>
            <w:shd w:fill="CCEEFF" w:val="clear"/>
            <w:vAlign w:val="bottom"/>
          </w:tcPr>
          <w:p>
            <w:pPr>
              <w:pStyle w:val="TableContents"/>
              <w:bidi w:val="0"/>
              <w:spacing w:before="0" w:after="0"/>
              <w:ind w:left="0" w:right="0" w:hanging="0"/>
              <w:jc w:val="left"/>
              <w:rPr/>
            </w:pPr>
            <w:r>
              <w:rPr/>
              <w:t xml:space="preserve">  </w:t>
            </w:r>
          </w:p>
        </w:tc>
        <w:tc>
          <w:tcPr>
            <w:tcW w:w="247" w:type="dxa"/>
            <w:tcBorders/>
            <w:shd w:fill="CCEEFF" w:val="clear"/>
            <w:vAlign w:val="bottom"/>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(1,351</w:t>
            </w:r>
          </w:p>
        </w:tc>
        <w:tc>
          <w:tcPr>
            <w:tcW w:w="175" w:type="dxa"/>
            <w:tcBorders/>
            <w:shd w:fill="CCEEFF" w:val="clear"/>
            <w:vAlign w:val="bottom"/>
          </w:tcPr>
          <w:p>
            <w:pPr>
              <w:pStyle w:val="TableContents"/>
              <w:bidi w:val="0"/>
              <w:spacing w:before="0" w:after="0"/>
              <w:ind w:left="0" w:right="0" w:hanging="0"/>
              <w:jc w:val="left"/>
              <w:rPr/>
            </w:pPr>
            <w:r>
              <w:rPr/>
              <w:t>)</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(1,248 </w:t>
            </w:r>
          </w:p>
        </w:tc>
        <w:tc>
          <w:tcPr>
            <w:tcW w:w="1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(3,202</w:t>
            </w:r>
          </w:p>
        </w:tc>
        <w:tc>
          <w:tcPr>
            <w:tcW w:w="147" w:type="dxa"/>
            <w:tcBorders/>
            <w:shd w:fill="CCEEFF" w:val="clear"/>
            <w:vAlign w:val="bottom"/>
          </w:tcPr>
          <w:p>
            <w:pPr>
              <w:pStyle w:val="TableContents"/>
              <w:bidi w:val="0"/>
              <w:spacing w:before="0" w:after="0"/>
              <w:ind w:left="0" w:right="0" w:hanging="0"/>
              <w:jc w:val="left"/>
              <w:rPr/>
            </w:pPr>
            <w:r>
              <w:rPr/>
              <w:t>)</w:t>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(3,472</w:t>
            </w:r>
          </w:p>
        </w:tc>
        <w:tc>
          <w:tcPr>
            <w:tcW w:w="120" w:type="dxa"/>
            <w:tcBorders/>
            <w:shd w:fill="CCEEFF" w:val="clear"/>
            <w:vAlign w:val="bottom"/>
          </w:tcPr>
          <w:p>
            <w:pPr>
              <w:pStyle w:val="TableContents"/>
              <w:bidi w:val="0"/>
              <w:spacing w:before="0" w:after="0"/>
              <w:jc w:val="left"/>
              <w:rPr/>
            </w:pPr>
            <w:r>
              <w:rPr/>
              <w:t>)</w:t>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(3,718</w:t>
            </w:r>
          </w:p>
        </w:tc>
        <w:tc>
          <w:tcPr>
            <w:tcW w:w="175" w:type="dxa"/>
            <w:tcBorders/>
            <w:vAlign w:val="bottom"/>
          </w:tcPr>
          <w:p>
            <w:pPr>
              <w:pStyle w:val="TableContents"/>
              <w:bidi w:val="0"/>
              <w:spacing w:before="0" w:after="0"/>
              <w:ind w:left="0" w:right="0" w:hanging="0"/>
              <w:jc w:val="left"/>
              <w:rPr/>
            </w:pPr>
            <w:r>
              <w:rPr/>
              <w:t>)</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(24,544 </w:t>
            </w:r>
          </w:p>
        </w:tc>
        <w:tc>
          <w:tcPr>
            <w:tcW w:w="12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(3,718</w:t>
            </w:r>
          </w:p>
        </w:tc>
        <w:tc>
          <w:tcPr>
            <w:tcW w:w="147" w:type="dxa"/>
            <w:tcBorders/>
            <w:vAlign w:val="bottom"/>
          </w:tcPr>
          <w:p>
            <w:pPr>
              <w:pStyle w:val="TableContents"/>
              <w:bidi w:val="0"/>
              <w:spacing w:before="0" w:after="0"/>
              <w:ind w:left="0" w:right="0" w:hanging="0"/>
              <w:jc w:val="left"/>
              <w:rPr/>
            </w:pPr>
            <w:r>
              <w:rPr/>
              <w:t>)</w:t>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(24,544</w:t>
            </w:r>
          </w:p>
        </w:tc>
        <w:tc>
          <w:tcPr>
            <w:tcW w:w="120" w:type="dxa"/>
            <w:tcBorders/>
            <w:vAlign w:val="center"/>
          </w:tcPr>
          <w:p>
            <w:pPr>
              <w:pStyle w:val="TableContents"/>
              <w:bidi w:val="0"/>
              <w:spacing w:before="0" w:after="0"/>
              <w:jc w:val="left"/>
              <w:rPr/>
            </w:pPr>
            <w:r>
              <w:rPr/>
              <w:t>)</w:t>
            </w:r>
          </w:p>
        </w:tc>
      </w:tr>
      <w:tr>
        <w:trPr/>
        <w:tc>
          <w:tcPr>
            <w:tcW w:w="4270" w:type="dxa"/>
            <w:tcBorders/>
            <w:shd w:fill="CCEEFF" w:val="clear"/>
            <w:vAlign w:val="center"/>
          </w:tcPr>
          <w:p>
            <w:pPr>
              <w:pStyle w:val="TableContents"/>
              <w:bidi w:val="0"/>
              <w:spacing w:before="0" w:after="0"/>
              <w:ind w:left="0" w:right="0" w:hanging="0"/>
              <w:jc w:val="left"/>
              <w:rPr/>
            </w:pPr>
            <w:r>
              <w:rPr/>
              <w:t xml:space="preserve">  </w:t>
            </w:r>
          </w:p>
        </w:tc>
        <w:tc>
          <w:tcPr>
            <w:tcW w:w="111" w:type="dxa"/>
            <w:tcBorders/>
            <w:shd w:fill="CCEEFF" w:val="clear"/>
            <w:vAlign w:val="center"/>
          </w:tcPr>
          <w:p>
            <w:pPr>
              <w:pStyle w:val="TableContents"/>
              <w:bidi w:val="0"/>
              <w:spacing w:before="0" w:after="0"/>
              <w:ind w:left="0" w:right="0" w:hanging="0"/>
              <w:jc w:val="left"/>
              <w:rPr/>
            </w:pPr>
            <w:r>
              <w:rPr/>
              <w:t xml:space="preserve">  </w:t>
            </w:r>
          </w:p>
        </w:tc>
        <w:tc>
          <w:tcPr>
            <w:tcW w:w="247" w:type="dxa"/>
            <w:tcBorders/>
            <w:shd w:fill="CCEEFF" w:val="clear"/>
            <w:vAlign w:val="center"/>
          </w:tcPr>
          <w:p>
            <w:pPr>
              <w:pStyle w:val="TableContents"/>
              <w:bidi w:val="0"/>
              <w:spacing w:before="0" w:after="0"/>
              <w:ind w:left="0" w:right="0" w:hanging="0"/>
              <w:jc w:val="left"/>
              <w:rPr/>
            </w:pPr>
            <w:r>
              <w:rPr/>
              <w:t xml:space="preserve">  </w:t>
            </w:r>
          </w:p>
        </w:tc>
        <w:tc>
          <w:tcPr>
            <w:tcW w:w="944"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c>
          <w:tcPr>
            <w:tcW w:w="170" w:type="dxa"/>
            <w:tcBorders/>
            <w:shd w:fill="CCEEFF" w:val="clear"/>
            <w:vAlign w:val="bottom"/>
          </w:tcPr>
          <w:p>
            <w:pPr>
              <w:pStyle w:val="TableContents"/>
              <w:pBdr/>
              <w:bidi w:val="0"/>
              <w:spacing w:before="0" w:after="0"/>
              <w:ind w:left="0" w:right="0" w:hanging="0"/>
              <w:jc w:val="left"/>
              <w:rPr/>
            </w:pPr>
            <w:r>
              <w:rPr/>
              <w:t xml:space="preserve">  </w:t>
            </w:r>
          </w:p>
        </w:tc>
        <w:tc>
          <w:tcPr>
            <w:tcW w:w="247" w:type="dxa"/>
            <w:tcBorders/>
            <w:shd w:fill="CCEEFF" w:val="clear"/>
            <w:vAlign w:val="bottom"/>
          </w:tcPr>
          <w:p>
            <w:pPr>
              <w:pStyle w:val="TableContents"/>
              <w:pBdr/>
              <w:bidi w:val="0"/>
              <w:spacing w:before="0" w:after="0"/>
              <w:ind w:left="0" w:right="0" w:hanging="0"/>
              <w:jc w:val="left"/>
              <w:rPr/>
            </w:pPr>
            <w:r>
              <w:rPr/>
              <w:t xml:space="preserve">  </w:t>
            </w:r>
          </w:p>
        </w:tc>
        <w:tc>
          <w:tcPr>
            <w:tcW w:w="1033" w:type="dxa"/>
            <w:tcBorders/>
            <w:shd w:fill="CCEEFF" w:val="clear"/>
            <w:vAlign w:val="bottom"/>
          </w:tcPr>
          <w:p>
            <w:pPr>
              <w:pStyle w:val="TableContents"/>
              <w:pBdr/>
              <w:bidi w:val="0"/>
              <w:spacing w:before="0" w:after="0"/>
              <w:ind w:left="0" w:right="0" w:hanging="0"/>
              <w:jc w:val="right"/>
              <w:rPr/>
            </w:pPr>
            <w:r>
              <w:rPr/>
              <w:t xml:space="preserve">  </w:t>
            </w:r>
          </w:p>
        </w:tc>
        <w:tc>
          <w:tcPr>
            <w:tcW w:w="120"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170" w:type="dxa"/>
            <w:tcBorders/>
            <w:shd w:fill="CCEEFF" w:val="clear"/>
            <w:vAlign w:val="bottom"/>
          </w:tcPr>
          <w:p>
            <w:pPr>
              <w:pStyle w:val="TableContents"/>
              <w:bidi w:val="0"/>
              <w:spacing w:before="0" w:after="283"/>
              <w:ind w:left="0" w:right="0" w:hanging="0"/>
              <w:jc w:val="left"/>
              <w:rPr/>
            </w:pPr>
            <w:r>
              <w:rPr/>
            </w:r>
          </w:p>
        </w:tc>
        <w:tc>
          <w:tcPr>
            <w:tcW w:w="147" w:type="dxa"/>
            <w:tcBorders/>
            <w:shd w:fill="CCEEFF" w:val="clear"/>
            <w:vAlign w:val="bottom"/>
          </w:tcPr>
          <w:p>
            <w:pPr>
              <w:pStyle w:val="TableContents"/>
              <w:bidi w:val="0"/>
              <w:spacing w:before="0" w:after="283"/>
              <w:ind w:left="0" w:right="0" w:hanging="0"/>
              <w:jc w:val="left"/>
              <w:rPr/>
            </w:pPr>
            <w:r>
              <w:rPr/>
            </w:r>
          </w:p>
        </w:tc>
        <w:tc>
          <w:tcPr>
            <w:tcW w:w="34" w:type="dxa"/>
            <w:tcBorders/>
            <w:shd w:fill="CCEEFF" w:val="clear"/>
            <w:vAlign w:val="bottom"/>
          </w:tcPr>
          <w:p>
            <w:pPr>
              <w:pStyle w:val="TableContents"/>
              <w:bidi w:val="0"/>
              <w:spacing w:before="0" w:after="283"/>
              <w:ind w:left="0" w:right="0" w:hanging="0"/>
              <w:jc w:val="left"/>
              <w:rPr/>
            </w:pPr>
            <w:r>
              <w:rPr/>
            </w:r>
          </w:p>
        </w:tc>
        <w:tc>
          <w:tcPr>
            <w:tcW w:w="193" w:type="dxa"/>
            <w:tcBorders/>
            <w:shd w:fill="CCEEFF" w:val="clear"/>
            <w:vAlign w:val="bottom"/>
          </w:tcPr>
          <w:p>
            <w:pPr>
              <w:pStyle w:val="TableContents"/>
              <w:bidi w:val="0"/>
              <w:spacing w:before="0" w:after="283"/>
              <w:ind w:left="0" w:right="0" w:hanging="0"/>
              <w:jc w:val="left"/>
              <w:rPr/>
            </w:pPr>
            <w:r>
              <w:rPr/>
            </w:r>
          </w:p>
        </w:tc>
        <w:tc>
          <w:tcPr>
            <w:tcW w:w="1008" w:type="dxa"/>
            <w:tcBorders/>
            <w:shd w:fill="CCEEFF" w:val="clear"/>
            <w:vAlign w:val="bottom"/>
          </w:tcPr>
          <w:p>
            <w:pPr>
              <w:pStyle w:val="TableContents"/>
              <w:bidi w:val="0"/>
              <w:spacing w:before="0" w:after="283"/>
              <w:ind w:left="0" w:right="0" w:hanging="0"/>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11" w:type="dxa"/>
            <w:tcBorders/>
            <w:vAlign w:val="center"/>
          </w:tcPr>
          <w:p>
            <w:pPr>
              <w:pStyle w:val="TableContents"/>
              <w:bidi w:val="0"/>
              <w:spacing w:before="0" w:after="0"/>
              <w:ind w:left="0" w:right="0" w:hanging="0"/>
              <w:jc w:val="left"/>
              <w:rPr/>
            </w:pPr>
            <w:r>
              <w:rPr/>
              <w:t xml:space="preserve">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4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42,013</w:t>
            </w:r>
          </w:p>
        </w:tc>
        <w:tc>
          <w:tcPr>
            <w:tcW w:w="175" w:type="dxa"/>
            <w:tcBorders/>
            <w:vAlign w:val="bottom"/>
          </w:tcPr>
          <w:p>
            <w:pPr>
              <w:pStyle w:val="TableContents"/>
              <w:pBdr/>
              <w:bidi w:val="0"/>
              <w:spacing w:before="0" w:after="0"/>
              <w:ind w:left="0" w:right="0" w:hanging="0"/>
              <w:jc w:val="left"/>
              <w:rPr/>
            </w:pPr>
            <w:r>
              <w:rPr/>
              <w:t xml:space="preserve">  </w:t>
            </w:r>
          </w:p>
        </w:tc>
        <w:tc>
          <w:tcPr>
            <w:tcW w:w="170" w:type="dxa"/>
            <w:tcBorders/>
            <w:vAlign w:val="bottom"/>
          </w:tcPr>
          <w:p>
            <w:pPr>
              <w:pStyle w:val="TableContents"/>
              <w:pBdr/>
              <w:bidi w:val="0"/>
              <w:spacing w:before="0" w:after="0"/>
              <w:ind w:left="0" w:right="0" w:hanging="0"/>
              <w:jc w:val="left"/>
              <w:rPr/>
            </w:pPr>
            <w:r>
              <w:rPr/>
              <w:t xml:space="preserve">  </w:t>
            </w:r>
          </w:p>
        </w:tc>
        <w:tc>
          <w:tcPr>
            <w:tcW w:w="247"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50,078</w:t>
            </w:r>
          </w:p>
        </w:tc>
        <w:tc>
          <w:tcPr>
            <w:tcW w:w="120"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42,013</w:t>
            </w:r>
          </w:p>
        </w:tc>
        <w:tc>
          <w:tcPr>
            <w:tcW w:w="147" w:type="dxa"/>
            <w:tcBorders/>
            <w:vAlign w:val="bottom"/>
          </w:tcPr>
          <w:p>
            <w:pPr>
              <w:pStyle w:val="TableContents"/>
              <w:bidi w:val="0"/>
              <w:spacing w:before="0" w:after="283"/>
              <w:ind w:left="0" w:right="0" w:hanging="0"/>
              <w:jc w:val="left"/>
              <w:rPr/>
            </w:pPr>
            <w:r>
              <w:rPr/>
            </w:r>
          </w:p>
        </w:tc>
        <w:tc>
          <w:tcPr>
            <w:tcW w:w="34" w:type="dxa"/>
            <w:tcBorders/>
            <w:vAlign w:val="bottom"/>
          </w:tcPr>
          <w:p>
            <w:pPr>
              <w:pStyle w:val="TableContents"/>
              <w:bidi w:val="0"/>
              <w:spacing w:before="0" w:after="283"/>
              <w:ind w:left="0" w:right="0" w:hanging="0"/>
              <w:jc w:val="left"/>
              <w:rPr/>
            </w:pPr>
            <w:r>
              <w:rPr/>
            </w:r>
          </w:p>
        </w:tc>
        <w:tc>
          <w:tcPr>
            <w:tcW w:w="193"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8"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50,078</w:t>
            </w:r>
          </w:p>
        </w:tc>
        <w:tc>
          <w:tcPr>
            <w:tcW w:w="120"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serif" w:hAnsi="Times New Roman;serif"/>
          <w:b/>
          <w:i/>
          <w:color w:val="000000"/>
          <w:spacing w:val="0"/>
          <w:sz w:val="20"/>
        </w:rPr>
      </w:pPr>
      <w:r>
        <w:rPr>
          <w:rFonts w:ascii="Times New Roman;serif" w:hAnsi="Times New Roman;serif"/>
          <w:b/>
          <w:i/>
          <w:color w:val="000000"/>
          <w:spacing w:val="0"/>
          <w:sz w:val="20"/>
        </w:rPr>
        <w:t>Issue of Common Stock a</w:t>
      </w:r>
      <w:r>
        <w:rPr>
          <w:rFonts w:ascii="times new roman;times" w:hAnsi="times new roman;times"/>
          <w:b/>
          <w:i/>
          <w:color w:val="000000"/>
          <w:spacing w:val="0"/>
          <w:sz w:val="20"/>
        </w:rPr>
        <w:t>nd Warrants</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 </w:t>
      </w:r>
    </w:p>
    <w:p>
      <w:pPr>
        <w:pStyle w:val="TextBody"/>
        <w:bidi w:val="0"/>
        <w:spacing w:lineRule="auto" w:line="288" w:before="0" w:after="0"/>
        <w:ind w:left="144" w:right="144" w:hanging="0"/>
        <w:jc w:val="left"/>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 xml:space="preserve">On January 4, 2022, the Company entered into a Securities Purchase Agreement with Edward D. Bagley, an affiliate of the Company, pursuant to which the Company agreed to issue and sell, in a private placement </w:t>
      </w:r>
      <w:r>
        <w:rPr>
          <w:rFonts w:ascii="times new roman;times" w:hAnsi="times new roman;times"/>
          <w:sz w:val="20"/>
        </w:rPr>
        <w:t>1,538,461</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shares (the “Shares”) of the Company’s common stock, par value $</w:t>
      </w:r>
      <w:r>
        <w:rPr>
          <w:rFonts w:ascii="times new roman;times" w:hAnsi="times new roman;times"/>
          <w:sz w:val="20"/>
        </w:rPr>
        <w:t>0.001</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per share, at a purchase price of $</w:t>
      </w:r>
      <w:r>
        <w:rPr>
          <w:rFonts w:ascii="times new roman;times" w:hAnsi="times new roman;times"/>
          <w:sz w:val="20"/>
        </w:rPr>
        <w:t>1.30</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 xml:space="preserve">per share of Common Stock. The consideration for the Shares is the cancellation and termination of Mr. </w:t>
      </w:r>
      <w:r>
        <w:rPr>
          <w:rFonts w:ascii="times new roman;times" w:hAnsi="times new roman;times"/>
          <w:sz w:val="20"/>
        </w:rPr>
        <w:t>Bagley’s</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outstanding bridge loan to the Company in the principal amount of $</w:t>
      </w:r>
      <w:r>
        <w:rPr>
          <w:rFonts w:ascii="times new roman;times" w:hAnsi="times new roman;times"/>
          <w:sz w:val="20"/>
        </w:rPr>
        <w:t>2,000</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originally issued on July 2, 2021 and amended and restated on September 11, 2021. Mr. Bagley is an affiliate of the Company and the Company’s single largest stockholder.</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serif" w:hAnsi="Times New Roman;serif"/>
          <w:b/>
          <w:i/>
          <w:color w:val="000000"/>
          <w:spacing w:val="0"/>
          <w:sz w:val="20"/>
        </w:rPr>
      </w:pPr>
      <w:r>
        <w:rPr>
          <w:rFonts w:ascii="Times New Roman;serif" w:hAnsi="Times New Roman;serif"/>
          <w:b/>
          <w:i/>
          <w:color w:val="000000"/>
          <w:spacing w:val="0"/>
          <w:sz w:val="20"/>
        </w:rPr>
        <w:t>Cash Dividend Distribution</w:t>
      </w:r>
    </w:p>
    <w:p>
      <w:pPr>
        <w:pStyle w:val="TextBody"/>
        <w:widowControl/>
        <w:bidi w:val="0"/>
        <w:spacing w:before="0" w:after="0"/>
        <w:ind w:left="144" w:right="144" w:hanging="0"/>
        <w:jc w:val="left"/>
        <w:rPr/>
      </w:pPr>
      <w:r>
        <w:rPr/>
      </w:r>
    </w:p>
    <w:p>
      <w:pPr>
        <w:pStyle w:val="TextBody"/>
        <w:widowControl/>
        <w:bidi w:val="0"/>
        <w:spacing w:before="0" w:after="0"/>
        <w:ind w:left="0" w:right="0" w:hanging="0"/>
        <w:jc w:val="left"/>
        <w:rPr>
          <w:sz w:val="20"/>
        </w:rPr>
      </w:pPr>
      <w:r>
        <w:rPr>
          <w:rFonts w:ascii="Times New Roman" w:hAnsi="Times New Roman"/>
          <w:b w:val="false"/>
          <w:i w:val="false"/>
          <w:caps w:val="false"/>
          <w:smallCaps w:val="false"/>
          <w:color w:val="000000"/>
          <w:spacing w:val="0"/>
          <w:sz w:val="20"/>
        </w:rPr>
        <w:t>On </w:t>
      </w:r>
      <w:r>
        <w:rPr>
          <w:sz w:val="20"/>
        </w:rPr>
        <w:t>May 8, 2023</w:t>
      </w:r>
      <w:r>
        <w:rPr>
          <w:rFonts w:ascii="Times New Roman" w:hAnsi="Times New Roman"/>
          <w:b w:val="false"/>
          <w:i w:val="false"/>
          <w:caps w:val="false"/>
          <w:smallCaps w:val="false"/>
          <w:color w:val="000000"/>
          <w:spacing w:val="0"/>
          <w:sz w:val="20"/>
        </w:rPr>
        <w:t>, the Company announced that the Company’s Board of Directors had declared a </w:t>
      </w:r>
      <w:r>
        <w:rPr>
          <w:sz w:val="20"/>
        </w:rPr>
        <w:t>special</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one-time</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cash dividend of $</w:t>
      </w:r>
      <w:r>
        <w:rPr>
          <w:sz w:val="20"/>
        </w:rPr>
        <w:t>1.00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per share of the Company’s common stock or eligible warrants and paid $28,978 of cash dividends on </w:t>
      </w:r>
      <w:r>
        <w:rPr>
          <w:sz w:val="20"/>
        </w:rPr>
        <w:t>May 31, 2023</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to shareholders of record on </w:t>
      </w:r>
      <w:r>
        <w:rPr>
          <w:sz w:val="20"/>
        </w:rPr>
        <w:t>May 22, 2023. </w:t>
      </w:r>
    </w:p>
    <w:p>
      <w:pPr>
        <w:pStyle w:val="TextBody"/>
        <w:bidi w:val="0"/>
        <w:spacing w:lineRule="auto" w:line="288" w:before="0" w:after="0"/>
        <w:jc w:val="left"/>
        <w:rPr/>
      </w:pPr>
      <w:r>
        <w:rPr/>
      </w:r>
    </w:p>
    <w:p>
      <w:pPr>
        <w:pStyle w:val="TextBody"/>
        <w:widowControl/>
        <w:bidi w:val="0"/>
        <w:spacing w:lineRule="auto" w:line="288" w:before="0" w:after="0"/>
        <w:ind w:left="0" w:right="0" w:hanging="0"/>
        <w:jc w:val="left"/>
        <w:rPr>
          <w:rFonts w:ascii="Times New Roman;serif" w:hAnsi="Times New Roman;serif"/>
          <w:b/>
          <w:i/>
          <w:color w:val="000000"/>
          <w:spacing w:val="0"/>
          <w:sz w:val="20"/>
        </w:rPr>
      </w:pPr>
      <w:r>
        <w:rPr>
          <w:rFonts w:ascii="Times New Roman;serif" w:hAnsi="Times New Roman;serif"/>
          <w:b/>
          <w:i/>
          <w:color w:val="000000"/>
          <w:spacing w:val="0"/>
          <w:sz w:val="20"/>
        </w:rPr>
        <w:t>Nasdaq Delisting Notification</w:t>
      </w:r>
    </w:p>
    <w:p>
      <w:pPr>
        <w:pStyle w:val="TextBody"/>
        <w:bidi w:val="0"/>
        <w:spacing w:lineRule="auto" w:line="288" w:before="0" w:after="0"/>
        <w:jc w:val="left"/>
        <w:rPr/>
      </w:pPr>
      <w:r>
        <w:rPr/>
      </w:r>
    </w:p>
    <w:p>
      <w:pPr>
        <w:pStyle w:val="TextBody"/>
        <w:widowControl/>
        <w:bidi w:val="0"/>
        <w:spacing w:lineRule="auto" w:line="288" w:before="0" w:after="0"/>
        <w:ind w:left="0" w:right="0" w:hanging="0"/>
        <w:jc w:val="both"/>
        <w:rPr>
          <w:sz w:val="20"/>
        </w:rPr>
      </w:pPr>
      <w:r>
        <w:rPr>
          <w:rFonts w:ascii="Times New Roman" w:hAnsi="Times New Roman"/>
          <w:b w:val="false"/>
          <w:i w:val="false"/>
          <w:caps w:val="false"/>
          <w:smallCaps w:val="false"/>
          <w:color w:val="000000"/>
          <w:spacing w:val="0"/>
          <w:sz w:val="20"/>
        </w:rPr>
        <w:t>On August 1, 2023, the Company received a letter (the “Notice”) from the Listing Qualifications Department (the “Staff”) of the Nasdaq Stock Market (“Nasdaq”) informing management that because the closing bid price for the Company’s common stock listed on Nasdaq was below $</w:t>
      </w:r>
      <w:r>
        <w:rPr>
          <w:sz w:val="20"/>
        </w:rPr>
        <w:t>1.00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for </w:t>
      </w:r>
      <w:r>
        <w:rPr>
          <w:sz w:val="20"/>
        </w:rPr>
        <w:t>30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consecutive trading days, the Company is not in compliance with the minimum bid price requirement for continued listing on the Nasdaq Capital Market, as set forth in Nasdaq Marketplace Rule </w:t>
      </w:r>
      <w:r>
        <w:rPr>
          <w:sz w:val="20"/>
        </w:rPr>
        <w:t>5550</w:t>
      </w:r>
      <w:r>
        <w:rPr>
          <w:rFonts w:ascii="Times New Roman" w:hAnsi="Times New Roman"/>
          <w:b w:val="false"/>
          <w:i w:val="false"/>
          <w:caps w:val="false"/>
          <w:smallCaps w:val="false"/>
          <w:color w:val="000000"/>
          <w:spacing w:val="0"/>
          <w:sz w:val="20"/>
        </w:rPr>
        <w:t>(a)(</w:t>
      </w:r>
      <w:r>
        <w:rPr>
          <w:sz w:val="20"/>
        </w:rPr>
        <w:t>2</w:t>
      </w:r>
      <w:r>
        <w:rPr>
          <w:rFonts w:ascii="Times New Roman" w:hAnsi="Times New Roman"/>
          <w:b w:val="false"/>
          <w:i w:val="false"/>
          <w:caps w:val="false"/>
          <w:smallCaps w:val="false"/>
          <w:color w:val="000000"/>
          <w:spacing w:val="0"/>
          <w:sz w:val="20"/>
        </w:rPr>
        <w:t>) (the “Minimum Bid Price Requirement”). In accordance with Nasdaq Marketplace Rule </w:t>
      </w:r>
      <w:r>
        <w:rPr>
          <w:sz w:val="20"/>
        </w:rPr>
        <w:t>5810</w:t>
      </w:r>
      <w:r>
        <w:rPr>
          <w:rFonts w:ascii="Times New Roman" w:hAnsi="Times New Roman"/>
          <w:b w:val="false"/>
          <w:i w:val="false"/>
          <w:caps w:val="false"/>
          <w:smallCaps w:val="false"/>
          <w:color w:val="000000"/>
          <w:spacing w:val="0"/>
          <w:sz w:val="20"/>
        </w:rPr>
        <w:t>(c)(</w:t>
      </w:r>
      <w:r>
        <w:rPr>
          <w:sz w:val="20"/>
        </w:rPr>
        <w:t>3</w:t>
      </w:r>
      <w:r>
        <w:rPr>
          <w:rFonts w:ascii="Times New Roman" w:hAnsi="Times New Roman"/>
          <w:b w:val="false"/>
          <w:i w:val="false"/>
          <w:caps w:val="false"/>
          <w:smallCaps w:val="false"/>
          <w:color w:val="000000"/>
          <w:spacing w:val="0"/>
          <w:sz w:val="20"/>
        </w:rPr>
        <w:t>)(A), the Company was granted a period of </w:t>
      </w:r>
      <w:r>
        <w:rPr>
          <w:sz w:val="20"/>
        </w:rPr>
        <w:t>180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calendar days from August 1, 2023, or until January 29, 2024, to regain compliance with the Minimum Bid Price Requirement. The Company’s common stock has continued to trade below $</w:t>
      </w:r>
      <w:r>
        <w:rPr>
          <w:sz w:val="20"/>
        </w:rPr>
        <w:t>1.00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per share.</w:t>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pStyle w:val="TextBody"/>
        <w:bidi w:val="0"/>
        <w:spacing w:lineRule="auto" w:line="288" w:before="0" w:after="0"/>
        <w:ind w:left="0" w:right="0" w:hanging="0"/>
        <w:jc w:val="left"/>
        <w:rPr>
          <w:rFonts w:ascii="times new roman;times" w:hAnsi="times new roman;times"/>
          <w:b/>
          <w:color w:val="212529"/>
          <w:sz w:val="20"/>
        </w:rPr>
      </w:pPr>
      <w:r>
        <w:rPr>
          <w:rFonts w:ascii="times new roman;times" w:hAnsi="times new roman;times"/>
          <w:b/>
          <w:color w:val="212529"/>
          <w:sz w:val="20"/>
        </w:rPr>
        <w:t>9. Debt</w:t>
      </w:r>
    </w:p>
    <w:p>
      <w:pPr>
        <w:pStyle w:val="TextBody"/>
        <w:bidi w:val="0"/>
        <w:spacing w:lineRule="auto" w:line="288" w:before="200" w:after="0"/>
        <w:ind w:left="0" w:right="0" w:hanging="0"/>
        <w:jc w:val="both"/>
        <w:rPr>
          <w:rFonts w:ascii="times new roman;times" w:hAnsi="times new roman;times"/>
          <w:b/>
          <w:i/>
          <w:sz w:val="20"/>
          <w:u w:val="single"/>
        </w:rPr>
      </w:pPr>
      <w:r>
        <w:rPr>
          <w:rFonts w:ascii="times new roman;times" w:hAnsi="times new roman;times"/>
          <w:b/>
          <w:i/>
          <w:sz w:val="20"/>
          <w:u w:val="single"/>
        </w:rPr>
        <w:t>Senior Convertible Notes and Warrants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pStyle w:val="TextBody"/>
        <w:bidi w:val="0"/>
        <w:spacing w:lineRule="auto" w:line="288" w:before="0" w:after="0"/>
        <w:ind w:left="0" w:right="0" w:hanging="0"/>
        <w:jc w:val="both"/>
        <w:rPr>
          <w:color w:val="000000"/>
        </w:rPr>
      </w:pPr>
      <w:r>
        <w:rPr>
          <w:color w:val="000000"/>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net proceeds after original issue discount and issuance costs of $346 were approximately $2,654. The Company expected to use the proceeds from the sale of the Notes and Warrants for general corporate purposes and working capital.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accounting for the issuance of the Notes, the Company separated Notes and Warrants into liability and equity components. The carrying amount of Warrants, being an equity component, was first calculated using Black-Scholes method with the following assumptions: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500" w:type="pct"/>
        <w:jc w:val="left"/>
        <w:tblInd w:w="0" w:type="dxa"/>
        <w:tblLayout w:type="fixed"/>
        <w:tblCellMar>
          <w:top w:w="0" w:type="dxa"/>
          <w:left w:w="0" w:type="dxa"/>
          <w:bottom w:w="0" w:type="dxa"/>
          <w:right w:w="0" w:type="dxa"/>
        </w:tblCellMar>
      </w:tblPr>
      <w:tblGrid>
        <w:gridCol w:w="4175"/>
        <w:gridCol w:w="927"/>
      </w:tblGrid>
      <w:tr>
        <w:trPr/>
        <w:tc>
          <w:tcPr>
            <w:tcW w:w="417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Risk-free interest rate </w:t>
            </w:r>
          </w:p>
        </w:tc>
        <w:tc>
          <w:tcPr>
            <w:tcW w:w="92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1.82% </w:t>
            </w:r>
          </w:p>
        </w:tc>
      </w:tr>
      <w:tr>
        <w:trPr/>
        <w:tc>
          <w:tcPr>
            <w:tcW w:w="4175" w:type="dxa"/>
            <w:tcBorders/>
            <w:shd w:fill="FFFF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life of warrants (years) </w:t>
            </w:r>
          </w:p>
        </w:tc>
        <w:tc>
          <w:tcPr>
            <w:tcW w:w="927" w:type="dxa"/>
            <w:tcBorders/>
            <w:shd w:fill="FFFF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 </w:t>
            </w:r>
          </w:p>
        </w:tc>
      </w:tr>
      <w:tr>
        <w:trPr/>
        <w:tc>
          <w:tcPr>
            <w:tcW w:w="417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price volatility </w:t>
            </w:r>
          </w:p>
        </w:tc>
        <w:tc>
          <w:tcPr>
            <w:tcW w:w="92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49.4% </w:t>
            </w:r>
          </w:p>
        </w:tc>
      </w:tr>
      <w:tr>
        <w:trPr/>
        <w:tc>
          <w:tcPr>
            <w:tcW w:w="4175" w:type="dxa"/>
            <w:tcBorders/>
            <w:shd w:fill="FFFF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dividend yield </w:t>
            </w:r>
          </w:p>
        </w:tc>
        <w:tc>
          <w:tcPr>
            <w:tcW w:w="927" w:type="dxa"/>
            <w:tcBorders/>
            <w:shd w:fill="FFFF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The original issue discount and issuance costs are netted against the liability. The following table represents the carrying value of Notes and Warrants: </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144" w:right="144" w:hanging="0"/>
        <w:jc w:val="center"/>
        <w:rPr/>
      </w:pPr>
      <w:r>
        <w:rPr/>
        <w:t> </w:t>
      </w:r>
    </w:p>
    <w:p>
      <w:pPr>
        <w:pStyle w:val="TextBody"/>
        <w:bidi w:val="0"/>
        <w:spacing w:lineRule="auto" w:line="240" w:before="0" w:after="0"/>
        <w:ind w:left="144" w:right="144" w:hanging="0"/>
        <w:jc w:val="center"/>
        <w:rPr>
          <w:rFonts w:ascii="times new roman;times" w:hAnsi="times new roman;times"/>
          <w:sz w:val="20"/>
        </w:rPr>
      </w:pPr>
      <w:r>
        <w:rPr>
          <w:rFonts w:ascii="times new roman;times" w:hAnsi="times new roman;times"/>
          <w:b/>
          <w:color w:val="000000"/>
          <w:sz w:val="20"/>
        </w:rPr>
        <w:t>UNAUDITED </w:t>
      </w:r>
      <w:r>
        <w:rPr>
          <w:rFonts w:ascii="times new roman;times" w:hAnsi="times new roman;times"/>
          <w:b/>
          <w:sz w:val="20"/>
        </w:rPr>
        <w:t>NOTES TO CONDENSED CONSOLIDATED FINANCIAL STATEMENTS</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t>(Dollars in thousands, except per share amounts)</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6122"/>
        <w:gridCol w:w="129"/>
        <w:gridCol w:w="361"/>
        <w:gridCol w:w="1447"/>
        <w:gridCol w:w="128"/>
        <w:gridCol w:w="129"/>
        <w:gridCol w:w="352"/>
        <w:gridCol w:w="1408"/>
        <w:gridCol w:w="129"/>
      </w:tblGrid>
      <w:tr>
        <w:trPr/>
        <w:tc>
          <w:tcPr>
            <w:tcW w:w="6122" w:type="dxa"/>
            <w:tcBorders/>
            <w:vAlign w:val="bottom"/>
          </w:tcPr>
          <w:p>
            <w:pPr>
              <w:pStyle w:val="TableContents"/>
              <w:pBdr/>
              <w:bidi w:val="0"/>
              <w:spacing w:before="0" w:after="0"/>
              <w:ind w:left="0" w:right="0" w:hanging="0"/>
              <w:jc w:val="left"/>
              <w:rPr/>
            </w:pPr>
            <w:r>
              <w:rPr/>
              <w:t xml:space="preserve">  </w:t>
            </w:r>
          </w:p>
        </w:tc>
        <w:tc>
          <w:tcPr>
            <w:tcW w:w="129" w:type="dxa"/>
            <w:tcBorders/>
            <w:vAlign w:val="bottom"/>
          </w:tcPr>
          <w:p>
            <w:pPr>
              <w:pStyle w:val="TableContents"/>
              <w:pBdr/>
              <w:bidi w:val="0"/>
              <w:spacing w:before="0" w:after="0"/>
              <w:ind w:left="0" w:right="0" w:hanging="0"/>
              <w:jc w:val="left"/>
              <w:rPr>
                <w:color w:val="000000"/>
              </w:rPr>
            </w:pPr>
            <w:r>
              <w:rPr>
                <w:color w:val="000000"/>
              </w:rPr>
              <w:t> </w:t>
            </w:r>
          </w:p>
        </w:tc>
        <w:tc>
          <w:tcPr>
            <w:tcW w:w="1808"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September 30, 2023</w:t>
            </w:r>
          </w:p>
        </w:tc>
        <w:tc>
          <w:tcPr>
            <w:tcW w:w="128" w:type="dxa"/>
            <w:tcBorders/>
            <w:vAlign w:val="bottom"/>
          </w:tcPr>
          <w:p>
            <w:pPr>
              <w:pStyle w:val="TableContents"/>
              <w:pBdr/>
              <w:bidi w:val="0"/>
              <w:spacing w:before="0" w:after="0"/>
              <w:ind w:left="0" w:right="0" w:hanging="0"/>
              <w:jc w:val="left"/>
              <w:rPr>
                <w:color w:val="000000"/>
              </w:rPr>
            </w:pPr>
            <w:r>
              <w:rPr>
                <w:color w:val="000000"/>
              </w:rPr>
              <w:t> </w:t>
            </w:r>
          </w:p>
        </w:tc>
        <w:tc>
          <w:tcPr>
            <w:tcW w:w="129" w:type="dxa"/>
            <w:tcBorders/>
            <w:vAlign w:val="bottom"/>
          </w:tcPr>
          <w:p>
            <w:pPr>
              <w:pStyle w:val="TableContents"/>
              <w:pBdr/>
              <w:bidi w:val="0"/>
              <w:spacing w:before="0" w:after="0"/>
              <w:ind w:left="0" w:right="0" w:hanging="0"/>
              <w:jc w:val="left"/>
              <w:rPr>
                <w:color w:val="000000"/>
              </w:rPr>
            </w:pPr>
            <w:r>
              <w:rPr>
                <w:color w:val="000000"/>
              </w:rPr>
              <w:t> </w:t>
            </w:r>
          </w:p>
        </w:tc>
        <w:tc>
          <w:tcPr>
            <w:tcW w:w="1760"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December 31, 2022</w:t>
            </w:r>
          </w:p>
        </w:tc>
        <w:tc>
          <w:tcPr>
            <w:tcW w:w="129" w:type="dxa"/>
            <w:tcBorders/>
            <w:vAlign w:val="bottom"/>
          </w:tcPr>
          <w:p>
            <w:pPr>
              <w:pStyle w:val="TableContents"/>
              <w:pBdr/>
              <w:bidi w:val="0"/>
              <w:spacing w:before="0" w:after="0"/>
              <w:ind w:left="0" w:right="0" w:hanging="0"/>
              <w:jc w:val="left"/>
              <w:rPr>
                <w:color w:val="000000"/>
              </w:rPr>
            </w:pPr>
            <w:r>
              <w:rPr>
                <w:color w:val="000000"/>
              </w:rPr>
              <w:t> </w:t>
            </w:r>
          </w:p>
        </w:tc>
      </w:tr>
      <w:tr>
        <w:trPr/>
        <w:tc>
          <w:tcPr>
            <w:tcW w:w="6122" w:type="dxa"/>
            <w:tcBorders/>
            <w:shd w:fill="CCEEFF" w:val="clear"/>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Liability component: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47"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12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08"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Principal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47"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1,245 </w:t>
            </w:r>
          </w:p>
        </w:tc>
        <w:tc>
          <w:tcPr>
            <w:tcW w:w="12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08"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1,920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shd w:fill="CCEEFF" w:val="clear"/>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Less: debt discount and issuance costs, net of amortization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47"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(41</w:t>
            </w:r>
          </w:p>
        </w:tc>
        <w:tc>
          <w:tcPr>
            <w:tcW w:w="128"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08" w:type="dxa"/>
            <w:tcBorders/>
            <w:shd w:fill="CCEEFF" w:val="clear"/>
            <w:vAlign w:val="bottom"/>
          </w:tcPr>
          <w:p>
            <w:pPr>
              <w:pStyle w:val="TableContents"/>
              <w:pBdr/>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(188 </w:t>
            </w:r>
          </w:p>
        </w:tc>
        <w:tc>
          <w:tcPr>
            <w:tcW w:w="129" w:type="dxa"/>
            <w:tcBorders/>
            <w:shd w:fill="CCEEFF" w:val="clear"/>
            <w:vAlign w:val="bottom"/>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w:t>
            </w:r>
          </w:p>
        </w:tc>
      </w:tr>
      <w:tr>
        <w:trPr/>
        <w:tc>
          <w:tcPr>
            <w:tcW w:w="6122" w:type="dxa"/>
            <w:tcBorders/>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Net carrying amount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47"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1,204 </w:t>
            </w:r>
          </w:p>
        </w:tc>
        <w:tc>
          <w:tcPr>
            <w:tcW w:w="12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08"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1,732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shd w:fill="CCEEFF" w:val="clear"/>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Equity component</w:t>
            </w:r>
            <w:r>
              <w:rPr>
                <w:rFonts w:ascii="times new roman;times" w:hAnsi="times new roman;times"/>
                <w:color w:val="000000"/>
                <w:position w:val="5"/>
                <w:sz w:val="13"/>
                <w:sz w:val="16"/>
              </w:rPr>
              <w:t>(</w:t>
            </w:r>
            <w:r>
              <w:rPr>
                <w:rFonts w:ascii="times new roman;times" w:hAnsi="times new roman;times"/>
                <w:color w:val="000000"/>
                <w:position w:val="5"/>
                <w:sz w:val="13"/>
                <w:sz w:val="16"/>
              </w:rPr>
              <w:t>1</w:t>
            </w:r>
            <w:r>
              <w:rPr>
                <w:rFonts w:ascii="times new roman;times" w:hAnsi="times new roman;times"/>
                <w:color w:val="000000"/>
                <w:position w:val="5"/>
                <w:sz w:val="13"/>
                <w:sz w:val="16"/>
              </w:rPr>
              <w:t>)</w:t>
            </w:r>
            <w:r>
              <w:rPr>
                <w:rFonts w:ascii="times new roman;times" w:hAnsi="times new roman;times"/>
                <w:color w:val="000000"/>
                <w:sz w:val="20"/>
              </w:rPr>
              <w:t>:</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47"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12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408" w:type="dxa"/>
            <w:tcBorders/>
            <w:shd w:fill="CCEEFF" w:val="clear"/>
            <w:vAlign w:val="bottom"/>
          </w:tcPr>
          <w:p>
            <w:pPr>
              <w:pStyle w:val="TableContents"/>
              <w:pBdr/>
              <w:bidi w:val="0"/>
              <w:spacing w:before="0" w:after="0"/>
              <w:ind w:left="0" w:right="0" w:hanging="0"/>
              <w:jc w:val="right"/>
              <w:rPr>
                <w:color w:val="000000"/>
              </w:rPr>
            </w:pPr>
            <w:r>
              <w:rPr>
                <w:color w:val="000000"/>
              </w:rPr>
              <w:t xml:space="preserv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Warrants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47"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318 </w:t>
            </w:r>
          </w:p>
        </w:tc>
        <w:tc>
          <w:tcPr>
            <w:tcW w:w="12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08"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318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shd w:fill="CCEEFF" w:val="clear"/>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Conversion feature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47"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122 </w:t>
            </w:r>
          </w:p>
        </w:tc>
        <w:tc>
          <w:tcPr>
            <w:tcW w:w="128"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08" w:type="dxa"/>
            <w:tcBorders/>
            <w:shd w:fill="CCEEFF" w:val="clear"/>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122 </w:t>
            </w:r>
          </w:p>
        </w:tc>
        <w:tc>
          <w:tcPr>
            <w:tcW w:w="129" w:type="dxa"/>
            <w:tcBorders/>
            <w:shd w:fill="CCEEFF" w:val="clear"/>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Net carrying amount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61"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47"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440 </w:t>
            </w:r>
          </w:p>
        </w:tc>
        <w:tc>
          <w:tcPr>
            <w:tcW w:w="128"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c>
          <w:tcPr>
            <w:tcW w:w="352" w:type="dxa"/>
            <w:tcBorders/>
            <w:vAlign w:val="bottom"/>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1408" w:type="dxa"/>
            <w:tcBorders/>
            <w:vAlign w:val="bottom"/>
          </w:tcPr>
          <w:p>
            <w:pPr>
              <w:pStyle w:val="TableContents"/>
              <w:pBdr/>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440 </w:t>
            </w:r>
          </w:p>
        </w:tc>
        <w:tc>
          <w:tcPr>
            <w:tcW w:w="129" w:type="dxa"/>
            <w:tcBorders/>
            <w:vAlign w:val="bottom"/>
          </w:tcPr>
          <w:p>
            <w:pPr>
              <w:pStyle w:val="TableContents"/>
              <w:pBdr/>
              <w:bidi w:val="0"/>
              <w:spacing w:before="0" w:after="0"/>
              <w:ind w:left="0" w:right="0" w:hanging="0"/>
              <w:jc w:val="left"/>
              <w:rPr>
                <w:color w:val="000000"/>
              </w:rPr>
            </w:pPr>
            <w:r>
              <w:rPr>
                <w:color w:val="000000"/>
              </w:rPr>
              <w:t xml:space="preserve">  </w:t>
            </w:r>
          </w:p>
        </w:tc>
      </w:tr>
      <w:tr>
        <w:trPr/>
        <w:tc>
          <w:tcPr>
            <w:tcW w:w="6122"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ind w:left="0" w:right="0" w:hanging="0"/>
              <w:jc w:val="left"/>
              <w:rPr/>
            </w:pPr>
            <w:r>
              <w:rPr/>
            </w:r>
          </w:p>
        </w:tc>
        <w:tc>
          <w:tcPr>
            <w:tcW w:w="361" w:type="dxa"/>
            <w:tcBorders/>
            <w:shd w:fill="CCEEFF" w:val="clear"/>
            <w:vAlign w:val="center"/>
          </w:tcPr>
          <w:p>
            <w:pPr>
              <w:pStyle w:val="TableContents"/>
              <w:bidi w:val="0"/>
              <w:spacing w:before="0" w:after="283"/>
              <w:ind w:left="0" w:right="0" w:hanging="0"/>
              <w:jc w:val="left"/>
              <w:rPr/>
            </w:pPr>
            <w:r>
              <w:rPr/>
            </w:r>
          </w:p>
        </w:tc>
        <w:tc>
          <w:tcPr>
            <w:tcW w:w="1447" w:type="dxa"/>
            <w:tcBorders/>
            <w:shd w:fill="CCEEFF" w:val="clear"/>
            <w:vAlign w:val="center"/>
          </w:tcPr>
          <w:p>
            <w:pPr>
              <w:pStyle w:val="TableContents"/>
              <w:bidi w:val="0"/>
              <w:spacing w:before="0" w:after="283"/>
              <w:ind w:left="0" w:right="0" w:hanging="0"/>
              <w:jc w:val="left"/>
              <w:rPr/>
            </w:pPr>
            <w:r>
              <w:rPr/>
            </w:r>
          </w:p>
        </w:tc>
        <w:tc>
          <w:tcPr>
            <w:tcW w:w="128"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ind w:left="0" w:right="0" w:hanging="0"/>
              <w:jc w:val="left"/>
              <w:rPr/>
            </w:pPr>
            <w:r>
              <w:rPr/>
            </w:r>
          </w:p>
        </w:tc>
        <w:tc>
          <w:tcPr>
            <w:tcW w:w="352" w:type="dxa"/>
            <w:tcBorders/>
            <w:shd w:fill="CCEEFF" w:val="clear"/>
            <w:vAlign w:val="center"/>
          </w:tcPr>
          <w:p>
            <w:pPr>
              <w:pStyle w:val="TableContents"/>
              <w:bidi w:val="0"/>
              <w:spacing w:before="0" w:after="283"/>
              <w:ind w:left="0" w:right="0" w:hanging="0"/>
              <w:jc w:val="left"/>
              <w:rPr/>
            </w:pPr>
            <w:r>
              <w:rPr/>
            </w:r>
          </w:p>
        </w:tc>
        <w:tc>
          <w:tcPr>
            <w:tcW w:w="1408"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ind w:left="0" w:right="0" w:hanging="0"/>
              <w:jc w:val="left"/>
              <w:rPr/>
            </w:pPr>
            <w:r>
              <w:rPr/>
            </w:r>
          </w:p>
        </w:tc>
      </w:tr>
      <w:tr>
        <w:trPr/>
        <w:tc>
          <w:tcPr>
            <w:tcW w:w="6122"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Current portion of liability component included under short-term debt</w:t>
            </w:r>
          </w:p>
        </w:tc>
        <w:tc>
          <w:tcPr>
            <w:tcW w:w="129" w:type="dxa"/>
            <w:tcBorders/>
            <w:vAlign w:val="center"/>
          </w:tcPr>
          <w:p>
            <w:pPr>
              <w:pStyle w:val="TableContents"/>
              <w:bidi w:val="0"/>
              <w:spacing w:before="0" w:after="283"/>
              <w:ind w:left="0" w:right="0" w:hanging="0"/>
              <w:jc w:val="left"/>
              <w:rPr/>
            </w:pPr>
            <w:r>
              <w:rPr/>
            </w:r>
          </w:p>
        </w:tc>
        <w:tc>
          <w:tcPr>
            <w:tcW w:w="36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pPr>
            <w:r>
              <w:rPr/>
              <w:t>1,245</w:t>
            </w:r>
          </w:p>
        </w:tc>
        <w:tc>
          <w:tcPr>
            <w:tcW w:w="128" w:type="dxa"/>
            <w:tcBorders/>
            <w:vAlign w:val="center"/>
          </w:tcPr>
          <w:p>
            <w:pPr>
              <w:pStyle w:val="TableContents"/>
              <w:bidi w:val="0"/>
              <w:spacing w:before="0" w:after="283"/>
              <w:ind w:left="0" w:right="0" w:hanging="0"/>
              <w:jc w:val="left"/>
              <w:rPr/>
            </w:pPr>
            <w:r>
              <w:rPr/>
            </w:r>
          </w:p>
        </w:tc>
        <w:tc>
          <w:tcPr>
            <w:tcW w:w="129" w:type="dxa"/>
            <w:tcBorders/>
            <w:vAlign w:val="center"/>
          </w:tcPr>
          <w:p>
            <w:pPr>
              <w:pStyle w:val="TableContents"/>
              <w:bidi w:val="0"/>
              <w:spacing w:before="0" w:after="283"/>
              <w:ind w:left="0" w:right="0" w:hanging="0"/>
              <w:jc w:val="left"/>
              <w:rPr/>
            </w:pPr>
            <w:r>
              <w:rPr/>
            </w:r>
          </w:p>
        </w:tc>
        <w:tc>
          <w:tcPr>
            <w:tcW w:w="352" w:type="dxa"/>
            <w:tcBorders/>
            <w:vAlign w:val="center"/>
          </w:tcPr>
          <w:p>
            <w:pPr>
              <w:pStyle w:val="TableContents"/>
              <w:bidi w:val="0"/>
              <w:spacing w:before="0" w:after="0"/>
              <w:ind w:left="0" w:right="0" w:hanging="0"/>
              <w:jc w:val="left"/>
              <w:rPr/>
            </w:pPr>
            <w:r>
              <w:rPr/>
              <w:t>$</w:t>
            </w:r>
          </w:p>
        </w:tc>
        <w:tc>
          <w:tcPr>
            <w:tcW w:w="1408" w:type="dxa"/>
            <w:tcBorders/>
            <w:vAlign w:val="center"/>
          </w:tcPr>
          <w:p>
            <w:pPr>
              <w:pStyle w:val="TableContents"/>
              <w:bidi w:val="0"/>
              <w:spacing w:before="0" w:after="0"/>
              <w:ind w:left="0" w:right="0" w:hanging="0"/>
              <w:jc w:val="right"/>
              <w:rPr/>
            </w:pPr>
            <w:r>
              <w:rPr/>
              <w:t>1,920</w:t>
            </w:r>
          </w:p>
        </w:tc>
        <w:tc>
          <w:tcPr>
            <w:tcW w:w="129" w:type="dxa"/>
            <w:tcBorders/>
            <w:vAlign w:val="center"/>
          </w:tcPr>
          <w:p>
            <w:pPr>
              <w:pStyle w:val="TableContents"/>
              <w:bidi w:val="0"/>
              <w:spacing w:before="0" w:after="283"/>
              <w:ind w:left="0" w:right="0" w:hanging="0"/>
              <w:jc w:val="left"/>
              <w:rPr/>
            </w:pPr>
            <w:r>
              <w:rPr/>
            </w:r>
          </w:p>
        </w:tc>
      </w:tr>
      <w:tr>
        <w:trPr/>
        <w:tc>
          <w:tcPr>
            <w:tcW w:w="6122"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Liability component total</w:t>
            </w:r>
          </w:p>
        </w:tc>
        <w:tc>
          <w:tcPr>
            <w:tcW w:w="129" w:type="dxa"/>
            <w:tcBorders/>
            <w:shd w:fill="CCEEFF" w:val="clear"/>
            <w:vAlign w:val="center"/>
          </w:tcPr>
          <w:p>
            <w:pPr>
              <w:pStyle w:val="TableContents"/>
              <w:bidi w:val="0"/>
              <w:spacing w:before="0" w:after="283"/>
              <w:ind w:left="0" w:right="0" w:hanging="0"/>
              <w:jc w:val="left"/>
              <w:rPr/>
            </w:pPr>
            <w:r>
              <w:rPr/>
            </w:r>
          </w:p>
        </w:tc>
        <w:tc>
          <w:tcPr>
            <w:tcW w:w="36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pPr>
            <w:r>
              <w:rPr/>
              <w:t>1,245</w:t>
            </w:r>
          </w:p>
        </w:tc>
        <w:tc>
          <w:tcPr>
            <w:tcW w:w="128"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ind w:left="0" w:right="0" w:hanging="0"/>
              <w:jc w:val="left"/>
              <w:rPr/>
            </w:pPr>
            <w:r>
              <w:rPr/>
            </w:r>
          </w:p>
        </w:tc>
        <w:tc>
          <w:tcPr>
            <w:tcW w:w="352"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right"/>
              <w:rPr/>
            </w:pPr>
            <w:r>
              <w:rPr/>
              <w:t>1,920</w:t>
            </w:r>
          </w:p>
        </w:tc>
        <w:tc>
          <w:tcPr>
            <w:tcW w:w="129"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rFonts w:ascii="times new roman;times" w:hAnsi="times new roman;times"/>
          <w:color w:val="212529"/>
          <w:sz w:val="20"/>
        </w:rPr>
      </w:pPr>
      <w:r>
        <w:rPr>
          <w:rFonts w:ascii="times new roman;times" w:hAnsi="times new roman;times"/>
          <w:color w:val="212529"/>
          <w:sz w:val="20"/>
        </w:rPr>
        <w:t>(1) Recorded on the condensed consolidated balance sheets as additional paid-in capital.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Debt discount and issuance costs are amortized over the life of the note to interest expense using the effective interest method. </w:t>
      </w:r>
      <w:r>
        <w:rPr>
          <w:rFonts w:ascii="times new roman;times" w:hAnsi="times new roman;times"/>
          <w:b w:val="false"/>
          <w:color w:val="000000"/>
          <w:spacing w:val="0"/>
          <w:sz w:val="20"/>
        </w:rPr>
        <w:t>During the three and nine months ended September 30, 2023 amortization of debt discount and issuance costs was $49</w:t>
      </w:r>
      <w:r>
        <w:rPr>
          <w:rFonts w:ascii="times new roman;times" w:hAnsi="times new roman;times"/>
          <w:color w:val="000000"/>
          <w:spacing w:val="0"/>
          <w:sz w:val="20"/>
        </w:rPr>
        <w:t> </w:t>
      </w:r>
      <w:r>
        <w:rPr>
          <w:rFonts w:ascii="times new roman;times" w:hAnsi="times new roman;times"/>
          <w:b w:val="false"/>
          <w:color w:val="000000"/>
          <w:spacing w:val="0"/>
          <w:sz w:val="20"/>
        </w:rPr>
        <w:t>and $147, respectively and for the three and nine months ended September 30, 2022 amortization of debt discount and issuance costs was $49 and $147, respectively. </w:t>
      </w:r>
      <w:r>
        <w:rPr>
          <w:rFonts w:ascii="times new roman;times" w:hAnsi="times new roman;times"/>
          <w:sz w:val="20"/>
        </w:rPr>
        <w:t>The following table represents schedule of maturities of principal amount contained in the Notes as of September 30, 2023:</w:t>
      </w:r>
    </w:p>
    <w:p>
      <w:pPr>
        <w:pStyle w:val="TextBody"/>
        <w:bidi w:val="0"/>
        <w:spacing w:lineRule="auto" w:line="288" w:before="0" w:after="0"/>
        <w:ind w:left="0" w:right="0" w:hanging="0"/>
        <w:jc w:val="both"/>
        <w:rPr/>
      </w:pPr>
      <w:r>
        <w:rPr/>
      </w:r>
    </w:p>
    <w:tbl>
      <w:tblPr>
        <w:tblW w:w="3250" w:type="pct"/>
        <w:jc w:val="left"/>
        <w:tblInd w:w="0" w:type="dxa"/>
        <w:tblLayout w:type="fixed"/>
        <w:tblCellMar>
          <w:top w:w="0" w:type="dxa"/>
          <w:left w:w="0" w:type="dxa"/>
          <w:bottom w:w="0" w:type="dxa"/>
          <w:right w:w="0" w:type="dxa"/>
        </w:tblCellMar>
      </w:tblPr>
      <w:tblGrid>
        <w:gridCol w:w="3062"/>
        <w:gridCol w:w="162"/>
        <w:gridCol w:w="664"/>
        <w:gridCol w:w="2582"/>
        <w:gridCol w:w="163"/>
      </w:tblGrid>
      <w:tr>
        <w:trPr/>
        <w:tc>
          <w:tcPr>
            <w:tcW w:w="3062" w:type="dxa"/>
            <w:tcBorders/>
            <w:shd w:fill="FFFFFF" w:val="clear"/>
            <w:vAlign w:val="bottom"/>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Year</w:t>
            </w:r>
            <w:r>
              <w:rPr>
                <w:rFonts w:ascii="times new roman;times" w:hAnsi="times new roman;times"/>
                <w:b/>
                <w:color w:val="000000"/>
                <w:sz w:val="20"/>
              </w:rPr>
              <w:t> ending December 31,</w:t>
            </w:r>
          </w:p>
        </w:tc>
        <w:tc>
          <w:tcPr>
            <w:tcW w:w="162" w:type="dxa"/>
            <w:tcBorders/>
            <w:shd w:fill="FFFFFF" w:val="clear"/>
            <w:vAlign w:val="bottom"/>
          </w:tcPr>
          <w:p>
            <w:pPr>
              <w:pStyle w:val="TableContents"/>
              <w:bidi w:val="0"/>
              <w:spacing w:before="0" w:after="0"/>
              <w:ind w:left="0" w:right="0" w:hanging="0"/>
              <w:jc w:val="left"/>
              <w:rPr>
                <w:color w:val="000000"/>
              </w:rPr>
            </w:pPr>
            <w:r>
              <w:rPr>
                <w:color w:val="000000"/>
              </w:rPr>
              <w:t> </w:t>
            </w:r>
          </w:p>
        </w:tc>
        <w:tc>
          <w:tcPr>
            <w:tcW w:w="3246" w:type="dxa"/>
            <w:gridSpan w:val="2"/>
            <w:tcBorders/>
            <w:shd w:fill="FFFFFF" w:val="clear"/>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Principal Amount Maturing</w:t>
            </w:r>
          </w:p>
        </w:tc>
        <w:tc>
          <w:tcPr>
            <w:tcW w:w="163" w:type="dxa"/>
            <w:tcBorders/>
            <w:shd w:fill="FFFFFF" w:val="clear"/>
            <w:vAlign w:val="bottom"/>
          </w:tcPr>
          <w:p>
            <w:pPr>
              <w:pStyle w:val="TableContents"/>
              <w:bidi w:val="0"/>
              <w:spacing w:before="0" w:after="0"/>
              <w:ind w:left="0" w:right="0" w:hanging="0"/>
              <w:jc w:val="left"/>
              <w:rPr>
                <w:color w:val="000000"/>
              </w:rPr>
            </w:pPr>
            <w:r>
              <w:rPr>
                <w:color w:val="000000"/>
              </w:rPr>
              <w:t> </w:t>
            </w:r>
          </w:p>
        </w:tc>
      </w:tr>
      <w:tr>
        <w:trPr/>
        <w:tc>
          <w:tcPr>
            <w:tcW w:w="3062" w:type="dxa"/>
            <w:tcBorders/>
            <w:vAlign w:val="bottom"/>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2023 (Remainder) </w:t>
            </w:r>
          </w:p>
        </w:tc>
        <w:tc>
          <w:tcPr>
            <w:tcW w:w="162" w:type="dxa"/>
            <w:tcBorders/>
            <w:vAlign w:val="bottom"/>
          </w:tcPr>
          <w:p>
            <w:pPr>
              <w:pStyle w:val="TableContents"/>
              <w:bidi w:val="0"/>
              <w:spacing w:before="0" w:after="0"/>
              <w:ind w:left="0" w:right="0" w:hanging="0"/>
              <w:jc w:val="left"/>
              <w:rPr>
                <w:color w:val="000000"/>
              </w:rPr>
            </w:pPr>
            <w:r>
              <w:rPr>
                <w:color w:val="000000"/>
              </w:rPr>
              <w:t xml:space="preserve">  </w:t>
            </w:r>
          </w:p>
        </w:tc>
        <w:tc>
          <w:tcPr>
            <w:tcW w:w="664" w:type="dxa"/>
            <w:tcBorders/>
            <w:vAlign w:val="bottom"/>
          </w:tcPr>
          <w:p>
            <w:pPr>
              <w:pStyle w:val="TableContents"/>
              <w:bidi w:val="0"/>
              <w:spacing w:before="0" w:after="0"/>
              <w:ind w:left="0" w:right="0" w:hanging="0"/>
              <w:jc w:val="left"/>
              <w:rPr>
                <w:color w:val="000000"/>
              </w:rPr>
            </w:pPr>
            <w:r>
              <w:rPr>
                <w:color w:val="000000"/>
              </w:rPr>
              <w:t xml:space="preserve">  </w:t>
            </w:r>
          </w:p>
        </w:tc>
        <w:tc>
          <w:tcPr>
            <w:tcW w:w="2582" w:type="dxa"/>
            <w:tcBorders/>
            <w:vAlign w:val="bottom"/>
          </w:tcPr>
          <w:p>
            <w:pPr>
              <w:pStyle w:val="TableContents"/>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1,245 </w:t>
            </w:r>
          </w:p>
        </w:tc>
        <w:tc>
          <w:tcPr>
            <w:tcW w:w="163"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062" w:type="dxa"/>
            <w:tcBorders/>
            <w:shd w:fill="CCEEFF" w:val="clear"/>
            <w:vAlign w:val="bottom"/>
          </w:tcPr>
          <w:p>
            <w:pPr>
              <w:pStyle w:val="TableContents"/>
              <w:bidi w:val="0"/>
              <w:spacing w:before="0" w:after="283"/>
              <w:jc w:val="left"/>
              <w:rPr/>
            </w:pPr>
            <w:r>
              <w:rPr/>
              <w:t>Total principal amount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664" w:type="dxa"/>
            <w:tcBorders/>
            <w:shd w:fill="CCEEFF" w:val="clear"/>
            <w:vAlign w:val="bottom"/>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 </w:t>
            </w:r>
          </w:p>
        </w:tc>
        <w:tc>
          <w:tcPr>
            <w:tcW w:w="2582" w:type="dxa"/>
            <w:tcBorders/>
            <w:shd w:fill="CCEEFF" w:val="clear"/>
            <w:vAlign w:val="bottom"/>
          </w:tcPr>
          <w:p>
            <w:pPr>
              <w:pStyle w:val="TableContents"/>
              <w:bidi w:val="0"/>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1,245 </w:t>
            </w:r>
          </w:p>
        </w:tc>
        <w:tc>
          <w:tcPr>
            <w:tcW w:w="16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bl>
    <w:p>
      <w:pPr>
        <w:pStyle w:val="TextBody"/>
        <w:bidi w:val="0"/>
        <w:spacing w:lineRule="auto" w:line="240"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Short-term Bridge Loans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firstLine="720"/>
        <w:jc w:val="both"/>
        <w:rPr>
          <w:rFonts w:ascii="times new roman;times" w:hAnsi="times new roman;times"/>
          <w:color w:val="000000"/>
          <w:sz w:val="20"/>
        </w:rPr>
      </w:pPr>
      <w:r>
        <w:rPr>
          <w:rFonts w:ascii="times new roman;times" w:hAnsi="times new roman;times"/>
          <w:b w:val="false"/>
          <w:color w:val="000000"/>
          <w:spacing w:val="0"/>
          <w:sz w:val="20"/>
        </w:rPr>
        <w:t>On July 2, 2021, the Company obtained a bridge loan in the principal amount of $2,000 from Edward D. Bagley (the “2021 Bridge Loan”), an affiliate of the Company. The Bridge Loan was evidenced by a promissory note dated July 2, 2021 (the “Note”) issued by the Company to Mr. Bagley.</w:t>
      </w:r>
      <w:r>
        <w:rPr>
          <w:rFonts w:ascii="times new roman;times" w:hAnsi="times new roman;times"/>
          <w:color w:val="000000"/>
          <w:spacing w:val="0"/>
          <w:sz w:val="20"/>
        </w:rPr>
        <w:t>  </w:t>
      </w:r>
      <w:r>
        <w:rPr>
          <w:rFonts w:ascii="times new roman;times" w:hAnsi="times new roman;times"/>
          <w:b w:val="false"/>
          <w:color w:val="000000"/>
          <w:spacing w:val="0"/>
          <w:sz w:val="20"/>
        </w:rPr>
        <w:t>The Note bore</w:t>
      </w:r>
      <w:r>
        <w:rPr>
          <w:rFonts w:ascii="times new roman;times" w:hAnsi="times new roman;times"/>
          <w:color w:val="000000"/>
          <w:spacing w:val="0"/>
          <w:sz w:val="20"/>
        </w:rPr>
        <w:t> </w:t>
      </w:r>
      <w:r>
        <w:rPr>
          <w:rFonts w:ascii="times new roman;times" w:hAnsi="times new roman;times"/>
          <w:b w:val="false"/>
          <w:color w:val="000000"/>
          <w:spacing w:val="0"/>
          <w:sz w:val="20"/>
        </w:rPr>
        <w:t xml:space="preserve">interest at a rate of 8.0% per annum. On September 11, 2021, the Company amended and restated the terms of the Bridge Loan to extend the latest maturity date from October 1, 2021 to January 3, 2022. All other terms and conditions of the Bridge Loan remained the same.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 </w:t>
      </w:r>
    </w:p>
    <w:p>
      <w:pPr>
        <w:pStyle w:val="TextBody"/>
        <w:bidi w:val="0"/>
        <w:spacing w:lineRule="auto" w:line="288" w:before="0" w:after="0"/>
        <w:ind w:left="0" w:right="0" w:firstLine="360"/>
        <w:jc w:val="both"/>
        <w:rPr/>
      </w:pPr>
      <w:r>
        <w:rPr/>
      </w:r>
    </w:p>
    <w:p>
      <w:pPr>
        <w:pStyle w:val="TextBody"/>
        <w:widowControl/>
        <w:bidi w:val="0"/>
        <w:spacing w:lineRule="auto" w:line="288" w:before="0" w:after="0"/>
        <w:ind w:left="0" w:right="0" w:firstLine="72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On October 28, 2022 the Company obtained a bridge loan in the principal amount of $2,000 from Edward D. Bagley (the “2022 Bridge Loan”), an affiliate of the Company. The 2022 Bridge Loan was evidenced by a promissory note dated October 28, 2022 (the “2022 Note”) issued by the Company to Mr. Bagley. The 2022 Note bore interest at a rate of 12.0% per annum and had a maturity date of October 28, 2023. Mr. Bagley is an affiliate of the Company and the Company’s single largest stockholder. This Bridge Loan of $2,000 is included under short-term debt as of December 31, 2022. In January 2023, the 2022 Bridge loan of $2,000 along with applicable interest was repaid in full.</w:t>
      </w:r>
    </w:p>
    <w:p>
      <w:pPr>
        <w:pStyle w:val="TextBody"/>
        <w:bidi w:val="0"/>
        <w:spacing w:lineRule="auto" w:line="288" w:before="0" w:after="0"/>
        <w:ind w:left="0" w:right="0" w:firstLine="36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color w:val="000000"/>
          <w:sz w:val="20"/>
        </w:rPr>
        <w:t>UNAUDITED </w:t>
      </w:r>
      <w:r>
        <w:rPr>
          <w:rFonts w:ascii="times new roman;times" w:hAnsi="times new roman;times"/>
          <w:b/>
          <w:sz w:val="20"/>
        </w:rPr>
        <w:t>NOTES TO CONDENSED CONSOLIDATED FINANCIAL STATEMENTS</w:t>
      </w:r>
    </w:p>
    <w:p>
      <w:pPr>
        <w:pStyle w:val="TextBody"/>
        <w:bidi w:val="0"/>
        <w:spacing w:lineRule="auto" w:line="288" w:before="0" w:after="0"/>
        <w:ind w:left="0" w:right="0" w:firstLine="360"/>
        <w:jc w:val="center"/>
        <w:rPr>
          <w:rFonts w:ascii="times new roman;times" w:hAnsi="times new roman;times"/>
          <w:sz w:val="20"/>
        </w:rPr>
      </w:pPr>
      <w:r>
        <w:rPr>
          <w:rFonts w:ascii="times new roman;times" w:hAnsi="times new roman;times"/>
          <w:sz w:val="20"/>
        </w:rPr>
        <w:t>(Unaudited - Dollars in thousands, except per share amounts)</w:t>
      </w:r>
    </w:p>
    <w:p>
      <w:pPr>
        <w:pStyle w:val="TextBody"/>
        <w:bidi w:val="0"/>
        <w:spacing w:lineRule="auto" w:line="288" w:before="0" w:after="0"/>
        <w:ind w:left="0" w:right="0" w:firstLine="36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10. Share-based Compensation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As of </w:t>
      </w:r>
      <w:r>
        <w:rPr>
          <w:rFonts w:ascii="times new roman;times" w:hAnsi="times new roman;times"/>
          <w:sz w:val="20"/>
        </w:rPr>
        <w:t>September 30, 2023</w:t>
      </w:r>
      <w:r>
        <w:rPr>
          <w:rFonts w:ascii="Times New Roman" w:hAnsi="Times New Roman"/>
          <w:sz w:val="20"/>
        </w:rPr>
        <w:t>, the Company had 218,810 options</w:t>
      </w:r>
      <w:r>
        <w:rPr>
          <w:rFonts w:ascii="times new roman;times" w:hAnsi="times new roman;times"/>
          <w:sz w:val="20"/>
        </w:rPr>
        <w:t> </w:t>
      </w:r>
      <w:r>
        <w:rPr>
          <w:rFonts w:ascii="Times New Roman" w:hAnsi="Times New Roman"/>
          <w:sz w:val="20"/>
        </w:rPr>
        <w:t>with contractual lives of ten years</w:t>
      </w:r>
      <w:r>
        <w:rPr>
          <w:rFonts w:ascii="times new roman;times" w:hAnsi="times new roman;times"/>
          <w:sz w:val="20"/>
        </w:rPr>
        <w:t> </w:t>
      </w:r>
      <w:r>
        <w:rPr>
          <w:rFonts w:ascii="Times New Roman" w:hAnsi="Times New Roman"/>
          <w:sz w:val="20"/>
        </w:rPr>
        <w:t>and 393,229</w:t>
      </w:r>
      <w:r>
        <w:rPr>
          <w:rFonts w:ascii="times new roman;times" w:hAnsi="times new roman;times"/>
          <w:sz w:val="20"/>
        </w:rPr>
        <w:t> </w:t>
      </w:r>
      <w:r>
        <w:rPr>
          <w:rFonts w:ascii="Times New Roman" w:hAnsi="Times New Roman"/>
          <w:sz w:val="20"/>
        </w:rPr>
        <w:t>options with contractual lives of six years offered under the Company’s 2007 Equity Incentive Plan (the “2007 Plan”), which was restated and approved by the shareholders on December 12, 2015.</w:t>
      </w:r>
      <w:r>
        <w:rPr>
          <w:rFonts w:ascii="times new roman;times" w:hAnsi="times new roman;times"/>
          <w:sz w:val="20"/>
        </w:rPr>
        <w:t xml:space="preserve"> </w:t>
      </w:r>
      <w:r>
        <w:rPr>
          <w:rFonts w:ascii="Times New Roman" w:hAnsi="Times New Roman"/>
          <w:sz w:val="20"/>
        </w:rPr>
        <w:t xml:space="preserve">As of </w:t>
      </w:r>
      <w:r>
        <w:rPr>
          <w:rFonts w:ascii="times new roman;times" w:hAnsi="times new roman;times"/>
          <w:sz w:val="20"/>
        </w:rPr>
        <w:t>September 30, 2023</w:t>
      </w:r>
      <w:r>
        <w:rPr>
          <w:rFonts w:ascii="Times New Roman" w:hAnsi="Times New Roman"/>
          <w:sz w:val="20"/>
        </w:rPr>
        <w:t>, the 2007 Plan had 852,815</w:t>
      </w:r>
      <w:r>
        <w:rPr>
          <w:rFonts w:ascii="times new roman;times" w:hAnsi="times new roman;times"/>
          <w:sz w:val="20"/>
        </w:rPr>
        <w:t xml:space="preserve"> </w:t>
      </w:r>
      <w:r>
        <w:rPr>
          <w:rFonts w:ascii="Times New Roman" w:hAnsi="Times New Roman"/>
          <w:sz w:val="20"/>
        </w:rPr>
        <w:t>authorized unissued options.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 uses judgment in determining the fair value of the share-based payments on the date of grant using an option-pricing model with assumptions regarding</w:t>
      </w:r>
      <w:r>
        <w:rPr>
          <w:rFonts w:ascii="times new roman;times" w:hAnsi="times new roman;times"/>
          <w:sz w:val="20"/>
        </w:rPr>
        <w:t> </w:t>
      </w:r>
      <w:r>
        <w:rPr>
          <w:rFonts w:ascii="Times New Roman" w:hAnsi="Times New Roman"/>
          <w:sz w:val="20"/>
        </w:rPr>
        <w:t>a number of</w:t>
      </w:r>
      <w:r>
        <w:rPr>
          <w:rFonts w:ascii="times new roman;times" w:hAnsi="times new roman;times"/>
          <w:sz w:val="20"/>
        </w:rPr>
        <w:t> </w:t>
      </w:r>
      <w:r>
        <w:rPr>
          <w:rFonts w:ascii="Times New Roman" w:hAnsi="Times New Roman"/>
          <w:sz w:val="20"/>
        </w:rPr>
        <w:t>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w:t>
      </w:r>
      <w:r>
        <w:rPr>
          <w:rFonts w:ascii="times new roman;times" w:hAnsi="times new roman;times"/>
          <w:sz w:val="20"/>
        </w:rPr>
        <w:t> </w:t>
      </w:r>
      <w:r>
        <w:rPr>
          <w:rFonts w:ascii="Times New Roman" w:hAnsi="Times New Roman"/>
          <w:sz w:val="20"/>
        </w:rPr>
        <w:t>option pricing model to determine the fair value of share-based payments granted under the guidelines of ASC Topic</w:t>
      </w:r>
      <w:r>
        <w:rPr>
          <w:rFonts w:ascii="times new roman;times" w:hAnsi="times new roman;times"/>
          <w:sz w:val="20"/>
        </w:rPr>
        <w:t> </w:t>
      </w:r>
      <w:r>
        <w:rPr>
          <w:rFonts w:ascii="Times New Roman" w:hAnsi="Times New Roman"/>
          <w:sz w:val="20"/>
        </w:rPr>
        <w:t>718. 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applying the Black-Scholes methodology to 160,000 options granted in June 2023, the Company used the following assumptions:</w:t>
      </w:r>
      <w:r>
        <w:rPr>
          <w:rFonts w:ascii="times new roman;times" w:hAnsi="times new roman;times"/>
          <w:sz w:val="20"/>
        </w:rPr>
        <w:t> </w:t>
      </w:r>
    </w:p>
    <w:p>
      <w:pPr>
        <w:pStyle w:val="TextBody"/>
        <w:bidi w:val="0"/>
        <w:spacing w:before="0" w:after="0"/>
        <w:ind w:left="0" w:right="0" w:hanging="0"/>
        <w:jc w:val="both"/>
        <w:rPr/>
      </w:pPr>
      <w:r>
        <w:rPr/>
        <w:t> </w:t>
      </w:r>
    </w:p>
    <w:tbl>
      <w:tblPr>
        <w:tblW w:w="2500" w:type="pct"/>
        <w:jc w:val="left"/>
        <w:tblInd w:w="0" w:type="dxa"/>
        <w:tblLayout w:type="fixed"/>
        <w:tblCellMar>
          <w:top w:w="0" w:type="dxa"/>
          <w:left w:w="0" w:type="dxa"/>
          <w:bottom w:w="0" w:type="dxa"/>
          <w:right w:w="0" w:type="dxa"/>
        </w:tblCellMar>
      </w:tblPr>
      <w:tblGrid>
        <w:gridCol w:w="4077"/>
        <w:gridCol w:w="1025"/>
      </w:tblGrid>
      <w:tr>
        <w:trPr/>
        <w:tc>
          <w:tcPr>
            <w:tcW w:w="4077" w:type="dxa"/>
            <w:tcBorders/>
            <w:shd w:fill="CCEEFF" w:val="clear"/>
            <w:vAlign w:val="bottom"/>
          </w:tcPr>
          <w:p>
            <w:pPr>
              <w:pStyle w:val="TableContents"/>
              <w:pBdr/>
              <w:bidi w:val="0"/>
              <w:spacing w:lineRule="auto" w:line="259" w:before="0" w:after="0"/>
              <w:ind w:left="0" w:right="0" w:hanging="0"/>
              <w:jc w:val="left"/>
              <w:rPr>
                <w:rFonts w:ascii="Times New Roman" w:hAnsi="Times New Roman"/>
                <w:sz w:val="20"/>
              </w:rPr>
            </w:pPr>
            <w:r>
              <w:rPr>
                <w:rFonts w:ascii="Times New Roman" w:hAnsi="Times New Roman"/>
                <w:sz w:val="20"/>
              </w:rPr>
              <w:t xml:space="preserve">Risk free interest rate, average </w:t>
            </w:r>
          </w:p>
        </w:tc>
        <w:tc>
          <w:tcPr>
            <w:tcW w:w="1025" w:type="dxa"/>
            <w:tcBorders/>
            <w:shd w:fill="CCEEFF" w:val="clear"/>
            <w:vAlign w:val="bottom"/>
          </w:tcPr>
          <w:p>
            <w:pPr>
              <w:pStyle w:val="TableContents"/>
              <w:pBdr/>
              <w:bidi w:val="0"/>
              <w:spacing w:lineRule="auto" w:line="259" w:before="0" w:after="0"/>
              <w:ind w:left="0" w:right="0" w:hanging="0"/>
              <w:jc w:val="right"/>
              <w:rPr>
                <w:rFonts w:ascii="Times New Roman" w:hAnsi="Times New Roman"/>
                <w:sz w:val="20"/>
              </w:rPr>
            </w:pPr>
            <w:r>
              <w:rPr>
                <w:rFonts w:ascii="Times New Roman" w:hAnsi="Times New Roman"/>
                <w:sz w:val="20"/>
              </w:rPr>
              <w:t xml:space="preserve">3.91% </w:t>
            </w:r>
          </w:p>
        </w:tc>
      </w:tr>
      <w:tr>
        <w:trPr/>
        <w:tc>
          <w:tcPr>
            <w:tcW w:w="4077" w:type="dxa"/>
            <w:tcBorders/>
            <w:vAlign w:val="bottom"/>
          </w:tcPr>
          <w:p>
            <w:pPr>
              <w:pStyle w:val="TableContents"/>
              <w:pBdr/>
              <w:bidi w:val="0"/>
              <w:spacing w:lineRule="auto" w:line="259" w:before="0" w:after="0"/>
              <w:ind w:left="0" w:right="0" w:hanging="0"/>
              <w:jc w:val="left"/>
              <w:rPr>
                <w:rFonts w:ascii="Times New Roman" w:hAnsi="Times New Roman"/>
                <w:sz w:val="20"/>
              </w:rPr>
            </w:pPr>
            <w:r>
              <w:rPr>
                <w:rFonts w:ascii="Times New Roman" w:hAnsi="Times New Roman"/>
                <w:sz w:val="20"/>
              </w:rPr>
              <w:t xml:space="preserve">Expected option life, average </w:t>
            </w:r>
          </w:p>
        </w:tc>
        <w:tc>
          <w:tcPr>
            <w:tcW w:w="1025" w:type="dxa"/>
            <w:tcBorders/>
            <w:vAlign w:val="bottom"/>
          </w:tcPr>
          <w:p>
            <w:pPr>
              <w:pStyle w:val="TableContents"/>
              <w:pBdr/>
              <w:bidi w:val="0"/>
              <w:spacing w:lineRule="auto" w:line="259" w:before="0" w:after="0"/>
              <w:ind w:left="0" w:right="0" w:hanging="0"/>
              <w:jc w:val="right"/>
              <w:rPr>
                <w:rFonts w:ascii="Times New Roman" w:hAnsi="Times New Roman"/>
                <w:sz w:val="20"/>
              </w:rPr>
            </w:pPr>
            <w:r>
              <w:rPr>
                <w:rFonts w:ascii="Times New Roman" w:hAnsi="Times New Roman"/>
                <w:sz w:val="20"/>
              </w:rPr>
              <w:t xml:space="preserve">5 years </w:t>
            </w:r>
          </w:p>
        </w:tc>
      </w:tr>
      <w:tr>
        <w:trPr/>
        <w:tc>
          <w:tcPr>
            <w:tcW w:w="4077" w:type="dxa"/>
            <w:tcBorders/>
            <w:shd w:fill="CCEEFF" w:val="clear"/>
            <w:vAlign w:val="bottom"/>
          </w:tcPr>
          <w:p>
            <w:pPr>
              <w:pStyle w:val="TableContents"/>
              <w:pBdr/>
              <w:bidi w:val="0"/>
              <w:spacing w:lineRule="auto" w:line="259" w:before="0" w:after="0"/>
              <w:ind w:left="0" w:right="0" w:hanging="0"/>
              <w:jc w:val="left"/>
              <w:rPr>
                <w:rFonts w:ascii="Times New Roman" w:hAnsi="Times New Roman"/>
                <w:sz w:val="20"/>
              </w:rPr>
            </w:pPr>
            <w:r>
              <w:rPr>
                <w:rFonts w:ascii="Times New Roman" w:hAnsi="Times New Roman"/>
                <w:sz w:val="20"/>
              </w:rPr>
              <w:t xml:space="preserve">Expected price volatility, average </w:t>
            </w:r>
          </w:p>
        </w:tc>
        <w:tc>
          <w:tcPr>
            <w:tcW w:w="1025" w:type="dxa"/>
            <w:tcBorders/>
            <w:shd w:fill="CCEEFF" w:val="clear"/>
            <w:vAlign w:val="bottom"/>
          </w:tcPr>
          <w:p>
            <w:pPr>
              <w:pStyle w:val="TableContents"/>
              <w:pBdr/>
              <w:bidi w:val="0"/>
              <w:spacing w:lineRule="auto" w:line="259" w:before="0" w:after="0"/>
              <w:ind w:left="0" w:right="0" w:hanging="0"/>
              <w:jc w:val="right"/>
              <w:rPr>
                <w:rFonts w:ascii="Times New Roman" w:hAnsi="Times New Roman"/>
                <w:sz w:val="20"/>
              </w:rPr>
            </w:pPr>
            <w:r>
              <w:rPr>
                <w:rFonts w:ascii="Times New Roman" w:hAnsi="Times New Roman"/>
                <w:sz w:val="20"/>
              </w:rPr>
              <w:t xml:space="preserve">91.47% </w:t>
            </w:r>
          </w:p>
        </w:tc>
      </w:tr>
      <w:tr>
        <w:trPr/>
        <w:tc>
          <w:tcPr>
            <w:tcW w:w="4077" w:type="dxa"/>
            <w:tcBorders/>
            <w:vAlign w:val="bottom"/>
          </w:tcPr>
          <w:p>
            <w:pPr>
              <w:pStyle w:val="TableContents"/>
              <w:pBdr/>
              <w:bidi w:val="0"/>
              <w:spacing w:lineRule="auto" w:line="259" w:before="0" w:after="0"/>
              <w:ind w:left="0" w:right="0" w:hanging="0"/>
              <w:jc w:val="left"/>
              <w:rPr>
                <w:rFonts w:ascii="Times New Roman" w:hAnsi="Times New Roman"/>
                <w:sz w:val="20"/>
              </w:rPr>
            </w:pPr>
            <w:r>
              <w:rPr>
                <w:rFonts w:ascii="Times New Roman" w:hAnsi="Times New Roman"/>
                <w:sz w:val="20"/>
              </w:rPr>
              <w:t xml:space="preserve">Expected dividend yield </w:t>
            </w:r>
          </w:p>
        </w:tc>
        <w:tc>
          <w:tcPr>
            <w:tcW w:w="1025" w:type="dxa"/>
            <w:tcBorders/>
            <w:vAlign w:val="bottom"/>
          </w:tcPr>
          <w:p>
            <w:pPr>
              <w:pStyle w:val="TableContents"/>
              <w:pBdr/>
              <w:bidi w:val="0"/>
              <w:spacing w:lineRule="auto" w:line="259" w:before="0" w:after="0"/>
              <w:ind w:left="0" w:right="0" w:hanging="0"/>
              <w:jc w:val="right"/>
              <w:rPr>
                <w:rFonts w:ascii="Times New Roman" w:hAnsi="Times New Roman"/>
                <w:sz w:val="20"/>
              </w:rPr>
            </w:pPr>
            <w:r>
              <w:rPr>
                <w:rFonts w:ascii="Times New Roman" w:hAnsi="Times New Roman"/>
                <w:sz w:val="20"/>
              </w:rPr>
              <w:t xml:space="preserve">0%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summary of the stock option activity under the Company’s plans for the nine months ended September 30, 2023,</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4738"/>
        <w:gridCol w:w="135"/>
        <w:gridCol w:w="243"/>
        <w:gridCol w:w="1496"/>
        <w:gridCol w:w="135"/>
        <w:gridCol w:w="135"/>
        <w:gridCol w:w="782"/>
        <w:gridCol w:w="2389"/>
        <w:gridCol w:w="152"/>
      </w:tblGrid>
      <w:tr>
        <w:trPr/>
        <w:tc>
          <w:tcPr>
            <w:tcW w:w="4738" w:type="dxa"/>
            <w:tcBorders/>
            <w:vAlign w:val="bottom"/>
          </w:tcPr>
          <w:p>
            <w:pPr>
              <w:pStyle w:val="TableContents"/>
              <w:bidi w:val="0"/>
              <w:spacing w:before="0" w:after="0"/>
              <w:ind w:left="0" w:right="0" w:hanging="0"/>
              <w:jc w:val="left"/>
              <w:rPr/>
            </w:pPr>
            <w:r>
              <w:rPr/>
              <w:t xml:space="preserve">  </w:t>
            </w:r>
          </w:p>
        </w:tc>
        <w:tc>
          <w:tcPr>
            <w:tcW w:w="135" w:type="dxa"/>
            <w:tcBorders/>
            <w:vAlign w:val="bottom"/>
          </w:tcPr>
          <w:p>
            <w:pPr>
              <w:pStyle w:val="TableContents"/>
              <w:bidi w:val="0"/>
              <w:spacing w:before="0" w:after="0"/>
              <w:ind w:left="0" w:right="0" w:hanging="0"/>
              <w:jc w:val="left"/>
              <w:rPr/>
            </w:pPr>
            <w:r>
              <w:rPr/>
              <w:t xml:space="preserve">  </w:t>
            </w:r>
          </w:p>
        </w:tc>
        <w:tc>
          <w:tcPr>
            <w:tcW w:w="1739"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Number of shares </w:t>
            </w:r>
          </w:p>
        </w:tc>
        <w:tc>
          <w:tcPr>
            <w:tcW w:w="135" w:type="dxa"/>
            <w:tcBorders/>
            <w:vAlign w:val="bottom"/>
          </w:tcPr>
          <w:p>
            <w:pPr>
              <w:pStyle w:val="TableContents"/>
              <w:bidi w:val="0"/>
              <w:spacing w:before="0" w:after="0"/>
              <w:ind w:left="0" w:right="0" w:hanging="0"/>
              <w:jc w:val="left"/>
              <w:rPr/>
            </w:pPr>
            <w:r>
              <w:rPr/>
              <w:t xml:space="preserve">  </w:t>
            </w:r>
          </w:p>
        </w:tc>
        <w:tc>
          <w:tcPr>
            <w:tcW w:w="135" w:type="dxa"/>
            <w:tcBorders/>
            <w:vAlign w:val="bottom"/>
          </w:tcPr>
          <w:p>
            <w:pPr>
              <w:pStyle w:val="TableContents"/>
              <w:bidi w:val="0"/>
              <w:spacing w:before="0" w:after="0"/>
              <w:ind w:left="0" w:right="0" w:hanging="0"/>
              <w:jc w:val="left"/>
              <w:rPr/>
            </w:pPr>
            <w:r>
              <w:rPr/>
              <w:t xml:space="preserve">  </w:t>
            </w:r>
          </w:p>
        </w:tc>
        <w:tc>
          <w:tcPr>
            <w:tcW w:w="3171"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Weighted average exercise price </w:t>
            </w:r>
          </w:p>
        </w:tc>
        <w:tc>
          <w:tcPr>
            <w:tcW w:w="152" w:type="dxa"/>
            <w:tcBorders/>
            <w:vAlign w:val="bottom"/>
          </w:tcPr>
          <w:p>
            <w:pPr>
              <w:pStyle w:val="TableContents"/>
              <w:bidi w:val="0"/>
              <w:spacing w:before="0" w:after="0"/>
              <w:ind w:left="0" w:right="0" w:hanging="0"/>
              <w:jc w:val="left"/>
              <w:rPr/>
            </w:pPr>
            <w:r>
              <w:rPr/>
              <w:t xml:space="preserve">  </w:t>
            </w:r>
          </w:p>
        </w:tc>
      </w:tr>
      <w:tr>
        <w:trPr/>
        <w:tc>
          <w:tcPr>
            <w:tcW w:w="4738"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beginning of year </w:t>
            </w:r>
          </w:p>
        </w:tc>
        <w:tc>
          <w:tcPr>
            <w:tcW w:w="135" w:type="dxa"/>
            <w:tcBorders/>
            <w:shd w:fill="CCEEFF" w:val="clear"/>
            <w:vAlign w:val="bottom"/>
          </w:tcPr>
          <w:p>
            <w:pPr>
              <w:pStyle w:val="TableContents"/>
              <w:bidi w:val="0"/>
              <w:spacing w:before="0" w:after="0"/>
              <w:ind w:left="0" w:right="0" w:hanging="0"/>
              <w:jc w:val="left"/>
              <w:rPr/>
            </w:pPr>
            <w:r>
              <w:rPr/>
              <w:t xml:space="preserve">  </w:t>
            </w:r>
          </w:p>
        </w:tc>
        <w:tc>
          <w:tcPr>
            <w:tcW w:w="243" w:type="dxa"/>
            <w:tcBorders/>
            <w:shd w:fill="CCEEFF" w:val="clear"/>
            <w:vAlign w:val="bottom"/>
          </w:tcPr>
          <w:p>
            <w:pPr>
              <w:pStyle w:val="TableContents"/>
              <w:bidi w:val="0"/>
              <w:spacing w:before="0" w:after="0"/>
              <w:ind w:left="0" w:right="0" w:hanging="0"/>
              <w:jc w:val="left"/>
              <w:rPr/>
            </w:pPr>
            <w:r>
              <w:rPr/>
              <w:t xml:space="preserve">  </w:t>
            </w:r>
          </w:p>
        </w:tc>
        <w:tc>
          <w:tcPr>
            <w:tcW w:w="149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488,477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7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8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6.48 </w:t>
            </w:r>
          </w:p>
        </w:tc>
        <w:tc>
          <w:tcPr>
            <w:tcW w:w="152" w:type="dxa"/>
            <w:tcBorders/>
            <w:shd w:fill="CCEEFF" w:val="clear"/>
            <w:vAlign w:val="bottom"/>
          </w:tcPr>
          <w:p>
            <w:pPr>
              <w:pStyle w:val="TableContents"/>
              <w:pBdr/>
              <w:bidi w:val="0"/>
              <w:spacing w:before="0" w:after="0"/>
              <w:ind w:left="0" w:right="0" w:hanging="0"/>
              <w:jc w:val="left"/>
              <w:rPr/>
            </w:pPr>
            <w:r>
              <w:rPr/>
              <w:t xml:space="preserve">  </w:t>
            </w:r>
          </w:p>
        </w:tc>
      </w:tr>
      <w:tr>
        <w:trPr/>
        <w:tc>
          <w:tcPr>
            <w:tcW w:w="4738" w:type="dxa"/>
            <w:tcBorders/>
            <w:shd w:fill="FFFF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Granted </w:t>
            </w:r>
          </w:p>
        </w:tc>
        <w:tc>
          <w:tcPr>
            <w:tcW w:w="135" w:type="dxa"/>
            <w:tcBorders/>
            <w:shd w:fill="FFFFFF" w:val="clear"/>
            <w:vAlign w:val="bottom"/>
          </w:tcPr>
          <w:p>
            <w:pPr>
              <w:pStyle w:val="TableContents"/>
              <w:bidi w:val="0"/>
              <w:spacing w:before="0" w:after="0"/>
              <w:ind w:left="0" w:right="0" w:hanging="0"/>
              <w:jc w:val="left"/>
              <w:rPr/>
            </w:pPr>
            <w:r>
              <w:rPr/>
              <w:t xml:space="preserve">  </w:t>
            </w:r>
          </w:p>
        </w:tc>
        <w:tc>
          <w:tcPr>
            <w:tcW w:w="243" w:type="dxa"/>
            <w:tcBorders/>
            <w:shd w:fill="FFFFFF" w:val="clear"/>
            <w:vAlign w:val="bottom"/>
          </w:tcPr>
          <w:p>
            <w:pPr>
              <w:pStyle w:val="TableContents"/>
              <w:bidi w:val="0"/>
              <w:spacing w:before="0" w:after="0"/>
              <w:ind w:left="0" w:right="0" w:hanging="0"/>
              <w:jc w:val="left"/>
              <w:rPr/>
            </w:pPr>
            <w:r>
              <w:rPr/>
              <w:t xml:space="preserve">  </w:t>
            </w:r>
          </w:p>
        </w:tc>
        <w:tc>
          <w:tcPr>
            <w:tcW w:w="149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160,000 </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782" w:type="dxa"/>
            <w:tcBorders/>
            <w:shd w:fill="FFFFFF" w:val="clear"/>
            <w:vAlign w:val="bottom"/>
          </w:tcPr>
          <w:p>
            <w:pPr>
              <w:pStyle w:val="TableContents"/>
              <w:pBdr/>
              <w:bidi w:val="0"/>
              <w:spacing w:before="0" w:after="0"/>
              <w:ind w:left="0" w:right="0" w:hanging="0"/>
              <w:jc w:val="left"/>
              <w:rPr/>
            </w:pPr>
            <w:r>
              <w:rPr/>
              <w:t xml:space="preserve">  </w:t>
            </w:r>
          </w:p>
        </w:tc>
        <w:tc>
          <w:tcPr>
            <w:tcW w:w="238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1.01</w:t>
            </w:r>
          </w:p>
        </w:tc>
        <w:tc>
          <w:tcPr>
            <w:tcW w:w="152" w:type="dxa"/>
            <w:tcBorders/>
            <w:shd w:fill="FFFFFF" w:val="clear"/>
            <w:vAlign w:val="bottom"/>
          </w:tcPr>
          <w:p>
            <w:pPr>
              <w:pStyle w:val="TableContents"/>
              <w:pBdr/>
              <w:bidi w:val="0"/>
              <w:spacing w:before="0" w:after="0"/>
              <w:ind w:left="0" w:right="0" w:hanging="0"/>
              <w:jc w:val="left"/>
              <w:rPr/>
            </w:pPr>
            <w:r>
              <w:rPr/>
              <w:t xml:space="preserve">  </w:t>
            </w:r>
          </w:p>
        </w:tc>
      </w:tr>
      <w:tr>
        <w:trPr/>
        <w:tc>
          <w:tcPr>
            <w:tcW w:w="473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w:t>
            </w:r>
          </w:p>
        </w:tc>
        <w:tc>
          <w:tcPr>
            <w:tcW w:w="135" w:type="dxa"/>
            <w:tcBorders/>
            <w:shd w:fill="CCEEFF" w:val="clear"/>
            <w:vAlign w:val="bottom"/>
          </w:tcPr>
          <w:p>
            <w:pPr>
              <w:pStyle w:val="TableContents"/>
              <w:bidi w:val="0"/>
              <w:spacing w:before="0" w:after="0"/>
              <w:ind w:left="0" w:right="0" w:hanging="0"/>
              <w:jc w:val="left"/>
              <w:rPr/>
            </w:pPr>
            <w:r>
              <w:rPr/>
              <w:t xml:space="preserve">  </w:t>
            </w:r>
          </w:p>
        </w:tc>
        <w:tc>
          <w:tcPr>
            <w:tcW w:w="243" w:type="dxa"/>
            <w:tcBorders/>
            <w:shd w:fill="CCEEFF" w:val="clear"/>
            <w:vAlign w:val="bottom"/>
          </w:tcPr>
          <w:p>
            <w:pPr>
              <w:pStyle w:val="TableContents"/>
              <w:bidi w:val="0"/>
              <w:spacing w:before="0" w:after="0"/>
              <w:ind w:left="0" w:right="0" w:hanging="0"/>
              <w:jc w:val="left"/>
              <w:rPr/>
            </w:pPr>
            <w:r>
              <w:rPr/>
              <w:t xml:space="preserve">  </w:t>
            </w:r>
          </w:p>
        </w:tc>
        <w:tc>
          <w:tcPr>
            <w:tcW w:w="1496" w:type="dxa"/>
            <w:tcBorders/>
            <w:shd w:fill="CCEEFF" w:val="clear"/>
            <w:vAlign w:val="bottom"/>
          </w:tcPr>
          <w:p>
            <w:pPr>
              <w:pStyle w:val="TableContents"/>
              <w:pBdr/>
              <w:bidi w:val="0"/>
              <w:spacing w:before="0" w:after="0"/>
              <w:ind w:left="0" w:right="0" w:hanging="0"/>
              <w:jc w:val="left"/>
              <w:rPr/>
            </w:pPr>
            <w:r>
              <w:rPr/>
              <w:t xml:space="preserve">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782" w:type="dxa"/>
            <w:tcBorders/>
            <w:shd w:fill="CCEEFF" w:val="clear"/>
            <w:vAlign w:val="bottom"/>
          </w:tcPr>
          <w:p>
            <w:pPr>
              <w:pStyle w:val="TableContents"/>
              <w:pBdr/>
              <w:bidi w:val="0"/>
              <w:spacing w:before="0" w:after="0"/>
              <w:ind w:left="0" w:right="0" w:hanging="0"/>
              <w:jc w:val="left"/>
              <w:rPr/>
            </w:pPr>
            <w:r>
              <w:rPr/>
              <w:t xml:space="preserve">  </w:t>
            </w:r>
          </w:p>
        </w:tc>
        <w:tc>
          <w:tcPr>
            <w:tcW w:w="2389" w:type="dxa"/>
            <w:tcBorders/>
            <w:shd w:fill="CCEEFF" w:val="clear"/>
            <w:vAlign w:val="bottom"/>
          </w:tcPr>
          <w:p>
            <w:pPr>
              <w:pStyle w:val="TableContents"/>
              <w:pBdr/>
              <w:bidi w:val="0"/>
              <w:spacing w:before="0" w:after="0"/>
              <w:ind w:left="0" w:right="0" w:hanging="0"/>
              <w:jc w:val="left"/>
              <w:rPr/>
            </w:pPr>
            <w:r>
              <w:rPr/>
              <w:t xml:space="preserve">  </w:t>
            </w:r>
          </w:p>
        </w:tc>
        <w:tc>
          <w:tcPr>
            <w:tcW w:w="152" w:type="dxa"/>
            <w:tcBorders/>
            <w:shd w:fill="CCEEFF" w:val="clear"/>
            <w:vAlign w:val="bottom"/>
          </w:tcPr>
          <w:p>
            <w:pPr>
              <w:pStyle w:val="TableContents"/>
              <w:pBdr/>
              <w:bidi w:val="0"/>
              <w:spacing w:before="0" w:after="0"/>
              <w:ind w:left="0" w:right="0" w:hanging="0"/>
              <w:jc w:val="left"/>
              <w:rPr/>
            </w:pPr>
            <w:r>
              <w:rPr/>
              <w:t xml:space="preserve">  </w:t>
            </w:r>
          </w:p>
        </w:tc>
      </w:tr>
      <w:tr>
        <w:trPr/>
        <w:tc>
          <w:tcPr>
            <w:tcW w:w="4738" w:type="dxa"/>
            <w:tcBorders/>
            <w:shd w:fill="FFFF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Exercised </w:t>
            </w:r>
          </w:p>
        </w:tc>
        <w:tc>
          <w:tcPr>
            <w:tcW w:w="135" w:type="dxa"/>
            <w:tcBorders/>
            <w:shd w:fill="FFFFFF" w:val="clear"/>
            <w:vAlign w:val="bottom"/>
          </w:tcPr>
          <w:p>
            <w:pPr>
              <w:pStyle w:val="TableContents"/>
              <w:bidi w:val="0"/>
              <w:spacing w:before="0" w:after="0"/>
              <w:ind w:left="0" w:right="0" w:hanging="0"/>
              <w:jc w:val="left"/>
              <w:rPr/>
            </w:pPr>
            <w:r>
              <w:rPr/>
              <w:t xml:space="preserve">  </w:t>
            </w:r>
          </w:p>
        </w:tc>
        <w:tc>
          <w:tcPr>
            <w:tcW w:w="243" w:type="dxa"/>
            <w:tcBorders/>
            <w:shd w:fill="FFFFFF" w:val="clear"/>
            <w:vAlign w:val="bottom"/>
          </w:tcPr>
          <w:p>
            <w:pPr>
              <w:pStyle w:val="TableContents"/>
              <w:bidi w:val="0"/>
              <w:spacing w:before="0" w:after="0"/>
              <w:ind w:left="0" w:right="0" w:hanging="0"/>
              <w:jc w:val="left"/>
              <w:rPr/>
            </w:pPr>
            <w:r>
              <w:rPr/>
              <w:t xml:space="preserve">  </w:t>
            </w:r>
          </w:p>
        </w:tc>
        <w:tc>
          <w:tcPr>
            <w:tcW w:w="1496" w:type="dxa"/>
            <w:tcBorders/>
            <w:shd w:fill="FFFFFF" w:val="clear"/>
            <w:vAlign w:val="bottom"/>
          </w:tcPr>
          <w:p>
            <w:pPr>
              <w:pStyle w:val="TableContents"/>
              <w:pBdr/>
              <w:bidi w:val="0"/>
              <w:spacing w:before="0" w:after="0"/>
              <w:ind w:left="0" w:right="0" w:hanging="0"/>
              <w:jc w:val="right"/>
              <w:rPr/>
            </w:pPr>
            <w:r>
              <w:rPr/>
              <w:t>—</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782" w:type="dxa"/>
            <w:tcBorders/>
            <w:shd w:fill="FFFFFF" w:val="clear"/>
            <w:vAlign w:val="bottom"/>
          </w:tcPr>
          <w:p>
            <w:pPr>
              <w:pStyle w:val="TableContents"/>
              <w:pBdr/>
              <w:bidi w:val="0"/>
              <w:spacing w:before="0" w:after="0"/>
              <w:ind w:left="0" w:right="0" w:hanging="0"/>
              <w:jc w:val="left"/>
              <w:rPr/>
            </w:pPr>
            <w:r>
              <w:rPr/>
              <w:t xml:space="preserve">  </w:t>
            </w:r>
          </w:p>
        </w:tc>
        <w:tc>
          <w:tcPr>
            <w:tcW w:w="2389" w:type="dxa"/>
            <w:tcBorders/>
            <w:shd w:fill="FFFFFF" w:val="clear"/>
            <w:vAlign w:val="bottom"/>
          </w:tcPr>
          <w:p>
            <w:pPr>
              <w:pStyle w:val="TableContents"/>
              <w:pBdr/>
              <w:bidi w:val="0"/>
              <w:spacing w:before="0" w:after="0"/>
              <w:ind w:left="0" w:right="0" w:hanging="0"/>
              <w:jc w:val="right"/>
              <w:rPr/>
            </w:pPr>
            <w:r>
              <w:rPr/>
              <w:t>—</w:t>
            </w:r>
          </w:p>
        </w:tc>
        <w:tc>
          <w:tcPr>
            <w:tcW w:w="152" w:type="dxa"/>
            <w:tcBorders/>
            <w:shd w:fill="FFFFFF" w:val="clear"/>
            <w:vAlign w:val="bottom"/>
          </w:tcPr>
          <w:p>
            <w:pPr>
              <w:pStyle w:val="TableContents"/>
              <w:pBdr/>
              <w:bidi w:val="0"/>
              <w:spacing w:before="0" w:after="0"/>
              <w:ind w:left="0" w:right="0" w:hanging="0"/>
              <w:jc w:val="left"/>
              <w:rPr/>
            </w:pPr>
            <w:r>
              <w:rPr/>
              <w:t xml:space="preserve">  </w:t>
            </w:r>
          </w:p>
        </w:tc>
      </w:tr>
      <w:tr>
        <w:trPr/>
        <w:tc>
          <w:tcPr>
            <w:tcW w:w="4738"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Forfeited prior to vesting </w:t>
            </w:r>
          </w:p>
        </w:tc>
        <w:tc>
          <w:tcPr>
            <w:tcW w:w="135" w:type="dxa"/>
            <w:tcBorders/>
            <w:shd w:fill="CCEEFF" w:val="clear"/>
            <w:vAlign w:val="bottom"/>
          </w:tcPr>
          <w:p>
            <w:pPr>
              <w:pStyle w:val="TableContents"/>
              <w:bidi w:val="0"/>
              <w:spacing w:before="0" w:after="0"/>
              <w:ind w:left="0" w:right="0" w:hanging="0"/>
              <w:jc w:val="left"/>
              <w:rPr/>
            </w:pPr>
            <w:r>
              <w:rPr/>
              <w:t xml:space="preserve">  </w:t>
            </w:r>
          </w:p>
        </w:tc>
        <w:tc>
          <w:tcPr>
            <w:tcW w:w="243" w:type="dxa"/>
            <w:tcBorders/>
            <w:shd w:fill="CCEEFF" w:val="clear"/>
            <w:vAlign w:val="bottom"/>
          </w:tcPr>
          <w:p>
            <w:pPr>
              <w:pStyle w:val="TableContents"/>
              <w:bidi w:val="0"/>
              <w:spacing w:before="0" w:after="0"/>
              <w:ind w:left="0" w:right="0" w:hanging="0"/>
              <w:jc w:val="left"/>
              <w:rPr/>
            </w:pPr>
            <w:r>
              <w:rPr/>
              <w:t xml:space="preserve">  </w:t>
            </w:r>
          </w:p>
        </w:tc>
        <w:tc>
          <w:tcPr>
            <w:tcW w:w="149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(5,210</w:t>
            </w:r>
          </w:p>
        </w:tc>
        <w:tc>
          <w:tcPr>
            <w:tcW w:w="135" w:type="dxa"/>
            <w:tcBorders/>
            <w:shd w:fill="CCEEFF" w:val="clear"/>
            <w:vAlign w:val="bottom"/>
          </w:tcPr>
          <w:p>
            <w:pPr>
              <w:pStyle w:val="TableContents"/>
              <w:bidi w:val="0"/>
              <w:spacing w:before="0" w:after="0"/>
              <w:ind w:left="0" w:right="0" w:hanging="0"/>
              <w:jc w:val="left"/>
              <w:rPr/>
            </w:pPr>
            <w:r>
              <w:rPr/>
              <w:t>)</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782" w:type="dxa"/>
            <w:tcBorders/>
            <w:shd w:fill="CCEEFF" w:val="clear"/>
            <w:vAlign w:val="bottom"/>
          </w:tcPr>
          <w:p>
            <w:pPr>
              <w:pStyle w:val="TableContents"/>
              <w:pBdr/>
              <w:bidi w:val="0"/>
              <w:spacing w:before="0" w:after="0"/>
              <w:ind w:left="0" w:right="0" w:hanging="0"/>
              <w:jc w:val="left"/>
              <w:rPr/>
            </w:pPr>
            <w:r>
              <w:rPr/>
              <w:t xml:space="preserve">  </w:t>
            </w:r>
          </w:p>
        </w:tc>
        <w:tc>
          <w:tcPr>
            <w:tcW w:w="238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2.50 </w:t>
            </w:r>
          </w:p>
        </w:tc>
        <w:tc>
          <w:tcPr>
            <w:tcW w:w="152" w:type="dxa"/>
            <w:tcBorders/>
            <w:shd w:fill="CCEEFF" w:val="clear"/>
            <w:vAlign w:val="bottom"/>
          </w:tcPr>
          <w:p>
            <w:pPr>
              <w:pStyle w:val="TableContents"/>
              <w:pBdr/>
              <w:bidi w:val="0"/>
              <w:spacing w:before="0" w:after="0"/>
              <w:ind w:left="0" w:right="0" w:hanging="0"/>
              <w:jc w:val="left"/>
              <w:rPr/>
            </w:pPr>
            <w:r>
              <w:rPr/>
              <w:t xml:space="preserve">  </w:t>
            </w:r>
          </w:p>
        </w:tc>
      </w:tr>
      <w:tr>
        <w:trPr/>
        <w:tc>
          <w:tcPr>
            <w:tcW w:w="4738" w:type="dxa"/>
            <w:tcBorders/>
            <w:shd w:fill="FFFF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Canceled or expired </w:t>
            </w:r>
          </w:p>
        </w:tc>
        <w:tc>
          <w:tcPr>
            <w:tcW w:w="135" w:type="dxa"/>
            <w:tcBorders/>
            <w:shd w:fill="FFFFFF" w:val="clear"/>
            <w:vAlign w:val="bottom"/>
          </w:tcPr>
          <w:p>
            <w:pPr>
              <w:pStyle w:val="TableContents"/>
              <w:bidi w:val="0"/>
              <w:spacing w:before="0" w:after="0"/>
              <w:ind w:left="0" w:right="0" w:hanging="0"/>
              <w:jc w:val="left"/>
              <w:rPr/>
            </w:pPr>
            <w:r>
              <w:rPr/>
              <w:t xml:space="preserve">  </w:t>
            </w:r>
          </w:p>
        </w:tc>
        <w:tc>
          <w:tcPr>
            <w:tcW w:w="243" w:type="dxa"/>
            <w:tcBorders/>
            <w:shd w:fill="FFFFFF" w:val="clear"/>
            <w:vAlign w:val="bottom"/>
          </w:tcPr>
          <w:p>
            <w:pPr>
              <w:pStyle w:val="TableContents"/>
              <w:bidi w:val="0"/>
              <w:spacing w:before="0" w:after="0"/>
              <w:ind w:left="0" w:right="0" w:hanging="0"/>
              <w:jc w:val="left"/>
              <w:rPr/>
            </w:pPr>
            <w:r>
              <w:rPr/>
              <w:t xml:space="preserve">  </w:t>
            </w:r>
          </w:p>
        </w:tc>
        <w:tc>
          <w:tcPr>
            <w:tcW w:w="149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(31,228</w:t>
            </w:r>
          </w:p>
        </w:tc>
        <w:tc>
          <w:tcPr>
            <w:tcW w:w="135" w:type="dxa"/>
            <w:tcBorders/>
            <w:shd w:fill="FFFFFF" w:val="clear"/>
            <w:vAlign w:val="bottom"/>
          </w:tcPr>
          <w:p>
            <w:pPr>
              <w:pStyle w:val="TableContents"/>
              <w:bidi w:val="0"/>
              <w:spacing w:before="0" w:after="0"/>
              <w:ind w:left="0" w:right="0" w:hanging="0"/>
              <w:jc w:val="left"/>
              <w:rPr/>
            </w:pPr>
            <w:r>
              <w:rPr/>
              <w:t>)</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782" w:type="dxa"/>
            <w:tcBorders/>
            <w:shd w:fill="FFFFFF" w:val="clear"/>
            <w:vAlign w:val="bottom"/>
          </w:tcPr>
          <w:p>
            <w:pPr>
              <w:pStyle w:val="TableContents"/>
              <w:pBdr/>
              <w:bidi w:val="0"/>
              <w:spacing w:before="0" w:after="0"/>
              <w:ind w:left="0" w:right="0" w:hanging="0"/>
              <w:jc w:val="left"/>
              <w:rPr/>
            </w:pPr>
            <w:r>
              <w:rPr/>
              <w:t xml:space="preserve">  </w:t>
            </w:r>
          </w:p>
        </w:tc>
        <w:tc>
          <w:tcPr>
            <w:tcW w:w="238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7.63 </w:t>
            </w:r>
          </w:p>
        </w:tc>
        <w:tc>
          <w:tcPr>
            <w:tcW w:w="152" w:type="dxa"/>
            <w:tcBorders/>
            <w:shd w:fill="FFFFFF" w:val="clear"/>
            <w:vAlign w:val="bottom"/>
          </w:tcPr>
          <w:p>
            <w:pPr>
              <w:pStyle w:val="TableContents"/>
              <w:pBdr/>
              <w:bidi w:val="0"/>
              <w:spacing w:before="0" w:after="0"/>
              <w:ind w:left="0" w:right="0" w:hanging="0"/>
              <w:jc w:val="left"/>
              <w:rPr/>
            </w:pPr>
            <w:r>
              <w:rPr/>
              <w:t xml:space="preserve">  </w:t>
            </w:r>
          </w:p>
        </w:tc>
      </w:tr>
      <w:tr>
        <w:trPr/>
        <w:tc>
          <w:tcPr>
            <w:tcW w:w="4738"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September 30, 2023 </w:t>
            </w:r>
          </w:p>
        </w:tc>
        <w:tc>
          <w:tcPr>
            <w:tcW w:w="135" w:type="dxa"/>
            <w:tcBorders/>
            <w:shd w:fill="CCEEFF" w:val="clear"/>
            <w:vAlign w:val="bottom"/>
          </w:tcPr>
          <w:p>
            <w:pPr>
              <w:pStyle w:val="TableContents"/>
              <w:bidi w:val="0"/>
              <w:spacing w:before="0" w:after="0"/>
              <w:ind w:left="0" w:right="0" w:hanging="0"/>
              <w:jc w:val="left"/>
              <w:rPr/>
            </w:pPr>
            <w:r>
              <w:rPr/>
              <w:t xml:space="preserve">  </w:t>
            </w:r>
          </w:p>
        </w:tc>
        <w:tc>
          <w:tcPr>
            <w:tcW w:w="243" w:type="dxa"/>
            <w:tcBorders/>
            <w:shd w:fill="CCEEFF" w:val="clear"/>
            <w:vAlign w:val="bottom"/>
          </w:tcPr>
          <w:p>
            <w:pPr>
              <w:pStyle w:val="TableContents"/>
              <w:bidi w:val="0"/>
              <w:spacing w:before="0" w:after="0"/>
              <w:ind w:left="0" w:right="0" w:hanging="0"/>
              <w:jc w:val="left"/>
              <w:rPr/>
            </w:pPr>
            <w:r>
              <w:rPr/>
              <w:t xml:space="preserve">  </w:t>
            </w:r>
          </w:p>
        </w:tc>
        <w:tc>
          <w:tcPr>
            <w:tcW w:w="149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612,039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135" w:type="dxa"/>
            <w:tcBorders/>
            <w:shd w:fill="CCEEFF" w:val="clear"/>
            <w:vAlign w:val="bottom"/>
          </w:tcPr>
          <w:p>
            <w:pPr>
              <w:pStyle w:val="TableContents"/>
              <w:pBdr/>
              <w:bidi w:val="0"/>
              <w:spacing w:before="0" w:after="0"/>
              <w:ind w:left="0" w:right="0" w:hanging="0"/>
              <w:jc w:val="left"/>
              <w:rPr/>
            </w:pPr>
            <w:r>
              <w:rPr/>
              <w:t xml:space="preserve">  </w:t>
            </w:r>
          </w:p>
        </w:tc>
        <w:tc>
          <w:tcPr>
            <w:tcW w:w="782" w:type="dxa"/>
            <w:tcBorders/>
            <w:shd w:fill="CCEEFF" w:val="clear"/>
            <w:vAlign w:val="bottom"/>
          </w:tcPr>
          <w:p>
            <w:pPr>
              <w:pStyle w:val="TableContents"/>
              <w:pBdr/>
              <w:bidi w:val="0"/>
              <w:spacing w:before="0" w:after="0"/>
              <w:ind w:left="0" w:right="0" w:hanging="0"/>
              <w:jc w:val="left"/>
              <w:rPr/>
            </w:pPr>
            <w:r>
              <w:rPr/>
              <w:t xml:space="preserve">  </w:t>
            </w:r>
          </w:p>
        </w:tc>
        <w:tc>
          <w:tcPr>
            <w:tcW w:w="238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5.03 </w:t>
            </w:r>
          </w:p>
        </w:tc>
        <w:tc>
          <w:tcPr>
            <w:tcW w:w="152" w:type="dxa"/>
            <w:tcBorders/>
            <w:shd w:fill="CCEEFF" w:val="clear"/>
            <w:vAlign w:val="bottom"/>
          </w:tcPr>
          <w:p>
            <w:pPr>
              <w:pStyle w:val="TableContents"/>
              <w:pBdr/>
              <w:bidi w:val="0"/>
              <w:spacing w:before="0" w:after="0"/>
              <w:ind w:left="0" w:right="0" w:hanging="0"/>
              <w:jc w:val="left"/>
              <w:rPr/>
            </w:pPr>
            <w:r>
              <w:rPr/>
              <w:t xml:space="preserve">  </w:t>
            </w:r>
          </w:p>
        </w:tc>
      </w:tr>
      <w:tr>
        <w:trPr/>
        <w:tc>
          <w:tcPr>
            <w:tcW w:w="4738" w:type="dxa"/>
            <w:tcBorders/>
            <w:shd w:fill="FFFF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exercisable at end of September 30, 2023 </w:t>
            </w:r>
          </w:p>
        </w:tc>
        <w:tc>
          <w:tcPr>
            <w:tcW w:w="135" w:type="dxa"/>
            <w:tcBorders/>
            <w:shd w:fill="FFFFFF" w:val="clear"/>
            <w:vAlign w:val="bottom"/>
          </w:tcPr>
          <w:p>
            <w:pPr>
              <w:pStyle w:val="TableContents"/>
              <w:bidi w:val="0"/>
              <w:spacing w:before="0" w:after="0"/>
              <w:ind w:left="0" w:right="0" w:hanging="0"/>
              <w:jc w:val="left"/>
              <w:rPr/>
            </w:pPr>
            <w:r>
              <w:rPr/>
              <w:t xml:space="preserve">  </w:t>
            </w:r>
          </w:p>
        </w:tc>
        <w:tc>
          <w:tcPr>
            <w:tcW w:w="243" w:type="dxa"/>
            <w:tcBorders/>
            <w:shd w:fill="FFFFFF" w:val="clear"/>
            <w:vAlign w:val="bottom"/>
          </w:tcPr>
          <w:p>
            <w:pPr>
              <w:pStyle w:val="TableContents"/>
              <w:bidi w:val="0"/>
              <w:spacing w:before="0" w:after="0"/>
              <w:ind w:left="0" w:right="0" w:hanging="0"/>
              <w:jc w:val="left"/>
              <w:rPr/>
            </w:pPr>
            <w:r>
              <w:rPr/>
              <w:t xml:space="preserve">  </w:t>
            </w:r>
          </w:p>
        </w:tc>
        <w:tc>
          <w:tcPr>
            <w:tcW w:w="149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391,537 </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135" w:type="dxa"/>
            <w:tcBorders/>
            <w:shd w:fill="FFFFFF" w:val="clear"/>
            <w:vAlign w:val="bottom"/>
          </w:tcPr>
          <w:p>
            <w:pPr>
              <w:pStyle w:val="TableContents"/>
              <w:pBdr/>
              <w:bidi w:val="0"/>
              <w:spacing w:before="0" w:after="0"/>
              <w:ind w:left="0" w:right="0" w:hanging="0"/>
              <w:jc w:val="left"/>
              <w:rPr/>
            </w:pPr>
            <w:r>
              <w:rPr/>
              <w:t xml:space="preserve">  </w:t>
            </w:r>
          </w:p>
        </w:tc>
        <w:tc>
          <w:tcPr>
            <w:tcW w:w="78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8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7.06 </w:t>
            </w:r>
          </w:p>
        </w:tc>
        <w:tc>
          <w:tcPr>
            <w:tcW w:w="152" w:type="dxa"/>
            <w:tcBorders/>
            <w:shd w:fill="FFFFFF" w:val="clear"/>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As of </w:t>
      </w:r>
      <w:r>
        <w:rPr>
          <w:rFonts w:ascii="times new roman;times" w:hAnsi="times new roman;times"/>
          <w:sz w:val="20"/>
        </w:rPr>
        <w:t>September 30, 2023</w:t>
      </w:r>
      <w:r>
        <w:rPr>
          <w:rFonts w:ascii="Times New Roman" w:hAnsi="Times New Roman"/>
          <w:sz w:val="20"/>
        </w:rPr>
        <w:t>, the total remaining unrecognized compensation cost related to non-vested stock options, net of forfeitures, was approximately $186, which will be recognized over a weighted average period of 2.42</w:t>
      </w:r>
      <w:r>
        <w:rPr>
          <w:rFonts w:ascii="times new roman;times" w:hAnsi="times new roman;times"/>
          <w:sz w:val="20"/>
        </w:rPr>
        <w:t xml:space="preserve"> </w:t>
      </w:r>
      <w:r>
        <w:rPr>
          <w:rFonts w:ascii="Times New Roman" w:hAnsi="Times New Roman"/>
          <w:sz w:val="20"/>
        </w:rPr>
        <w:t>years.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Share-based compensation expense has been recorded as follows: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213"/>
        <w:gridCol w:w="131"/>
        <w:gridCol w:w="496"/>
        <w:gridCol w:w="801"/>
        <w:gridCol w:w="349"/>
        <w:gridCol w:w="349"/>
        <w:gridCol w:w="495"/>
        <w:gridCol w:w="801"/>
        <w:gridCol w:w="131"/>
        <w:gridCol w:w="131"/>
        <w:gridCol w:w="476"/>
        <w:gridCol w:w="769"/>
        <w:gridCol w:w="335"/>
        <w:gridCol w:w="335"/>
        <w:gridCol w:w="476"/>
        <w:gridCol w:w="769"/>
        <w:gridCol w:w="148"/>
      </w:tblGrid>
      <w:tr>
        <w:trPr/>
        <w:tc>
          <w:tcPr>
            <w:tcW w:w="3213"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3291"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September 30, </w:t>
            </w:r>
          </w:p>
        </w:tc>
        <w:tc>
          <w:tcPr>
            <w:tcW w:w="131"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3160"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Nine months ended September 30, </w:t>
            </w:r>
          </w:p>
        </w:tc>
        <w:tc>
          <w:tcPr>
            <w:tcW w:w="148" w:type="dxa"/>
            <w:tcBorders/>
            <w:vAlign w:val="bottom"/>
          </w:tcPr>
          <w:p>
            <w:pPr>
              <w:pStyle w:val="TableContents"/>
              <w:pBdr/>
              <w:bidi w:val="0"/>
              <w:spacing w:before="0" w:after="0"/>
              <w:ind w:left="0" w:right="0" w:hanging="0"/>
              <w:jc w:val="left"/>
              <w:rPr/>
            </w:pPr>
            <w:r>
              <w:rPr/>
              <w:t xml:space="preserve">  </w:t>
            </w:r>
          </w:p>
        </w:tc>
      </w:tr>
      <w:tr>
        <w:trPr/>
        <w:tc>
          <w:tcPr>
            <w:tcW w:w="3213"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1297"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349" w:type="dxa"/>
            <w:tcBorders/>
            <w:vAlign w:val="bottom"/>
          </w:tcPr>
          <w:p>
            <w:pPr>
              <w:pStyle w:val="TableContents"/>
              <w:pBdr/>
              <w:bidi w:val="0"/>
              <w:spacing w:before="0" w:after="0"/>
              <w:ind w:left="0" w:right="0" w:hanging="0"/>
              <w:jc w:val="left"/>
              <w:rPr/>
            </w:pPr>
            <w:r>
              <w:rPr/>
              <w:t xml:space="preserve">  </w:t>
            </w:r>
          </w:p>
        </w:tc>
        <w:tc>
          <w:tcPr>
            <w:tcW w:w="349" w:type="dxa"/>
            <w:tcBorders/>
            <w:vAlign w:val="bottom"/>
          </w:tcPr>
          <w:p>
            <w:pPr>
              <w:pStyle w:val="TableContents"/>
              <w:pBdr/>
              <w:bidi w:val="0"/>
              <w:spacing w:before="0" w:after="0"/>
              <w:ind w:left="0" w:right="0" w:hanging="0"/>
              <w:jc w:val="left"/>
              <w:rPr/>
            </w:pPr>
            <w:r>
              <w:rPr/>
              <w:t xml:space="preserve">  </w:t>
            </w:r>
          </w:p>
        </w:tc>
        <w:tc>
          <w:tcPr>
            <w:tcW w:w="129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31"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124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335" w:type="dxa"/>
            <w:tcBorders/>
            <w:vAlign w:val="bottom"/>
          </w:tcPr>
          <w:p>
            <w:pPr>
              <w:pStyle w:val="TableContents"/>
              <w:pBdr/>
              <w:bidi w:val="0"/>
              <w:spacing w:before="0" w:after="0"/>
              <w:ind w:left="0" w:right="0" w:hanging="0"/>
              <w:jc w:val="left"/>
              <w:rPr/>
            </w:pPr>
            <w:r>
              <w:rPr/>
              <w:t xml:space="preserve">  </w:t>
            </w:r>
          </w:p>
        </w:tc>
        <w:tc>
          <w:tcPr>
            <w:tcW w:w="335" w:type="dxa"/>
            <w:tcBorders/>
            <w:vAlign w:val="bottom"/>
          </w:tcPr>
          <w:p>
            <w:pPr>
              <w:pStyle w:val="TableContents"/>
              <w:pBdr/>
              <w:bidi w:val="0"/>
              <w:spacing w:before="0" w:after="0"/>
              <w:ind w:left="0" w:right="0" w:hanging="0"/>
              <w:jc w:val="left"/>
              <w:rPr/>
            </w:pPr>
            <w:r>
              <w:rPr/>
              <w:t xml:space="preserve">  </w:t>
            </w:r>
          </w:p>
        </w:tc>
        <w:tc>
          <w:tcPr>
            <w:tcW w:w="124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148" w:type="dxa"/>
            <w:tcBorders/>
            <w:vAlign w:val="bottom"/>
          </w:tcPr>
          <w:p>
            <w:pPr>
              <w:pStyle w:val="TableContents"/>
              <w:pBdr/>
              <w:bidi w:val="0"/>
              <w:spacing w:before="0" w:after="0"/>
              <w:ind w:left="0" w:right="0" w:hanging="0"/>
              <w:jc w:val="left"/>
              <w:rPr/>
            </w:pPr>
            <w:r>
              <w:rPr/>
              <w:t xml:space="preserve">  </w:t>
            </w:r>
          </w:p>
        </w:tc>
      </w:tr>
      <w:tr>
        <w:trPr/>
        <w:tc>
          <w:tcPr>
            <w:tcW w:w="3213" w:type="dxa"/>
            <w:tcBorders/>
            <w:shd w:fill="CCEEFF" w:val="clear"/>
            <w:vAlign w:val="bottom"/>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 xml:space="preserve">Cost of goods sold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49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 </w:t>
            </w:r>
          </w:p>
        </w:tc>
        <w:tc>
          <w:tcPr>
            <w:tcW w:w="148" w:type="dxa"/>
            <w:tcBorders/>
            <w:shd w:fill="CCEEFF" w:val="clear"/>
            <w:vAlign w:val="bottom"/>
          </w:tcPr>
          <w:p>
            <w:pPr>
              <w:pStyle w:val="TableContents"/>
              <w:pBdr/>
              <w:bidi w:val="0"/>
              <w:spacing w:before="0" w:after="0"/>
              <w:ind w:left="0" w:right="0" w:hanging="0"/>
              <w:jc w:val="left"/>
              <w:rPr/>
            </w:pPr>
            <w:r>
              <w:rPr/>
              <w:t xml:space="preserve">  </w:t>
            </w:r>
          </w:p>
        </w:tc>
      </w:tr>
      <w:tr>
        <w:trPr/>
        <w:tc>
          <w:tcPr>
            <w:tcW w:w="3213"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31" w:type="dxa"/>
            <w:tcBorders/>
            <w:vAlign w:val="bottom"/>
          </w:tcPr>
          <w:p>
            <w:pPr>
              <w:pStyle w:val="TableContents"/>
              <w:pBdr/>
              <w:bidi w:val="0"/>
              <w:spacing w:before="0" w:after="0"/>
              <w:ind w:left="0" w:right="0" w:hanging="0"/>
              <w:jc w:val="left"/>
              <w:rPr/>
            </w:pPr>
            <w:r>
              <w:rPr/>
              <w:t xml:space="preserve">  </w:t>
            </w:r>
          </w:p>
        </w:tc>
        <w:tc>
          <w:tcPr>
            <w:tcW w:w="496" w:type="dxa"/>
            <w:tcBorders/>
            <w:vAlign w:val="bottom"/>
          </w:tcPr>
          <w:p>
            <w:pPr>
              <w:pStyle w:val="TableContents"/>
              <w:pBdr/>
              <w:bidi w:val="0"/>
              <w:spacing w:before="0" w:after="0"/>
              <w:ind w:left="0" w:right="0" w:hanging="0"/>
              <w:jc w:val="left"/>
              <w:rPr/>
            </w:pPr>
            <w:r>
              <w:rPr/>
              <w:t xml:space="preserve">  </w:t>
            </w:r>
          </w:p>
        </w:tc>
        <w:tc>
          <w:tcPr>
            <w:tcW w:w="80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349" w:type="dxa"/>
            <w:tcBorders/>
            <w:vAlign w:val="bottom"/>
          </w:tcPr>
          <w:p>
            <w:pPr>
              <w:pStyle w:val="TableContents"/>
              <w:pBdr/>
              <w:bidi w:val="0"/>
              <w:spacing w:before="0" w:after="0"/>
              <w:ind w:left="0" w:right="0" w:hanging="0"/>
              <w:jc w:val="left"/>
              <w:rPr/>
            </w:pPr>
            <w:r>
              <w:rPr/>
              <w:t xml:space="preserve">  </w:t>
            </w:r>
          </w:p>
        </w:tc>
        <w:tc>
          <w:tcPr>
            <w:tcW w:w="349" w:type="dxa"/>
            <w:tcBorders/>
            <w:vAlign w:val="bottom"/>
          </w:tcPr>
          <w:p>
            <w:pPr>
              <w:pStyle w:val="TableContents"/>
              <w:pBdr/>
              <w:bidi w:val="0"/>
              <w:spacing w:before="0" w:after="0"/>
              <w:ind w:left="0" w:right="0" w:hanging="0"/>
              <w:jc w:val="left"/>
              <w:rPr/>
            </w:pPr>
            <w:r>
              <w:rPr/>
              <w:t xml:space="preserve">  </w:t>
            </w:r>
          </w:p>
        </w:tc>
        <w:tc>
          <w:tcPr>
            <w:tcW w:w="495" w:type="dxa"/>
            <w:tcBorders/>
            <w:vAlign w:val="bottom"/>
          </w:tcPr>
          <w:p>
            <w:pPr>
              <w:pStyle w:val="TableContents"/>
              <w:pBdr/>
              <w:bidi w:val="0"/>
              <w:spacing w:before="0" w:after="0"/>
              <w:ind w:left="0" w:right="0" w:hanging="0"/>
              <w:jc w:val="left"/>
              <w:rPr/>
            </w:pPr>
            <w:r>
              <w:rPr/>
              <w:t xml:space="preserve">  </w:t>
            </w:r>
          </w:p>
        </w:tc>
        <w:tc>
          <w:tcPr>
            <w:tcW w:w="80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31"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476" w:type="dxa"/>
            <w:tcBorders/>
            <w:vAlign w:val="bottom"/>
          </w:tcPr>
          <w:p>
            <w:pPr>
              <w:pStyle w:val="TableContents"/>
              <w:pBdr/>
              <w:bidi w:val="0"/>
              <w:spacing w:before="0" w:after="0"/>
              <w:ind w:left="0" w:right="0" w:hanging="0"/>
              <w:jc w:val="left"/>
              <w:rPr/>
            </w:pPr>
            <w:r>
              <w:rPr/>
              <w:t xml:space="preserve">  </w:t>
            </w:r>
          </w:p>
        </w:tc>
        <w:tc>
          <w:tcPr>
            <w:tcW w:w="7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 </w:t>
            </w:r>
          </w:p>
        </w:tc>
        <w:tc>
          <w:tcPr>
            <w:tcW w:w="335" w:type="dxa"/>
            <w:tcBorders/>
            <w:vAlign w:val="bottom"/>
          </w:tcPr>
          <w:p>
            <w:pPr>
              <w:pStyle w:val="TableContents"/>
              <w:pBdr/>
              <w:bidi w:val="0"/>
              <w:spacing w:before="0" w:after="0"/>
              <w:ind w:left="0" w:right="0" w:hanging="0"/>
              <w:jc w:val="left"/>
              <w:rPr/>
            </w:pPr>
            <w:r>
              <w:rPr/>
              <w:t xml:space="preserve">  </w:t>
            </w:r>
          </w:p>
        </w:tc>
        <w:tc>
          <w:tcPr>
            <w:tcW w:w="335" w:type="dxa"/>
            <w:tcBorders/>
            <w:vAlign w:val="bottom"/>
          </w:tcPr>
          <w:p>
            <w:pPr>
              <w:pStyle w:val="TableContents"/>
              <w:pBdr/>
              <w:bidi w:val="0"/>
              <w:spacing w:before="0" w:after="0"/>
              <w:ind w:left="0" w:right="0" w:hanging="0"/>
              <w:jc w:val="left"/>
              <w:rPr/>
            </w:pPr>
            <w:r>
              <w:rPr/>
              <w:t xml:space="preserve">  </w:t>
            </w:r>
          </w:p>
        </w:tc>
        <w:tc>
          <w:tcPr>
            <w:tcW w:w="476" w:type="dxa"/>
            <w:tcBorders/>
            <w:vAlign w:val="bottom"/>
          </w:tcPr>
          <w:p>
            <w:pPr>
              <w:pStyle w:val="TableContents"/>
              <w:pBdr/>
              <w:bidi w:val="0"/>
              <w:spacing w:before="0" w:after="0"/>
              <w:ind w:left="0" w:right="0" w:hanging="0"/>
              <w:jc w:val="left"/>
              <w:rPr/>
            </w:pPr>
            <w:r>
              <w:rPr/>
              <w:t xml:space="preserve">  </w:t>
            </w:r>
          </w:p>
        </w:tc>
        <w:tc>
          <w:tcPr>
            <w:tcW w:w="7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 </w:t>
            </w:r>
          </w:p>
        </w:tc>
        <w:tc>
          <w:tcPr>
            <w:tcW w:w="148" w:type="dxa"/>
            <w:tcBorders/>
            <w:vAlign w:val="bottom"/>
          </w:tcPr>
          <w:p>
            <w:pPr>
              <w:pStyle w:val="TableContents"/>
              <w:pBdr/>
              <w:bidi w:val="0"/>
              <w:spacing w:before="0" w:after="0"/>
              <w:ind w:left="0" w:right="0" w:hanging="0"/>
              <w:jc w:val="left"/>
              <w:rPr/>
            </w:pPr>
            <w:r>
              <w:rPr/>
              <w:t xml:space="preserve">  </w:t>
            </w:r>
          </w:p>
        </w:tc>
      </w:tr>
      <w:tr>
        <w:trPr/>
        <w:tc>
          <w:tcPr>
            <w:tcW w:w="321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96" w:type="dxa"/>
            <w:tcBorders/>
            <w:shd w:fill="CCEEFF" w:val="clear"/>
            <w:vAlign w:val="bottom"/>
          </w:tcPr>
          <w:p>
            <w:pPr>
              <w:pStyle w:val="TableContents"/>
              <w:pBdr/>
              <w:bidi w:val="0"/>
              <w:spacing w:before="0" w:after="0"/>
              <w:ind w:left="0" w:right="0" w:hanging="0"/>
              <w:jc w:val="left"/>
              <w:rPr/>
            </w:pPr>
            <w:r>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17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495" w:type="dxa"/>
            <w:tcBorders/>
            <w:shd w:fill="CCEEFF" w:val="clear"/>
            <w:vAlign w:val="bottom"/>
          </w:tcPr>
          <w:p>
            <w:pPr>
              <w:pStyle w:val="TableContents"/>
              <w:pBdr/>
              <w:bidi w:val="0"/>
              <w:spacing w:before="0" w:after="0"/>
              <w:ind w:left="0" w:right="0" w:hanging="0"/>
              <w:jc w:val="left"/>
              <w:rPr/>
            </w:pPr>
            <w:r>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pPr>
            <w:r>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pPr>
            <w:r>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34 </w:t>
            </w:r>
          </w:p>
        </w:tc>
        <w:tc>
          <w:tcPr>
            <w:tcW w:w="148" w:type="dxa"/>
            <w:tcBorders/>
            <w:shd w:fill="CCEEFF" w:val="clear"/>
            <w:vAlign w:val="bottom"/>
          </w:tcPr>
          <w:p>
            <w:pPr>
              <w:pStyle w:val="TableContents"/>
              <w:pBdr/>
              <w:bidi w:val="0"/>
              <w:spacing w:before="0" w:after="0"/>
              <w:ind w:left="0" w:right="0" w:hanging="0"/>
              <w:jc w:val="left"/>
              <w:rPr/>
            </w:pPr>
            <w:r>
              <w:rPr/>
              <w:t xml:space="preserve">  </w:t>
            </w:r>
          </w:p>
        </w:tc>
      </w:tr>
      <w:tr>
        <w:trPr/>
        <w:tc>
          <w:tcPr>
            <w:tcW w:w="3213"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31" w:type="dxa"/>
            <w:tcBorders/>
            <w:vAlign w:val="bottom"/>
          </w:tcPr>
          <w:p>
            <w:pPr>
              <w:pStyle w:val="TableContents"/>
              <w:pBdr/>
              <w:bidi w:val="0"/>
              <w:spacing w:before="0" w:after="0"/>
              <w:ind w:left="0" w:right="0" w:hanging="0"/>
              <w:jc w:val="left"/>
              <w:rPr/>
            </w:pPr>
            <w:r>
              <w:rPr/>
              <w:t xml:space="preserve">  </w:t>
            </w:r>
          </w:p>
        </w:tc>
        <w:tc>
          <w:tcPr>
            <w:tcW w:w="496" w:type="dxa"/>
            <w:tcBorders/>
            <w:vAlign w:val="bottom"/>
          </w:tcPr>
          <w:p>
            <w:pPr>
              <w:pStyle w:val="TableContents"/>
              <w:pBdr/>
              <w:bidi w:val="0"/>
              <w:spacing w:before="0" w:after="0"/>
              <w:ind w:left="0" w:right="0" w:hanging="0"/>
              <w:jc w:val="left"/>
              <w:rPr/>
            </w:pPr>
            <w:r>
              <w:rPr/>
              <w:t xml:space="preserve">  </w:t>
            </w:r>
          </w:p>
        </w:tc>
        <w:tc>
          <w:tcPr>
            <w:tcW w:w="80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 </w:t>
            </w:r>
          </w:p>
        </w:tc>
        <w:tc>
          <w:tcPr>
            <w:tcW w:w="349" w:type="dxa"/>
            <w:tcBorders/>
            <w:vAlign w:val="bottom"/>
          </w:tcPr>
          <w:p>
            <w:pPr>
              <w:pStyle w:val="TableContents"/>
              <w:pBdr/>
              <w:bidi w:val="0"/>
              <w:spacing w:before="0" w:after="0"/>
              <w:ind w:left="0" w:right="0" w:hanging="0"/>
              <w:jc w:val="left"/>
              <w:rPr/>
            </w:pPr>
            <w:r>
              <w:rPr/>
              <w:t xml:space="preserve">  </w:t>
            </w:r>
          </w:p>
        </w:tc>
        <w:tc>
          <w:tcPr>
            <w:tcW w:w="349" w:type="dxa"/>
            <w:tcBorders/>
            <w:vAlign w:val="bottom"/>
          </w:tcPr>
          <w:p>
            <w:pPr>
              <w:pStyle w:val="TableContents"/>
              <w:pBdr/>
              <w:bidi w:val="0"/>
              <w:spacing w:before="0" w:after="0"/>
              <w:ind w:left="0" w:right="0" w:hanging="0"/>
              <w:jc w:val="left"/>
              <w:rPr/>
            </w:pPr>
            <w:r>
              <w:rPr/>
              <w:t xml:space="preserve">  </w:t>
            </w:r>
          </w:p>
        </w:tc>
        <w:tc>
          <w:tcPr>
            <w:tcW w:w="495" w:type="dxa"/>
            <w:tcBorders/>
            <w:vAlign w:val="bottom"/>
          </w:tcPr>
          <w:p>
            <w:pPr>
              <w:pStyle w:val="TableContents"/>
              <w:pBdr/>
              <w:bidi w:val="0"/>
              <w:spacing w:before="0" w:after="0"/>
              <w:ind w:left="0" w:right="0" w:hanging="0"/>
              <w:jc w:val="left"/>
              <w:rPr/>
            </w:pPr>
            <w:r>
              <w:rPr/>
              <w:t xml:space="preserve">  </w:t>
            </w:r>
          </w:p>
        </w:tc>
        <w:tc>
          <w:tcPr>
            <w:tcW w:w="80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 </w:t>
            </w:r>
          </w:p>
        </w:tc>
        <w:tc>
          <w:tcPr>
            <w:tcW w:w="131" w:type="dxa"/>
            <w:tcBorders/>
            <w:vAlign w:val="bottom"/>
          </w:tcPr>
          <w:p>
            <w:pPr>
              <w:pStyle w:val="TableContents"/>
              <w:pBdr/>
              <w:bidi w:val="0"/>
              <w:spacing w:before="0" w:after="0"/>
              <w:ind w:left="0" w:right="0" w:hanging="0"/>
              <w:jc w:val="left"/>
              <w:rPr/>
            </w:pPr>
            <w:r>
              <w:rPr/>
              <w:t xml:space="preserve">  </w:t>
            </w:r>
          </w:p>
        </w:tc>
        <w:tc>
          <w:tcPr>
            <w:tcW w:w="131" w:type="dxa"/>
            <w:tcBorders/>
            <w:vAlign w:val="bottom"/>
          </w:tcPr>
          <w:p>
            <w:pPr>
              <w:pStyle w:val="TableContents"/>
              <w:pBdr/>
              <w:bidi w:val="0"/>
              <w:spacing w:before="0" w:after="0"/>
              <w:ind w:left="0" w:right="0" w:hanging="0"/>
              <w:jc w:val="left"/>
              <w:rPr/>
            </w:pPr>
            <w:r>
              <w:rPr/>
              <w:t xml:space="preserve">  </w:t>
            </w:r>
          </w:p>
        </w:tc>
        <w:tc>
          <w:tcPr>
            <w:tcW w:w="476" w:type="dxa"/>
            <w:tcBorders/>
            <w:vAlign w:val="bottom"/>
          </w:tcPr>
          <w:p>
            <w:pPr>
              <w:pStyle w:val="TableContents"/>
              <w:pBdr/>
              <w:bidi w:val="0"/>
              <w:spacing w:before="0" w:after="0"/>
              <w:ind w:left="0" w:right="0" w:hanging="0"/>
              <w:jc w:val="left"/>
              <w:rPr/>
            </w:pPr>
            <w:r>
              <w:rPr/>
              <w:t xml:space="preserve">  </w:t>
            </w:r>
          </w:p>
        </w:tc>
        <w:tc>
          <w:tcPr>
            <w:tcW w:w="7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 </w:t>
            </w:r>
          </w:p>
        </w:tc>
        <w:tc>
          <w:tcPr>
            <w:tcW w:w="335" w:type="dxa"/>
            <w:tcBorders/>
            <w:vAlign w:val="bottom"/>
          </w:tcPr>
          <w:p>
            <w:pPr>
              <w:pStyle w:val="TableContents"/>
              <w:pBdr/>
              <w:bidi w:val="0"/>
              <w:spacing w:before="0" w:after="0"/>
              <w:ind w:left="0" w:right="0" w:hanging="0"/>
              <w:jc w:val="left"/>
              <w:rPr/>
            </w:pPr>
            <w:r>
              <w:rPr/>
              <w:t xml:space="preserve">  </w:t>
            </w:r>
          </w:p>
        </w:tc>
        <w:tc>
          <w:tcPr>
            <w:tcW w:w="335" w:type="dxa"/>
            <w:tcBorders/>
            <w:vAlign w:val="bottom"/>
          </w:tcPr>
          <w:p>
            <w:pPr>
              <w:pStyle w:val="TableContents"/>
              <w:pBdr/>
              <w:bidi w:val="0"/>
              <w:spacing w:before="0" w:after="0"/>
              <w:ind w:left="0" w:right="0" w:hanging="0"/>
              <w:jc w:val="left"/>
              <w:rPr/>
            </w:pPr>
            <w:r>
              <w:rPr/>
              <w:t xml:space="preserve">  </w:t>
            </w:r>
          </w:p>
        </w:tc>
        <w:tc>
          <w:tcPr>
            <w:tcW w:w="476" w:type="dxa"/>
            <w:tcBorders/>
            <w:vAlign w:val="bottom"/>
          </w:tcPr>
          <w:p>
            <w:pPr>
              <w:pStyle w:val="TableContents"/>
              <w:pBdr/>
              <w:bidi w:val="0"/>
              <w:spacing w:before="0" w:after="0"/>
              <w:ind w:left="0" w:right="0" w:hanging="0"/>
              <w:jc w:val="left"/>
              <w:rPr/>
            </w:pPr>
            <w:r>
              <w:rPr/>
              <w:t xml:space="preserve">  </w:t>
            </w:r>
          </w:p>
        </w:tc>
        <w:tc>
          <w:tcPr>
            <w:tcW w:w="7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40 </w:t>
            </w:r>
          </w:p>
        </w:tc>
        <w:tc>
          <w:tcPr>
            <w:tcW w:w="148" w:type="dxa"/>
            <w:tcBorders/>
            <w:vAlign w:val="bottom"/>
          </w:tcPr>
          <w:p>
            <w:pPr>
              <w:pStyle w:val="TableContents"/>
              <w:pBdr/>
              <w:bidi w:val="0"/>
              <w:spacing w:before="0" w:after="0"/>
              <w:ind w:left="0" w:right="0" w:hanging="0"/>
              <w:jc w:val="left"/>
              <w:rPr/>
            </w:pPr>
            <w:r>
              <w:rPr/>
              <w:t xml:space="preserve">  </w:t>
            </w:r>
          </w:p>
        </w:tc>
      </w:tr>
      <w:tr>
        <w:trPr/>
        <w:tc>
          <w:tcPr>
            <w:tcW w:w="3213" w:type="dxa"/>
            <w:tcBorders/>
            <w:shd w:fill="CCEEFF" w:val="clear"/>
            <w:vAlign w:val="bottom"/>
          </w:tcPr>
          <w:p>
            <w:pPr>
              <w:pStyle w:val="TableContents"/>
              <w:pBdr/>
              <w:bidi w:val="0"/>
              <w:spacing w:before="0" w:after="0"/>
              <w:ind w:left="0" w:right="0" w:hanging="0"/>
              <w:jc w:val="left"/>
              <w:rPr/>
            </w:pPr>
            <w:r>
              <w:rPr/>
              <w:t xml:space="preserve">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349" w:type="dxa"/>
            <w:tcBorders/>
            <w:shd w:fill="CCEEFF" w:val="clear"/>
            <w:vAlign w:val="bottom"/>
          </w:tcPr>
          <w:p>
            <w:pPr>
              <w:pStyle w:val="TableContents"/>
              <w:pBdr/>
              <w:bidi w:val="0"/>
              <w:spacing w:before="0" w:after="0"/>
              <w:ind w:left="0" w:right="0" w:hanging="0"/>
              <w:jc w:val="left"/>
              <w:rPr/>
            </w:pPr>
            <w:r>
              <w:rPr/>
              <w:t xml:space="preserve">  </w:t>
            </w:r>
          </w:p>
        </w:tc>
        <w:tc>
          <w:tcPr>
            <w:tcW w:w="49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131"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80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335" w:type="dxa"/>
            <w:tcBorders/>
            <w:shd w:fill="CCEEFF" w:val="clear"/>
            <w:vAlign w:val="bottom"/>
          </w:tcPr>
          <w:p>
            <w:pPr>
              <w:pStyle w:val="TableContents"/>
              <w:pBdr/>
              <w:bidi w:val="0"/>
              <w:spacing w:before="0" w:after="0"/>
              <w:ind w:left="0" w:right="0" w:hanging="0"/>
              <w:jc w:val="left"/>
              <w:rPr/>
            </w:pPr>
            <w:r>
              <w:rPr/>
              <w:t xml:space="preserve">  </w:t>
            </w:r>
          </w:p>
        </w:tc>
        <w:tc>
          <w:tcPr>
            <w:tcW w:w="47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89 </w:t>
            </w:r>
          </w:p>
        </w:tc>
        <w:tc>
          <w:tcPr>
            <w:tcW w:w="148" w:type="dxa"/>
            <w:tcBorders/>
            <w:shd w:fill="CCEEFF" w:val="clear"/>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both"/>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11. Income Taxes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nine months ended September 30, 2023 mostly represents income tax expense recorded for jurisdictions outside the United States.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had approximately $962 of uncertain tax positions as of September 30, 2023. Due to the inherent uncertainty of the underlying tax positions, it is not possible to forecast the payment of this liability for any particular year.</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12</w:t>
      </w:r>
      <w:r>
        <w:rPr>
          <w:rFonts w:ascii="times new roman;times" w:hAnsi="times new roman;times"/>
          <w:b/>
          <w:sz w:val="20"/>
        </w:rPr>
        <w:t>. Fair Value Measurements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Level 1 - Quoted prices in active markets for identical assets and liabilities.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Level 2 -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Level 3 - Unobservable inputs.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Company’s financial instruments are valued using observable inputs. The following table sets forth the fair value of the financial instruments re-measured by the Company as of September 30, 2023:</w:t>
      </w:r>
    </w:p>
    <w:p>
      <w:pPr>
        <w:pStyle w:val="TextBody"/>
        <w:bidi w:val="0"/>
        <w:spacing w:lineRule="auto" w:line="288" w:before="0" w:after="0"/>
        <w:ind w:left="0"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3817"/>
        <w:gridCol w:w="205"/>
        <w:gridCol w:w="306"/>
        <w:gridCol w:w="876"/>
        <w:gridCol w:w="205"/>
        <w:gridCol w:w="204"/>
        <w:gridCol w:w="290"/>
        <w:gridCol w:w="903"/>
        <w:gridCol w:w="205"/>
        <w:gridCol w:w="204"/>
        <w:gridCol w:w="396"/>
        <w:gridCol w:w="787"/>
        <w:gridCol w:w="205"/>
        <w:gridCol w:w="204"/>
        <w:gridCol w:w="290"/>
        <w:gridCol w:w="903"/>
        <w:gridCol w:w="205"/>
      </w:tblGrid>
      <w:tr>
        <w:trPr/>
        <w:tc>
          <w:tcPr>
            <w:tcW w:w="3817" w:type="dxa"/>
            <w:tcBorders/>
            <w:vAlign w:val="bottom"/>
          </w:tcPr>
          <w:p>
            <w:pPr>
              <w:pStyle w:val="TableContents"/>
              <w:bidi w:val="0"/>
              <w:spacing w:before="0" w:after="0"/>
              <w:ind w:left="0" w:right="0" w:hanging="0"/>
              <w:jc w:val="left"/>
              <w:rPr>
                <w:color w:val="000000"/>
              </w:rPr>
            </w:pPr>
            <w:r>
              <w:rPr>
                <w:color w:val="000000"/>
              </w:rPr>
              <w:t xml:space="preserve">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1182" w:type="dxa"/>
            <w:gridSpan w:val="2"/>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Level 1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1193" w:type="dxa"/>
            <w:gridSpan w:val="2"/>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Level 2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1183" w:type="dxa"/>
            <w:gridSpan w:val="2"/>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Level 3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1193" w:type="dxa"/>
            <w:gridSpan w:val="2"/>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 xml:space="preserve">Total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shd w:fill="CCEEFF" w:val="clear"/>
            <w:vAlign w:val="bottom"/>
          </w:tcPr>
          <w:p>
            <w:pPr>
              <w:pStyle w:val="TableContents"/>
              <w:bidi w:val="0"/>
              <w:spacing w:before="0" w:after="0"/>
              <w:ind w:left="0" w:right="0" w:hanging="0"/>
              <w:jc w:val="left"/>
              <w:rPr>
                <w:rFonts w:ascii="times new roman;times" w:hAnsi="times new roman;times"/>
                <w:b/>
                <w:color w:val="000000"/>
                <w:sz w:val="20"/>
              </w:rPr>
            </w:pPr>
            <w:r>
              <w:rPr>
                <w:rFonts w:ascii="times new roman;times" w:hAnsi="times new roman;times"/>
                <w:b/>
                <w:color w:val="000000"/>
                <w:sz w:val="20"/>
              </w:rPr>
              <w:t>September 30, 2023</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06"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876"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0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96"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8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0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Mutual funds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306"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76"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1,171</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03" w:type="dxa"/>
            <w:tcBorders/>
            <w:vAlign w:val="bottom"/>
          </w:tcPr>
          <w:p>
            <w:pPr>
              <w:pStyle w:val="TableContents"/>
              <w:bidi w:val="0"/>
              <w:spacing w:before="0" w:after="0"/>
              <w:ind w:left="0" w:right="0" w:hanging="0"/>
              <w:jc w:val="right"/>
              <w:rPr>
                <w:color w:val="000000"/>
              </w:rPr>
            </w:pPr>
            <w:r>
              <w:rPr>
                <w:color w:val="000000"/>
              </w:rPr>
              <w:t xml:space="preserve">—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396"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7" w:type="dxa"/>
            <w:tcBorders/>
            <w:vAlign w:val="bottom"/>
          </w:tcPr>
          <w:p>
            <w:pPr>
              <w:pStyle w:val="TableContents"/>
              <w:bidi w:val="0"/>
              <w:spacing w:before="0" w:after="0"/>
              <w:ind w:left="0" w:right="0" w:hanging="0"/>
              <w:jc w:val="right"/>
              <w:rPr>
                <w:color w:val="000000"/>
              </w:rPr>
            </w:pPr>
            <w:r>
              <w:rPr>
                <w:color w:val="000000"/>
              </w:rPr>
              <w:t>—</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0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1,171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US Treasury securities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06" w:type="dxa"/>
            <w:tcBorders/>
            <w:shd w:fill="CCEEFF" w:val="clear"/>
            <w:vAlign w:val="bottom"/>
          </w:tcPr>
          <w:p>
            <w:pPr>
              <w:pStyle w:val="TableContents"/>
              <w:bidi w:val="0"/>
              <w:spacing w:before="0" w:after="0"/>
              <w:ind w:left="0" w:right="0" w:hanging="0"/>
              <w:jc w:val="left"/>
              <w:rPr/>
            </w:pPr>
            <w:r>
              <w:rPr/>
            </w:r>
          </w:p>
        </w:tc>
        <w:tc>
          <w:tcPr>
            <w:tcW w:w="876"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pPr>
            <w:r>
              <w:rPr/>
            </w:r>
          </w:p>
        </w:tc>
        <w:tc>
          <w:tcPr>
            <w:tcW w:w="90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3,278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96" w:type="dxa"/>
            <w:tcBorders/>
            <w:shd w:fill="CCEEFF" w:val="clear"/>
            <w:vAlign w:val="bottom"/>
          </w:tcPr>
          <w:p>
            <w:pPr>
              <w:pStyle w:val="TableContents"/>
              <w:bidi w:val="0"/>
              <w:spacing w:before="0" w:after="0"/>
              <w:ind w:left="0" w:right="0" w:hanging="0"/>
              <w:jc w:val="left"/>
              <w:rPr/>
            </w:pPr>
            <w:r>
              <w:rPr/>
            </w:r>
          </w:p>
        </w:tc>
        <w:tc>
          <w:tcPr>
            <w:tcW w:w="787"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pPr>
            <w:r>
              <w:rPr/>
            </w:r>
          </w:p>
        </w:tc>
        <w:tc>
          <w:tcPr>
            <w:tcW w:w="90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3,278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Certificates of deposit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306" w:type="dxa"/>
            <w:tcBorders/>
            <w:vAlign w:val="bottom"/>
          </w:tcPr>
          <w:p>
            <w:pPr>
              <w:pStyle w:val="TableContents"/>
              <w:bidi w:val="0"/>
              <w:spacing w:before="0" w:after="0"/>
              <w:ind w:left="0" w:right="0" w:hanging="0"/>
              <w:jc w:val="left"/>
              <w:rPr/>
            </w:pPr>
            <w:r>
              <w:rPr/>
            </w:r>
          </w:p>
        </w:tc>
        <w:tc>
          <w:tcPr>
            <w:tcW w:w="876" w:type="dxa"/>
            <w:tcBorders/>
            <w:vAlign w:val="bottom"/>
          </w:tcPr>
          <w:p>
            <w:pPr>
              <w:pStyle w:val="TableContents"/>
              <w:bidi w:val="0"/>
              <w:spacing w:before="0" w:after="0"/>
              <w:ind w:left="0" w:right="0" w:hanging="0"/>
              <w:jc w:val="right"/>
              <w:rPr>
                <w:color w:val="000000"/>
              </w:rPr>
            </w:pPr>
            <w:r>
              <w:rPr>
                <w:color w:val="000000"/>
              </w:rPr>
              <w:t>—</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vAlign w:val="bottom"/>
          </w:tcPr>
          <w:p>
            <w:pPr>
              <w:pStyle w:val="TableContents"/>
              <w:bidi w:val="0"/>
              <w:spacing w:before="0" w:after="0"/>
              <w:ind w:left="0" w:right="0" w:hanging="0"/>
              <w:jc w:val="left"/>
              <w:rPr/>
            </w:pPr>
            <w:r>
              <w:rPr/>
            </w:r>
          </w:p>
        </w:tc>
        <w:tc>
          <w:tcPr>
            <w:tcW w:w="90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859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396" w:type="dxa"/>
            <w:tcBorders/>
            <w:vAlign w:val="bottom"/>
          </w:tcPr>
          <w:p>
            <w:pPr>
              <w:pStyle w:val="TableContents"/>
              <w:bidi w:val="0"/>
              <w:spacing w:before="0" w:after="0"/>
              <w:ind w:left="0" w:right="0" w:hanging="0"/>
              <w:jc w:val="left"/>
              <w:rPr/>
            </w:pPr>
            <w:r>
              <w:rPr/>
            </w:r>
          </w:p>
        </w:tc>
        <w:tc>
          <w:tcPr>
            <w:tcW w:w="787" w:type="dxa"/>
            <w:tcBorders/>
            <w:vAlign w:val="bottom"/>
          </w:tcPr>
          <w:p>
            <w:pPr>
              <w:pStyle w:val="TableContents"/>
              <w:bidi w:val="0"/>
              <w:spacing w:before="0" w:after="0"/>
              <w:ind w:left="0" w:right="0" w:hanging="0"/>
              <w:jc w:val="right"/>
              <w:rPr>
                <w:color w:val="000000"/>
              </w:rPr>
            </w:pPr>
            <w:r>
              <w:rPr>
                <w:color w:val="000000"/>
              </w:rPr>
              <w:t>—</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vAlign w:val="bottom"/>
          </w:tcPr>
          <w:p>
            <w:pPr>
              <w:pStyle w:val="TableContents"/>
              <w:bidi w:val="0"/>
              <w:spacing w:before="0" w:after="0"/>
              <w:ind w:left="0" w:right="0" w:hanging="0"/>
              <w:jc w:val="left"/>
              <w:rPr/>
            </w:pPr>
            <w:r>
              <w:rPr/>
            </w:r>
          </w:p>
        </w:tc>
        <w:tc>
          <w:tcPr>
            <w:tcW w:w="90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859 </w:t>
            </w:r>
          </w:p>
        </w:tc>
        <w:tc>
          <w:tcPr>
            <w:tcW w:w="205"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Corporate bonds and notes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06"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876"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0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973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96"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87"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0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9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0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973 </w:t>
            </w:r>
          </w:p>
        </w:tc>
        <w:tc>
          <w:tcPr>
            <w:tcW w:w="205"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817"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20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76"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1,171</w:t>
            </w:r>
          </w:p>
        </w:tc>
        <w:tc>
          <w:tcPr>
            <w:tcW w:w="20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lineRule="auto" w:line="288" w:before="0" w:after="283"/>
              <w:jc w:val="left"/>
              <w:rPr>
                <w:rFonts w:ascii="times new roman;times" w:hAnsi="times new roman;times"/>
                <w:color w:val="000000"/>
                <w:sz w:val="20"/>
              </w:rPr>
            </w:pPr>
            <w:r>
              <w:rPr>
                <w:rFonts w:ascii="times new roman;times" w:hAnsi="times new roman;times"/>
                <w:color w:val="000000"/>
                <w:sz w:val="20"/>
              </w:rPr>
              <w:t xml:space="preserve">$ </w:t>
            </w:r>
          </w:p>
        </w:tc>
        <w:tc>
          <w:tcPr>
            <w:tcW w:w="90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5,110 </w:t>
            </w:r>
          </w:p>
        </w:tc>
        <w:tc>
          <w:tcPr>
            <w:tcW w:w="20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7" w:type="dxa"/>
            <w:tcBorders/>
            <w:vAlign w:val="bottom"/>
          </w:tcPr>
          <w:p>
            <w:pPr>
              <w:pStyle w:val="TableContents"/>
              <w:bidi w:val="0"/>
              <w:spacing w:before="0" w:after="0"/>
              <w:ind w:left="0" w:right="0" w:hanging="0"/>
              <w:jc w:val="right"/>
              <w:rPr>
                <w:color w:val="000000"/>
              </w:rPr>
            </w:pPr>
            <w:r>
              <w:rPr>
                <w:color w:val="000000"/>
              </w:rPr>
              <w:t>—</w:t>
            </w:r>
          </w:p>
        </w:tc>
        <w:tc>
          <w:tcPr>
            <w:tcW w:w="20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03" w:type="dxa"/>
            <w:tcBorders/>
            <w:vAlign w:val="bottom"/>
          </w:tcPr>
          <w:p>
            <w:pPr>
              <w:pStyle w:val="TableContents"/>
              <w:bidi w:val="0"/>
              <w:spacing w:before="0" w:after="283"/>
              <w:jc w:val="right"/>
              <w:rPr>
                <w:rFonts w:ascii="times new roman;times" w:hAnsi="times new roman;times"/>
                <w:color w:val="000000"/>
                <w:sz w:val="20"/>
              </w:rPr>
            </w:pPr>
            <w:r>
              <w:rPr>
                <w:rFonts w:ascii="times new roman;times" w:hAnsi="times new roman;times"/>
                <w:color w:val="000000"/>
                <w:sz w:val="20"/>
              </w:rPr>
              <w:t xml:space="preserve">6,281 </w:t>
            </w:r>
          </w:p>
        </w:tc>
        <w:tc>
          <w:tcPr>
            <w:tcW w:w="20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were no financial instruments that were re-measured by the Company as of December 31, 2022.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13. Subsequent events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jc w:val="left"/>
        <w:rPr>
          <w:rFonts w:ascii="times new roman;times" w:hAnsi="times new roman;times"/>
        </w:rPr>
      </w:pPr>
      <w:r>
        <w:rPr>
          <w:rFonts w:ascii="times new roman;times" w:hAnsi="times new roman;times"/>
        </w:rPr>
      </w:r>
    </w:p>
    <w:p>
      <w:pPr>
        <w:pStyle w:val="TextBody"/>
        <w:bidi w:val="0"/>
        <w:spacing w:lineRule="auto" w:line="288"/>
        <w:ind w:left="0" w:right="0" w:hanging="0"/>
        <w:jc w:val="both"/>
        <w:rPr/>
      </w:pPr>
      <w:hyperlink r:id="rId10">
        <w:bookmarkStart w:id="48" w:name="BG_ZROYRYR1OG00000000000000000000"/>
        <w:bookmarkEnd w:id="48"/>
        <w:r>
          <w:rPr>
            <w:rStyle w:val="InternetLink"/>
            <w:rFonts w:ascii="Times New Roman" w:hAnsi="Times New Roman"/>
            <w:b/>
            <w:strike w:val="false"/>
            <w:dstrike w:val="false"/>
            <w:color w:val="000000"/>
            <w:sz w:val="20"/>
            <w:u w:val="none"/>
            <w:effect w:val="none"/>
          </w:rPr>
          <w:t xml:space="preserve">Item </w:t>
        </w:r>
      </w:hyperlink>
      <w:hyperlink r:id="rId11">
        <w:r>
          <w:rPr>
            <w:rStyle w:val="InternetLink"/>
            <w:rFonts w:ascii="Times New Roman" w:hAnsi="Times New Roman"/>
            <w:b/>
            <w:strike w:val="false"/>
            <w:dstrike w:val="false"/>
            <w:color w:val="000000"/>
            <w:sz w:val="20"/>
            <w:u w:val="none"/>
            <w:effect w:val="none"/>
          </w:rPr>
          <w:t>2</w:t>
        </w:r>
      </w:hyperlink>
      <w:hyperlink r:id="rId12">
        <w:r>
          <w:rPr>
            <w:rStyle w:val="InternetLink"/>
            <w:rFonts w:ascii="Times New Roman" w:hAnsi="Times New Roman"/>
            <w:b/>
            <w:strike w:val="false"/>
            <w:dstrike w:val="false"/>
            <w:color w:val="000000"/>
            <w:sz w:val="20"/>
            <w:u w:val="none"/>
            <w:effect w:val="none"/>
          </w:rPr>
          <w:t>. MANAGEMENT’S DISCUSSION AND ANALYSIS OF FINANCIAL CONDITION AND RESULTS OF OPERATIONS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w:t>
      </w:r>
      <w:r>
        <w:rPr>
          <w:rFonts w:ascii="times new roman;times" w:hAnsi="times new roman;times"/>
          <w:sz w:val="20"/>
        </w:rPr>
        <w:t> </w:t>
      </w:r>
      <w:r>
        <w:rPr>
          <w:rFonts w:ascii="Times New Roman" w:hAnsi="Times New Roman"/>
          <w:sz w:val="20"/>
        </w:rPr>
        <w:t>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our expectations regarding the ongoing transition of manufacturing of our products from China to Singapore by our electronics manufacturing services provider;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2022.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BUSINESS OVERVIEW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 is a global Company that designs, develops and sells conferencing, collaboration, and AV networking solutions for voice and visual communications. The performance and simplicity of our advanced, comprehensive solutions offer a high</w:t>
      </w:r>
      <w:r>
        <w:rPr>
          <w:rFonts w:ascii="times new roman;times" w:hAnsi="times new roman;times"/>
          <w:sz w:val="20"/>
        </w:rPr>
        <w:t> </w:t>
      </w:r>
      <w:r>
        <w:rPr>
          <w:rFonts w:ascii="Times New Roman" w:hAnsi="Times New Roman"/>
          <w:sz w:val="20"/>
        </w:rPr>
        <w:t>level</w:t>
      </w:r>
      <w:r>
        <w:rPr>
          <w:rFonts w:ascii="times new roman;times" w:hAnsi="times new roman;times"/>
          <w:sz w:val="20"/>
        </w:rPr>
        <w:t> </w:t>
      </w:r>
      <w:r>
        <w:rPr>
          <w:rFonts w:ascii="Times New Roman" w:hAnsi="Times New Roman"/>
          <w:sz w:val="20"/>
        </w:rPr>
        <w:t>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May 2023, we launched eight new COLLABORATE® Versa® packaged hardware systems to provide optimized audio and video performance for conference rooms and personal office spaces. The updated lineup of bundled solutions empowers businesses of all sizes and means to leverage powerful conferencing capabilities that include automatic voice tracking, face tracking and echo cancellation. The new lineup of COLLABORATE Versa solutions offers an ideal package for every small-to-medium sized conferencing space or personal office, giving business owners and IT staff mission-specific options that ensure maximum value, utility and performance in any room. The solutions launched were COLLABORATE Versa Room CT 160, COLLABORATE Versa Room CT, COLLABORATE Versa 20, COLLABORATE Versa 20 Plus, COLLABORATE Versa 160, COLLABORATE Versa 60, COLLABORATE Versa Pro 160, and COLLABORATE Versa Pro 60.</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June 2023, we returned to Infocomm for the first time since 2019 with a complete suite of products, programs, and on-site demonstrations designed to help partners grow their business across every vertical market where increased collaboration is a priority. We exhibited our solutions in Booth #3061 in the Orange County Convention Center from June 14-16, 2023 in Orlando, Florida. </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At Infocomm 2023, we unveiled the BMA 360D, the newest member of the world’s most advanced beamforming microphone array ceiling tile family. The BMA 360D offers unrivaled audio performance and native compatibility with any Dante-enabled DSP mixer.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 mixer.</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also introduced at Infocomm, our powerful new DIALOG® UVHF wireless microphone system that combines class-leading flexibility, Power over Ethernet (PoE) simplicity, Dante technology, and up to 350 usable frequencies to offer professional-quality audio conferencing, video collaboration, and sound reinforcement for any size room. The new DIALOG UVHF system offers businesses and institutions a flexible wireless microphone system that can address varying types of audio pickup needs for rooms of virtually any size. With up to 350 available frequencies across 160 MHz of RF range, the system also delivers incredibly robust reception.  Now corporate boardrooms, training rooms, college lecture halls, courtrooms and other multi-use venues can ensure excellent audio pickup quality and meet varying pickup needs with the simplicity of PoE that enables installation virtually anywhere through a single CAT6 ethernet cable. ClearOne’s free support for system design and remote commissioning makes it easier than ever to outfit any presentation space with a professional-quality multi-function audio pickup solution. The DIALOG UVHF system allows integrators, room designers and meeting hosts to address a wide range of audio pickup needs through five lavalier, lanyard and headset-type body microphones, two handheld microphones, a boundary microphone and three gooseneck microphones for podium use. Powering the microphones is simple and efficient, as all models use the same 12-hour off-the-shelf Li-ion battery that can be charged via USB-C or an optional eight-bay network-connected charging dock. Firmware updates can be done over the network, while the transmitters charge. The Dante-enabled system includes an eight-channel Dante Access Point to ensure optimal signal transmission and system reliability, while an optional DIALOG UVHF Dante interface provides eight Euroblock balanced analog outputs, including mixed output, USB audio output and eight GPIOs. The lightweight plenum-rated access point provides versatile mounting options for wall, ceiling, tabletop or pole mounting, including VESA mount holes. The DIALOG UVHF is the only system with a wireless access point that delivers antenna redundancy and diversity, with dual antennas providing spatial and polarization diversity that helps maintain high audio quality in harsh environments. A wired ethernet connection adds the ability to connect management software to the access point via a web browser. Secure RF connections are created using full-time standards-based FIPS 197 AES-256 encryption. ClearOne’s solutions are designed to support all leading collaboration platforms, including Microsoft Teams, Google Meet, GoToMeeting, Zoom and WebEx.</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left"/>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August 2023, we showcased our full range of conferencing, collaboration, and communications solutions at CEDIA 2023 held in Denver, Colorado. During the event, we highlighted the CHAT® 150 BT Speakerphone (USB and Bluetooth speakerphone), Versa® Mediabar™ (video soundbar), UNITE® 60 (4K ePTZ wide-angle tracking camera), COLLABORATE® Versa® Pro CT (product bundle consisting of Huddle DSP and BMA CTH beamforming mic array ceiling tile), COLLABORATE® Versa® Lite CT (USB Plug-N-Play beamforming mic array ceiling tile), and COLLABORATE® Versa® 60 (product bundle consisting of CHAT® 150 USB speakerphone, a UNITE® 60 wide angle 4K ePTZ camera, and a VERSA USB Hub).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September 2023, our new DIALOG® UVHF Wireless Microphone System was named a winner in the Higher Education category of the 2023 Tech &amp; Learning Magazine Awards of Excellence. The annual Tech &amp; Learning Awards of Excellence program, conducted by leading educational technology publication Tech &amp; Learning, recognizes innovation in the edtech industry and celebrates the most impressive products and solutions that support learning environments.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continued our programs to cut costs and to speed up product development that we believe will enable us to get back to a growth path. </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Overall revenue decreased by 22% in the third quarter of 2023 when compared to the third quarter of 2022, primarily due to a significant decrease in revenues from audio conferencing category. </w:t>
      </w:r>
      <w:r>
        <w:rPr>
          <w:rFonts w:ascii="times new roman;times" w:hAnsi="times new roman;times"/>
          <w:b w:val="false"/>
          <w:i w:val="false"/>
          <w:caps w:val="false"/>
          <w:smallCaps w:val="false"/>
          <w:color w:val="000000"/>
          <w:spacing w:val="0"/>
          <w:sz w:val="20"/>
        </w:rPr>
        <w:t>The revenue decline was partially due to our continued inability to source adequate inventory to meet the demand for professional audio products and BMA due to the ongoing transition of manufacturing of our products from China to Singapore by our electronics manufacturing services provider. The revenue decline was also caused by significantly reduced demand for our products in many regions including USA, Europe, the Middle East and China when compared to 2022-Q3 revenues. We expect the challenges with the manufacturing transition from China to Singapore to resolve in the fourth quarter of 2023 as we have seen improvement in product deliveries in the second and third quarters of 2023 when compared to the first quarter of 2023. </w:t>
      </w:r>
      <w:r>
        <w:rPr>
          <w:rFonts w:ascii="times new roman;times" w:hAnsi="times new roman;times"/>
          <w:sz w:val="20"/>
        </w:rPr>
        <w:t> Our revenue performance in 2023-Q3 also was to a small extent impacted negatively due to increased costs associated with the electronic raw materials that have affected the global manufacturing of high tech products. We expect these increased costs in various degrees to continue through 2023 and 2024.</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Our gross profit margin decreased to 33.1% during the third quarter of 2023 from 41.0% during the third quarter of 2022. </w:t>
      </w:r>
      <w:r>
        <w:rPr>
          <w:rFonts w:ascii="Times New Roman" w:hAnsi="Times New Roman"/>
          <w:b w:val="false"/>
          <w:i w:val="false"/>
          <w:caps w:val="false"/>
          <w:smallCaps w:val="false"/>
          <w:color w:val="000000"/>
          <w:spacing w:val="0"/>
          <w:sz w:val="20"/>
        </w:rPr>
        <w:t>Our gross profit margin decreased to 32.8% during the first nine months of 2023 compared to 38.7% during the first nine months of 2022. </w:t>
      </w:r>
      <w:r>
        <w:rPr>
          <w:rFonts w:ascii="Times New Roman" w:hAnsi="Times New Roman"/>
          <w:sz w:val="20"/>
        </w:rPr>
        <w:t>Gross Profit margin decreased year over year mainly due to increase in administration and overhead costs as a percentage of revenue and change in the revenue mix of the products.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Net loss increased from $1.2 million in the third quarter of 2022 to $1.4 million in the third quarter of 2023. The increase in net loss was mainly due to (a) a decrease in revenues and associated gross margin, partially offset by (b) a decrease in operating expenses and (c) an increase in interest income. Net loss decreased from $3.5 million for the first nine months of 2022 to $3.2 million for the first nine months of 2023. The decrease was mainly due to (a) a recognition of </w:t>
      </w:r>
      <w:r>
        <w:rPr>
          <w:rFonts w:ascii="times new roman;times" w:hAnsi="times new roman;times"/>
          <w:b w:val="false"/>
          <w:i w:val="false"/>
          <w:caps w:val="false"/>
          <w:smallCaps w:val="false"/>
          <w:color w:val="000000"/>
          <w:spacing w:val="0"/>
          <w:sz w:val="20"/>
        </w:rPr>
        <w:t>$1.35 million from a one-time legal settlement of a contract dispute, (b) significant reduction in operating expenses, and (c) increase in interest income, partially reduced by (d) reduced revenue and associated gross margin.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believe, although there can be no assurance, that we can return to generating operating profits through our strategic initiatives namely product innovation and cost reduction.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i/>
          <w:sz w:val="20"/>
        </w:rPr>
      </w:pPr>
      <w:r>
        <w:rPr>
          <w:rFonts w:ascii="Times New Roman" w:hAnsi="Times New Roman"/>
          <w:i/>
          <w:sz w:val="20"/>
        </w:rPr>
        <w:t>Industry conditions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gain market share and achieve certain non-financial goals. It has become increasingly important to have higher interoperability with other products in the audio visual market as well as certifications from leading video conferencing service providers like Microsoft and Zoom</w:t>
      </w:r>
      <w:r>
        <w:rPr>
          <w:rFonts w:ascii="Times New Roman" w:hAnsi="Times New Roman"/>
          <w:sz w:val="20"/>
        </w:rPr>
        <w:t>. </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i/>
          <w:sz w:val="20"/>
        </w:rPr>
      </w:pPr>
      <w:r>
        <w:rPr>
          <w:rFonts w:ascii="Times New Roman" w:hAnsi="Times New Roman"/>
          <w:i/>
          <w:sz w:val="20"/>
        </w:rPr>
        <w:t>Economic conditions, challenges and risks</w:t>
      </w:r>
    </w:p>
    <w:p>
      <w:pPr>
        <w:pStyle w:val="TextBody"/>
        <w:bidi w:val="0"/>
        <w:spacing w:lineRule="auto" w:line="288" w:before="0" w:after="0"/>
        <w:ind w:left="0" w:right="0" w:hanging="0"/>
        <w:jc w:val="both"/>
        <w:rPr/>
      </w:pPr>
      <w:r>
        <w:rPr/>
        <w:t> </w:t>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audio-visual products market is characterized by intense competition and rapidly evolving technology. Our competitors vary within each product category. Our installed professional audio conferencing</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market, we face challenges to revenue growth due to the limited size of the market, pricing pressures from new competitors attracted to the commercial market due to higher margins, our limited ability to be interoperable with other audio visual products in the market, and the lack of certifications from Microsoft.</w:t>
      </w:r>
    </w:p>
    <w:p>
      <w:pPr>
        <w:pStyle w:val="TextBody"/>
        <w:widowControl/>
        <w:bidi w:val="0"/>
        <w:ind w:left="0" w:right="0" w:hanging="0"/>
        <w:jc w:val="both"/>
        <w:rPr/>
      </w:pPr>
      <w:r>
        <w:rPr/>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and beamforming microphone arrays, especially highly advanced BMA 360 and BMA-CT are critical to our long-term</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high growth in the near future. </w:t>
      </w:r>
    </w:p>
    <w:p>
      <w:pPr>
        <w:pStyle w:val="TextBody"/>
        <w:widowControl/>
        <w:bidi w:val="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derive a significant portion of our revenue (approximately 56%</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 the first nine months of 2023)</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from international operations and expect this trend to continue in the future. Most of our revenue from outside the U.S. is</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billed in U.S. dollars and is not exposed to any significant currency risk. However, we are exposed to foreign exchange risk if the U.S. dollar is strong against other currencies as it will make U.S. Dollar denominated prices of our products less competitive.</w:t>
      </w:r>
    </w:p>
    <w:p>
      <w:pPr>
        <w:pStyle w:val="TextBody"/>
        <w:widowControl/>
        <w:bidi w:val="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December 2019, a novel strain of coronavirus (“COVID-</w:t>
      </w:r>
      <w:r>
        <w:rPr>
          <w:rFonts w:ascii="Times New Roman" w:hAnsi="Times New Roman"/>
          <w:b w:val="false"/>
          <w:i w:val="false"/>
          <w:caps w:val="false"/>
          <w:smallCaps w:val="false"/>
          <w:color w:val="000000"/>
          <w:spacing w:val="0"/>
          <w:sz w:val="20"/>
        </w:rPr>
        <w:t>19”</w:t>
      </w:r>
      <w:r>
        <w:rPr>
          <w:rFonts w:ascii="times new roman;times" w:hAnsi="times new roman;times"/>
          <w:b w:val="false"/>
          <w:i w:val="false"/>
          <w:caps w:val="false"/>
          <w:smallCaps w:val="false"/>
          <w:color w:val="000000"/>
          <w:spacing w:val="0"/>
          <w:sz w:val="20"/>
        </w:rPr>
        <w:t>) started spreading from China and was declared a pandemic. The COVID-</w:t>
      </w:r>
      <w:r>
        <w:rPr>
          <w:rFonts w:ascii="Times New Roman" w:hAnsi="Times New Roman"/>
          <w:b w:val="false"/>
          <w:i w:val="false"/>
          <w:caps w:val="false"/>
          <w:smallCaps w:val="false"/>
          <w:color w:val="000000"/>
          <w:spacing w:val="0"/>
          <w:sz w:val="20"/>
        </w:rPr>
        <w:t>19 </w:t>
      </w:r>
      <w:r>
        <w:rPr>
          <w:rFonts w:ascii="times new roman;times" w:hAnsi="times new roman;times"/>
          <w:b w:val="false"/>
          <w:i w:val="false"/>
          <w:caps w:val="false"/>
          <w:smallCaps w:val="false"/>
          <w:color w:val="000000"/>
          <w:spacing w:val="0"/>
          <w:sz w:val="20"/>
        </w:rPr>
        <w:t>pandemic caused severe global disruptions and had varying impact on our business. The installed audio conferencing market was negatively impacted due to </w:t>
      </w:r>
      <w:r>
        <w:rPr>
          <w:rFonts w:ascii="Times New Roman" w:hAnsi="Times New Roman"/>
          <w:b w:val="false"/>
          <w:i w:val="false"/>
          <w:caps w:val="false"/>
          <w:smallCaps w:val="false"/>
          <w:color w:val="000000"/>
          <w:spacing w:val="0"/>
          <w:sz w:val="20"/>
        </w:rPr>
        <w:t>lockdowns</w:t>
      </w:r>
      <w:r>
        <w:rPr>
          <w:rFonts w:ascii="times new roman;times" w:hAnsi="times new roman;times"/>
          <w:b w:val="false"/>
          <w:i w:val="false"/>
          <w:caps w:val="false"/>
          <w:smallCaps w:val="false"/>
          <w:color w:val="000000"/>
          <w:spacing w:val="0"/>
          <w:sz w:val="20"/>
        </w:rPr>
        <w:t>, postponement of projects and restrictions on installers to visit commercial sites. On the other hand, COVID-</w:t>
      </w:r>
      <w:r>
        <w:rPr>
          <w:rFonts w:ascii="Times New Roman" w:hAnsi="Times New Roman"/>
          <w:b w:val="false"/>
          <w:i w:val="false"/>
          <w:caps w:val="false"/>
          <w:smallCaps w:val="false"/>
          <w:color w:val="000000"/>
          <w:spacing w:val="0"/>
          <w:sz w:val="20"/>
        </w:rPr>
        <w:t>19 </w:t>
      </w:r>
      <w:r>
        <w:rPr>
          <w:rFonts w:ascii="times new roman;times" w:hAnsi="times new roman;times"/>
          <w:b w:val="false"/>
          <w:i w:val="false"/>
          <w:caps w:val="false"/>
          <w:smallCaps w:val="false"/>
          <w:color w:val="000000"/>
          <w:spacing w:val="0"/>
          <w:sz w:val="20"/>
        </w:rPr>
        <w:t>generated higher than normal demand in 2020 for our video products and personal conferencing products due to the significant expansion of work-from-home market. The extent of COVID-</w:t>
      </w:r>
      <w:r>
        <w:rPr>
          <w:rFonts w:ascii="Times New Roman" w:hAnsi="Times New Roman"/>
          <w:b w:val="false"/>
          <w:i w:val="false"/>
          <w:caps w:val="false"/>
          <w:smallCaps w:val="false"/>
          <w:color w:val="000000"/>
          <w:spacing w:val="0"/>
          <w:sz w:val="20"/>
        </w:rPr>
        <w:t>19’</w:t>
      </w:r>
      <w:r>
        <w:rPr>
          <w:rFonts w:ascii="times new roman;times" w:hAnsi="times new roman;times"/>
          <w:b w:val="false"/>
          <w:i w:val="false"/>
          <w:caps w:val="false"/>
          <w:smallCaps w:val="false"/>
          <w:color w:val="000000"/>
          <w:spacing w:val="0"/>
          <w:sz w:val="20"/>
        </w:rPr>
        <w:t>s effect on our operational and financial performance depends on multiple factors including the severity and infectiousness of current and future virus strains, effectiveness of vaccines especially on novel strains of COVID-</w:t>
      </w:r>
      <w:r>
        <w:rPr>
          <w:rFonts w:ascii="Times New Roman" w:hAnsi="Times New Roman"/>
          <w:b w:val="false"/>
          <w:i w:val="false"/>
          <w:caps w:val="false"/>
          <w:smallCaps w:val="false"/>
          <w:color w:val="000000"/>
          <w:spacing w:val="0"/>
          <w:sz w:val="20"/>
        </w:rPr>
        <w:t>19</w:t>
      </w:r>
      <w:r>
        <w:rPr>
          <w:rFonts w:ascii="times new roman;times" w:hAnsi="times new roman;times"/>
          <w:b w:val="false"/>
          <w:i w:val="false"/>
          <w:caps w:val="false"/>
          <w:smallCaps w:val="false"/>
          <w:color w:val="000000"/>
          <w:spacing w:val="0"/>
          <w:sz w:val="20"/>
        </w:rPr>
        <w:t>, government regulations, </w:t>
      </w:r>
      <w:r>
        <w:rPr>
          <w:rFonts w:ascii="Times New Roman" w:hAnsi="Times New Roman"/>
          <w:b w:val="false"/>
          <w:i w:val="false"/>
          <w:caps w:val="false"/>
          <w:smallCaps w:val="false"/>
          <w:color w:val="000000"/>
          <w:spacing w:val="0"/>
          <w:sz w:val="20"/>
        </w:rPr>
        <w:t>etc</w:t>
      </w:r>
      <w:r>
        <w:rPr>
          <w:rFonts w:ascii="times new roman;times" w:hAnsi="times new roman;times"/>
          <w:b w:val="false"/>
          <w:i w:val="false"/>
          <w:caps w:val="false"/>
          <w:smallCaps w:val="false"/>
          <w:color w:val="000000"/>
          <w:spacing w:val="0"/>
          <w:sz w:val="20"/>
        </w:rPr>
        <w:t>., all of which are uncertain and difficult to predict.  Supply chain disruptions resulting from COVID-19 have caused significant fluctuations in our costs of goods resulting in a reduction of our gross margins in 2021 and 2022. We expect these fluctuations to continue in 2023. If the pandemic resurfaces to be a severe worldwide health crisis, the disease could have a material adverse effect on our business, results of operations, financial condition and cash flows and adversely impact the trading price of our common stock.</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Deferred Product Revenue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Deferred product revenue decreased to $38 thousand on September 30, 2023 compared to $63 thousand on December 31, 2022.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 detailed discussion of our results of operations follows below.</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color w:val="000000"/>
          <w:sz w:val="20"/>
        </w:rPr>
      </w:pPr>
      <w:r>
        <w:rPr>
          <w:rFonts w:ascii="Times New Roman" w:hAnsi="Times New Roman"/>
          <w:b/>
          <w:i/>
          <w:color w:val="000000"/>
          <w:sz w:val="20"/>
        </w:rPr>
        <w:t>Results of Operations for the three and nine months ended September 30, 2023</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sets forth certain items from our unaudited condensed consolidated statements of operations for the three and nine months ended September 30, 2023 (“</w:t>
      </w:r>
      <w:r>
        <w:rPr>
          <w:rFonts w:ascii="times new roman;times" w:hAnsi="times new roman;times"/>
          <w:b w:val="false"/>
          <w:i w:val="false"/>
          <w:caps w:val="false"/>
          <w:smallCaps w:val="false"/>
          <w:color w:val="000000"/>
          <w:spacing w:val="0"/>
          <w:sz w:val="20"/>
        </w:rPr>
        <w:t>2023</w:t>
      </w:r>
      <w:r>
        <w:rPr>
          <w:rFonts w:ascii="times new roman;times" w:hAnsi="times new roman;times"/>
          <w:b w:val="false"/>
          <w:i w:val="false"/>
          <w:caps w:val="false"/>
          <w:smallCaps w:val="false"/>
          <w:color w:val="000000"/>
          <w:spacing w:val="0"/>
          <w:sz w:val="20"/>
        </w:rPr>
        <w:t xml:space="preserve">-Q3”) ("2023-YTD") and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-Q3") ("2022-YTD"), respectively, together with the percentage of total revenue which each such item represents: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075"/>
        <w:gridCol w:w="60"/>
        <w:gridCol w:w="155"/>
        <w:gridCol w:w="680"/>
        <w:gridCol w:w="99"/>
        <w:gridCol w:w="74"/>
        <w:gridCol w:w="155"/>
        <w:gridCol w:w="680"/>
        <w:gridCol w:w="99"/>
        <w:gridCol w:w="74"/>
        <w:gridCol w:w="294"/>
        <w:gridCol w:w="1652"/>
        <w:gridCol w:w="80"/>
        <w:gridCol w:w="23"/>
        <w:gridCol w:w="150"/>
        <w:gridCol w:w="710"/>
        <w:gridCol w:w="96"/>
        <w:gridCol w:w="27"/>
        <w:gridCol w:w="150"/>
        <w:gridCol w:w="710"/>
        <w:gridCol w:w="96"/>
        <w:gridCol w:w="27"/>
        <w:gridCol w:w="585"/>
        <w:gridCol w:w="1362"/>
        <w:gridCol w:w="92"/>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62" w:type="dxa"/>
            <w:gridSpan w:val="1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Three months ended September 30,</w:t>
            </w:r>
          </w:p>
        </w:tc>
        <w:tc>
          <w:tcPr>
            <w:tcW w:w="80"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3913" w:type="dxa"/>
            <w:gridSpan w:val="10"/>
            <w:tcBorders/>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Nine months ended September 30,</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0"/>
              <w:ind w:left="0" w:right="0" w:hanging="0"/>
              <w:jc w:val="left"/>
              <w:rPr/>
            </w:pPr>
            <w:r>
              <w:rPr/>
              <w:t> </w:t>
            </w:r>
          </w:p>
        </w:tc>
        <w:tc>
          <w:tcPr>
            <w:tcW w:w="835"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2023</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835"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2022</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1946"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860"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2023</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860"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2022</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1947" w:type="dxa"/>
            <w:gridSpan w:val="2"/>
            <w:tcBorders/>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Change Favorable (Adverse) in %</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Revenue</w:t>
            </w:r>
          </w:p>
        </w:tc>
        <w:tc>
          <w:tcPr>
            <w:tcW w:w="60" w:type="dxa"/>
            <w:tcBorders/>
            <w:shd w:fill="CCEEFF" w:val="clear"/>
            <w:vAlign w:val="bottom"/>
          </w:tcPr>
          <w:p>
            <w:pPr>
              <w:pStyle w:val="TableContents"/>
              <w:bidi w:val="0"/>
              <w:spacing w:before="0" w:after="0"/>
              <w:ind w:left="0" w:right="0" w:hanging="0"/>
              <w:jc w:val="left"/>
              <w:rPr/>
            </w:pPr>
            <w:r>
              <w:rPr/>
              <w:t> </w:t>
            </w:r>
          </w:p>
        </w:tc>
        <w:tc>
          <w:tcPr>
            <w:tcW w:w="15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0"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4,889</w:t>
            </w:r>
          </w:p>
        </w:tc>
        <w:tc>
          <w:tcPr>
            <w:tcW w:w="99" w:type="dxa"/>
            <w:tcBorders/>
            <w:shd w:fill="CCEEFF" w:val="clear"/>
            <w:vAlign w:val="bottom"/>
          </w:tcPr>
          <w:p>
            <w:pPr>
              <w:pStyle w:val="TableContents"/>
              <w:bidi w:val="0"/>
              <w:spacing w:before="0" w:after="0"/>
              <w:ind w:left="0" w:right="0" w:hanging="0"/>
              <w:jc w:val="left"/>
              <w:rPr/>
            </w:pPr>
            <w:r>
              <w:rPr/>
              <w:t> </w:t>
            </w:r>
          </w:p>
        </w:tc>
        <w:tc>
          <w:tcPr>
            <w:tcW w:w="74" w:type="dxa"/>
            <w:tcBorders/>
            <w:shd w:fill="CCEEFF" w:val="clear"/>
            <w:vAlign w:val="bottom"/>
          </w:tcPr>
          <w:p>
            <w:pPr>
              <w:pStyle w:val="TableContents"/>
              <w:bidi w:val="0"/>
              <w:spacing w:before="0" w:after="0"/>
              <w:ind w:left="0" w:right="0" w:hanging="0"/>
              <w:jc w:val="left"/>
              <w:rPr/>
            </w:pPr>
            <w:r>
              <w:rPr/>
              <w:t> </w:t>
            </w:r>
          </w:p>
        </w:tc>
        <w:tc>
          <w:tcPr>
            <w:tcW w:w="15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0"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6,264</w:t>
            </w:r>
          </w:p>
        </w:tc>
        <w:tc>
          <w:tcPr>
            <w:tcW w:w="99" w:type="dxa"/>
            <w:tcBorders/>
            <w:shd w:fill="CCEEFF" w:val="clear"/>
            <w:vAlign w:val="bottom"/>
          </w:tcPr>
          <w:p>
            <w:pPr>
              <w:pStyle w:val="TableContents"/>
              <w:bidi w:val="0"/>
              <w:spacing w:before="0" w:after="0"/>
              <w:ind w:left="0" w:right="0" w:hanging="0"/>
              <w:jc w:val="left"/>
              <w:rPr/>
            </w:pPr>
            <w:r>
              <w:rPr/>
              <w:t> </w:t>
            </w:r>
          </w:p>
        </w:tc>
        <w:tc>
          <w:tcPr>
            <w:tcW w:w="74" w:type="dxa"/>
            <w:tcBorders/>
            <w:shd w:fill="CCEEFF" w:val="clear"/>
            <w:vAlign w:val="bottom"/>
          </w:tcPr>
          <w:p>
            <w:pPr>
              <w:pStyle w:val="TableContents"/>
              <w:bidi w:val="0"/>
              <w:spacing w:before="0" w:after="0"/>
              <w:ind w:left="0" w:right="0" w:hanging="0"/>
              <w:jc w:val="left"/>
              <w:rPr/>
            </w:pPr>
            <w:r>
              <w:rPr/>
              <w:t> </w:t>
            </w:r>
          </w:p>
        </w:tc>
        <w:tc>
          <w:tcPr>
            <w:tcW w:w="294" w:type="dxa"/>
            <w:tcBorders/>
            <w:shd w:fill="CCEEFF" w:val="clear"/>
            <w:vAlign w:val="bottom"/>
          </w:tcPr>
          <w:p>
            <w:pPr>
              <w:pStyle w:val="TableContents"/>
              <w:bidi w:val="0"/>
              <w:spacing w:before="0" w:after="0"/>
              <w:ind w:left="0" w:right="0" w:hanging="0"/>
              <w:jc w:val="left"/>
              <w:rPr/>
            </w:pPr>
            <w:r>
              <w:rPr/>
              <w:t> </w:t>
            </w:r>
          </w:p>
        </w:tc>
        <w:tc>
          <w:tcPr>
            <w:tcW w:w="1652"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(22</w:t>
            </w:r>
          </w:p>
        </w:tc>
        <w:tc>
          <w:tcPr>
            <w:tcW w:w="8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ind w:left="0" w:right="0" w:hanging="0"/>
              <w:jc w:val="left"/>
              <w:rPr/>
            </w:pPr>
            <w:r>
              <w:rPr/>
            </w:r>
          </w:p>
        </w:tc>
        <w:tc>
          <w:tcPr>
            <w:tcW w:w="150"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10" w:type="dxa"/>
            <w:tcBorders/>
            <w:shd w:fill="CCEEFF"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14,550</w:t>
            </w:r>
          </w:p>
        </w:tc>
        <w:tc>
          <w:tcPr>
            <w:tcW w:w="96" w:type="dxa"/>
            <w:tcBorders/>
            <w:shd w:fill="CCEEFF" w:val="clear"/>
            <w:vAlign w:val="bottom"/>
          </w:tcPr>
          <w:p>
            <w:pPr>
              <w:pStyle w:val="TableContents"/>
              <w:bidi w:val="0"/>
              <w:spacing w:before="0" w:after="283"/>
              <w:ind w:left="0" w:right="0" w:hanging="0"/>
              <w:jc w:val="left"/>
              <w:rPr/>
            </w:pPr>
            <w:r>
              <w:rPr/>
            </w:r>
          </w:p>
        </w:tc>
        <w:tc>
          <w:tcPr>
            <w:tcW w:w="27" w:type="dxa"/>
            <w:tcBorders/>
            <w:shd w:fill="CCEEFF" w:val="clear"/>
            <w:vAlign w:val="bottom"/>
          </w:tcPr>
          <w:p>
            <w:pPr>
              <w:pStyle w:val="TableContents"/>
              <w:bidi w:val="0"/>
              <w:spacing w:before="0" w:after="283"/>
              <w:ind w:left="0" w:right="0" w:hanging="0"/>
              <w:jc w:val="left"/>
              <w:rPr/>
            </w:pPr>
            <w:r>
              <w:rPr/>
            </w:r>
          </w:p>
        </w:tc>
        <w:tc>
          <w:tcPr>
            <w:tcW w:w="150"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710" w:type="dxa"/>
            <w:tcBorders/>
            <w:shd w:fill="CCEEFF"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21,184</w:t>
            </w:r>
          </w:p>
        </w:tc>
        <w:tc>
          <w:tcPr>
            <w:tcW w:w="96" w:type="dxa"/>
            <w:tcBorders/>
            <w:shd w:fill="CCEEFF" w:val="clear"/>
            <w:vAlign w:val="bottom"/>
          </w:tcPr>
          <w:p>
            <w:pPr>
              <w:pStyle w:val="TableContents"/>
              <w:bidi w:val="0"/>
              <w:spacing w:before="0" w:after="283"/>
              <w:ind w:left="0" w:right="0" w:hanging="0"/>
              <w:jc w:val="left"/>
              <w:rPr/>
            </w:pPr>
            <w:r>
              <w:rPr/>
            </w:r>
          </w:p>
        </w:tc>
        <w:tc>
          <w:tcPr>
            <w:tcW w:w="27" w:type="dxa"/>
            <w:tcBorders/>
            <w:shd w:fill="CCEEFF" w:val="clear"/>
            <w:vAlign w:val="bottom"/>
          </w:tcPr>
          <w:p>
            <w:pPr>
              <w:pStyle w:val="TableContents"/>
              <w:bidi w:val="0"/>
              <w:spacing w:before="0" w:after="283"/>
              <w:ind w:left="0" w:right="0" w:hanging="0"/>
              <w:jc w:val="left"/>
              <w:rPr/>
            </w:pPr>
            <w:r>
              <w:rPr/>
            </w:r>
          </w:p>
        </w:tc>
        <w:tc>
          <w:tcPr>
            <w:tcW w:w="585"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362" w:type="dxa"/>
            <w:tcBorders/>
            <w:shd w:fill="CCEEFF"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(31</w:t>
            </w:r>
          </w:p>
        </w:tc>
        <w:tc>
          <w:tcPr>
            <w:tcW w:w="9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Cost of goods sold</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3,273</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3,694</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9,771</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12,991</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bidi w:val="0"/>
              <w:spacing w:before="0" w:after="283"/>
              <w:ind w:left="0" w:right="0" w:hanging="0"/>
              <w:jc w:val="left"/>
              <w:rPr/>
            </w:pPr>
            <w:r>
              <w:rPr/>
            </w:r>
          </w:p>
        </w:tc>
        <w:tc>
          <w:tcPr>
            <w:tcW w:w="13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25</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1,616</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2,570</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 </w:t>
            </w:r>
          </w:p>
        </w:tc>
        <w:tc>
          <w:tcPr>
            <w:tcW w:w="165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4,779</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8,193</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585" w:type="dxa"/>
            <w:tcBorders/>
            <w:shd w:fill="CCEEFF" w:val="clear"/>
            <w:vAlign w:val="center"/>
          </w:tcPr>
          <w:p>
            <w:pPr>
              <w:pStyle w:val="TableContents"/>
              <w:bidi w:val="0"/>
              <w:spacing w:before="0" w:after="283"/>
              <w:ind w:left="0" w:right="0" w:hanging="0"/>
              <w:jc w:val="left"/>
              <w:rPr/>
            </w:pPr>
            <w:r>
              <w:rPr/>
            </w:r>
          </w:p>
        </w:tc>
        <w:tc>
          <w:tcPr>
            <w:tcW w:w="136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(42</w:t>
            </w:r>
          </w:p>
        </w:tc>
        <w:tc>
          <w:tcPr>
            <w:tcW w:w="9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Sales and marketing</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1,119</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1,151</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w:t>
            </w:r>
          </w:p>
        </w:tc>
        <w:tc>
          <w:tcPr>
            <w:tcW w:w="80"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3,634</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4,273</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bidi w:val="0"/>
              <w:spacing w:before="0" w:after="283"/>
              <w:ind w:left="0" w:right="0" w:hanging="0"/>
              <w:jc w:val="left"/>
              <w:rPr/>
            </w:pPr>
            <w:r>
              <w:rPr/>
            </w:r>
          </w:p>
        </w:tc>
        <w:tc>
          <w:tcPr>
            <w:tcW w:w="13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15</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Research and product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889</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876</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 </w:t>
            </w:r>
          </w:p>
        </w:tc>
        <w:tc>
          <w:tcPr>
            <w:tcW w:w="165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2,805</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3,406</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585" w:type="dxa"/>
            <w:tcBorders/>
            <w:shd w:fill="CCEEFF" w:val="clear"/>
            <w:vAlign w:val="center"/>
          </w:tcPr>
          <w:p>
            <w:pPr>
              <w:pStyle w:val="TableContents"/>
              <w:bidi w:val="0"/>
              <w:spacing w:before="0" w:after="283"/>
              <w:ind w:left="0" w:right="0" w:hanging="0"/>
              <w:jc w:val="left"/>
              <w:rPr/>
            </w:pPr>
            <w:r>
              <w:rPr/>
            </w:r>
          </w:p>
        </w:tc>
        <w:tc>
          <w:tcPr>
            <w:tcW w:w="13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w:t>
            </w:r>
          </w:p>
        </w:tc>
        <w:tc>
          <w:tcPr>
            <w:tcW w:w="92" w:type="dxa"/>
            <w:tcBorders/>
            <w:shd w:fill="CCEEFF" w:val="clear"/>
            <w:vAlign w:val="center"/>
          </w:tcPr>
          <w:p>
            <w:pPr>
              <w:pStyle w:val="TableContents"/>
              <w:bidi w:val="0"/>
              <w:spacing w:before="0" w:after="283"/>
              <w:ind w:left="0" w:right="0" w:hanging="0"/>
              <w:jc w:val="left"/>
              <w:rPr/>
            </w:pPr>
            <w:r>
              <w:rPr/>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General and administrative</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1,097</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1,673</w:t>
            </w:r>
          </w:p>
        </w:tc>
        <w:tc>
          <w:tcPr>
            <w:tcW w:w="99" w:type="dxa"/>
            <w:tcBorders/>
            <w:vAlign w:val="center"/>
          </w:tcPr>
          <w:p>
            <w:pPr>
              <w:pStyle w:val="TableContents"/>
              <w:bidi w:val="0"/>
              <w:spacing w:before="0" w:after="0"/>
              <w:ind w:left="0" w:right="0" w:hanging="0"/>
              <w:jc w:val="left"/>
              <w:rPr/>
            </w:pPr>
            <w:r>
              <w:rPr/>
              <w:t> </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34</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3,373</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5,146</w:t>
            </w:r>
          </w:p>
        </w:tc>
        <w:tc>
          <w:tcPr>
            <w:tcW w:w="96"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bidi w:val="0"/>
              <w:spacing w:before="0" w:after="283"/>
              <w:ind w:left="0" w:right="0" w:hanging="0"/>
              <w:jc w:val="left"/>
              <w:rPr/>
            </w:pPr>
            <w:r>
              <w:rPr/>
            </w:r>
          </w:p>
        </w:tc>
        <w:tc>
          <w:tcPr>
            <w:tcW w:w="13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Total operating expenses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3,105</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3,700</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pPr>
            <w:r>
              <w:rPr/>
            </w:r>
          </w:p>
        </w:tc>
        <w:tc>
          <w:tcPr>
            <w:tcW w:w="165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9,812</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12,825</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585" w:type="dxa"/>
            <w:tcBorders/>
            <w:shd w:fill="CCEEFF" w:val="clear"/>
            <w:vAlign w:val="center"/>
          </w:tcPr>
          <w:p>
            <w:pPr>
              <w:pStyle w:val="TableContents"/>
              <w:bidi w:val="0"/>
              <w:spacing w:before="0" w:after="283"/>
              <w:ind w:left="0" w:right="0" w:hanging="0"/>
              <w:jc w:val="left"/>
              <w:rPr/>
            </w:pPr>
            <w:r>
              <w:rPr/>
            </w:r>
          </w:p>
        </w:tc>
        <w:tc>
          <w:tcPr>
            <w:tcW w:w="13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23</w:t>
            </w:r>
          </w:p>
        </w:tc>
        <w:tc>
          <w:tcPr>
            <w:tcW w:w="92" w:type="dxa"/>
            <w:tcBorders/>
            <w:shd w:fill="CCEEFF" w:val="clear"/>
            <w:vAlign w:val="center"/>
          </w:tcPr>
          <w:p>
            <w:pPr>
              <w:pStyle w:val="TableContents"/>
              <w:bidi w:val="0"/>
              <w:spacing w:before="0" w:after="283"/>
              <w:ind w:left="0" w:right="0" w:hanging="0"/>
              <w:jc w:val="left"/>
              <w:rPr/>
            </w:pPr>
            <w:r>
              <w:rPr/>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Operating loss</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(1,489</w:t>
            </w:r>
          </w:p>
        </w:tc>
        <w:tc>
          <w:tcPr>
            <w:tcW w:w="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(1,130</w:t>
            </w:r>
          </w:p>
        </w:tc>
        <w:tc>
          <w:tcPr>
            <w:tcW w:w="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(32</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(5,033</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(4,632</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bidi w:val="0"/>
              <w:spacing w:before="0" w:after="283"/>
              <w:ind w:left="0" w:right="0" w:hanging="0"/>
              <w:jc w:val="left"/>
              <w:rPr/>
            </w:pPr>
            <w:r>
              <w:rPr/>
            </w:r>
          </w:p>
        </w:tc>
        <w:tc>
          <w:tcPr>
            <w:tcW w:w="136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Other income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157</w:t>
            </w:r>
          </w:p>
        </w:tc>
        <w:tc>
          <w:tcPr>
            <w:tcW w:w="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(93</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 </w:t>
            </w:r>
          </w:p>
        </w:tc>
        <w:tc>
          <w:tcPr>
            <w:tcW w:w="165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269</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1,877</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1,220</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585" w:type="dxa"/>
            <w:tcBorders/>
            <w:shd w:fill="CCEEFF" w:val="clear"/>
            <w:vAlign w:val="center"/>
          </w:tcPr>
          <w:p>
            <w:pPr>
              <w:pStyle w:val="TableContents"/>
              <w:bidi w:val="0"/>
              <w:spacing w:before="0" w:after="283"/>
              <w:ind w:left="0" w:right="0" w:hanging="0"/>
              <w:jc w:val="left"/>
              <w:rPr/>
            </w:pPr>
            <w:r>
              <w:rPr/>
            </w:r>
          </w:p>
        </w:tc>
        <w:tc>
          <w:tcPr>
            <w:tcW w:w="136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54</w:t>
            </w:r>
          </w:p>
        </w:tc>
        <w:tc>
          <w:tcPr>
            <w:tcW w:w="92"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Loss before income taxes</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(1,332</w:t>
            </w:r>
          </w:p>
        </w:tc>
        <w:tc>
          <w:tcPr>
            <w:tcW w:w="99" w:type="dxa"/>
            <w:tcBorders/>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(1,223</w:t>
            </w:r>
          </w:p>
        </w:tc>
        <w:tc>
          <w:tcPr>
            <w:tcW w:w="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(3,156</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(3,412</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bidi w:val="0"/>
              <w:spacing w:before="0" w:after="283"/>
              <w:ind w:left="0" w:right="0" w:hanging="0"/>
              <w:jc w:val="left"/>
              <w:rPr/>
            </w:pPr>
            <w:r>
              <w:rPr/>
            </w:r>
          </w:p>
        </w:tc>
        <w:tc>
          <w:tcPr>
            <w:tcW w:w="13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8</w:t>
            </w:r>
          </w:p>
        </w:tc>
        <w:tc>
          <w:tcPr>
            <w:tcW w:w="92" w:type="dxa"/>
            <w:tcBorders/>
            <w:vAlign w:val="center"/>
          </w:tcPr>
          <w:p>
            <w:pPr>
              <w:pStyle w:val="TableContents"/>
              <w:bidi w:val="0"/>
              <w:spacing w:before="0" w:after="283"/>
              <w:ind w:left="0" w:right="0" w:hanging="0"/>
              <w:jc w:val="left"/>
              <w:rPr/>
            </w:pPr>
            <w:r>
              <w:rPr/>
            </w:r>
          </w:p>
        </w:tc>
      </w:tr>
      <w:tr>
        <w:trPr/>
        <w:tc>
          <w:tcPr>
            <w:tcW w:w="20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w:t>
            </w:r>
          </w:p>
        </w:tc>
        <w:tc>
          <w:tcPr>
            <w:tcW w:w="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4"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 </w:t>
            </w:r>
          </w:p>
        </w:tc>
        <w:tc>
          <w:tcPr>
            <w:tcW w:w="165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24</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46</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150"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60</w:t>
            </w:r>
          </w:p>
        </w:tc>
        <w:tc>
          <w:tcPr>
            <w:tcW w:w="96" w:type="dxa"/>
            <w:tcBorders/>
            <w:shd w:fill="CCEEFF" w:val="clear"/>
            <w:vAlign w:val="center"/>
          </w:tcPr>
          <w:p>
            <w:pPr>
              <w:pStyle w:val="TableContents"/>
              <w:bidi w:val="0"/>
              <w:spacing w:before="0" w:after="283"/>
              <w:ind w:left="0" w:right="0" w:hanging="0"/>
              <w:jc w:val="left"/>
              <w:rPr/>
            </w:pPr>
            <w:r>
              <w:rPr/>
            </w:r>
          </w:p>
        </w:tc>
        <w:tc>
          <w:tcPr>
            <w:tcW w:w="27" w:type="dxa"/>
            <w:tcBorders/>
            <w:shd w:fill="CCEEFF" w:val="clear"/>
            <w:vAlign w:val="center"/>
          </w:tcPr>
          <w:p>
            <w:pPr>
              <w:pStyle w:val="TableContents"/>
              <w:bidi w:val="0"/>
              <w:spacing w:before="0" w:after="283"/>
              <w:ind w:left="0" w:right="0" w:hanging="0"/>
              <w:jc w:val="left"/>
              <w:rPr/>
            </w:pPr>
            <w:r>
              <w:rPr/>
            </w:r>
          </w:p>
        </w:tc>
        <w:tc>
          <w:tcPr>
            <w:tcW w:w="585" w:type="dxa"/>
            <w:tcBorders/>
            <w:shd w:fill="CCEEFF" w:val="clear"/>
            <w:vAlign w:val="center"/>
          </w:tcPr>
          <w:p>
            <w:pPr>
              <w:pStyle w:val="TableContents"/>
              <w:bidi w:val="0"/>
              <w:spacing w:before="0" w:after="283"/>
              <w:ind w:left="0" w:right="0" w:hanging="0"/>
              <w:jc w:val="left"/>
              <w:rPr/>
            </w:pPr>
            <w:r>
              <w:rPr/>
            </w:r>
          </w:p>
        </w:tc>
        <w:tc>
          <w:tcPr>
            <w:tcW w:w="1362"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23</w:t>
            </w:r>
          </w:p>
        </w:tc>
        <w:tc>
          <w:tcPr>
            <w:tcW w:w="92" w:type="dxa"/>
            <w:tcBorders/>
            <w:shd w:fill="CCEEFF" w:val="clear"/>
            <w:vAlign w:val="center"/>
          </w:tcPr>
          <w:p>
            <w:pPr>
              <w:pStyle w:val="TableContents"/>
              <w:bidi w:val="0"/>
              <w:spacing w:before="0" w:after="283"/>
              <w:ind w:left="0" w:right="0" w:hanging="0"/>
              <w:jc w:val="left"/>
              <w:rPr/>
            </w:pPr>
            <w:r>
              <w:rPr/>
            </w:r>
          </w:p>
        </w:tc>
      </w:tr>
      <w:tr>
        <w:trPr/>
        <w:tc>
          <w:tcPr>
            <w:tcW w:w="20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Net loss</w:t>
            </w:r>
          </w:p>
        </w:tc>
        <w:tc>
          <w:tcPr>
            <w:tcW w:w="60"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(1,351</w:t>
            </w:r>
          </w:p>
        </w:tc>
        <w:tc>
          <w:tcPr>
            <w:tcW w:w="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(1,248</w:t>
            </w:r>
          </w:p>
        </w:tc>
        <w:tc>
          <w:tcPr>
            <w:tcW w:w="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165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(3,202</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150"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710"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(3,472</w:t>
            </w:r>
          </w:p>
        </w:tc>
        <w:tc>
          <w:tcPr>
            <w:tcW w:w="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 w:type="dxa"/>
            <w:tcBorders/>
            <w:vAlign w:val="center"/>
          </w:tcPr>
          <w:p>
            <w:pPr>
              <w:pStyle w:val="TableContents"/>
              <w:bidi w:val="0"/>
              <w:spacing w:before="0" w:after="283"/>
              <w:ind w:left="0" w:right="0" w:hanging="0"/>
              <w:jc w:val="left"/>
              <w:rPr/>
            </w:pPr>
            <w:r>
              <w:rPr/>
            </w:r>
          </w:p>
        </w:tc>
        <w:tc>
          <w:tcPr>
            <w:tcW w:w="58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362" w:type="dxa"/>
            <w:tcBorders/>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8</w:t>
            </w:r>
          </w:p>
        </w:tc>
        <w:tc>
          <w:tcPr>
            <w:tcW w:w="92" w:type="dxa"/>
            <w:tcBorders/>
            <w:vAlign w:val="center"/>
          </w:tcPr>
          <w:p>
            <w:pPr>
              <w:pStyle w:val="TableContents"/>
              <w:bidi w:val="0"/>
              <w:spacing w:before="0" w:after="283"/>
              <w:jc w:val="left"/>
              <w:rPr/>
            </w:pPr>
            <w:r>
              <w:rPr/>
            </w:r>
          </w:p>
        </w:tc>
      </w:tr>
    </w:tbl>
    <w:p>
      <w:pPr>
        <w:pStyle w:val="TextBody"/>
        <w:bidi w:val="0"/>
        <w:spacing w:lineRule="auto" w:line="288"/>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Revenue</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revenue decreased to $4.9 million in 2023-Q3 compared to $6.3 million in 2022-Q3 due to </w:t>
      </w:r>
      <w:r>
        <w:rPr>
          <w:rFonts w:ascii="times new roman;times" w:hAnsi="times new roman;times"/>
          <w:b w:val="false"/>
          <w:i w:val="false"/>
          <w:caps w:val="false"/>
          <w:smallCaps w:val="false"/>
          <w:color w:val="000000"/>
          <w:spacing w:val="0"/>
          <w:sz w:val="20"/>
        </w:rPr>
        <w:t>a 42% decline in audio conferencing, </w:t>
      </w:r>
      <w:r>
        <w:rPr>
          <w:rFonts w:ascii="times new roman;times" w:hAnsi="times new roman;times"/>
          <w:sz w:val="20"/>
        </w:rPr>
        <w:t>a 5% decline in microphones, and a 14% increase in video products. </w:t>
      </w:r>
      <w:r>
        <w:rPr>
          <w:rFonts w:ascii="times new roman;times" w:hAnsi="times new roman;times"/>
          <w:b w:val="false"/>
          <w:i w:val="false"/>
          <w:caps w:val="false"/>
          <w:smallCaps w:val="false"/>
          <w:color w:val="000000"/>
          <w:spacing w:val="0"/>
          <w:sz w:val="20"/>
        </w:rPr>
        <w:t>Except for BMA and some video products, all other product categories suffered revenue declines year over year. </w:t>
      </w:r>
      <w:r>
        <w:rPr>
          <w:rFonts w:ascii="times new roman;times" w:hAnsi="times new roman;times"/>
          <w:sz w:val="20"/>
        </w:rPr>
        <w:t>Revenues from BMA and professional audio conferencing products were partially negatively impacted by </w:t>
      </w:r>
      <w:r>
        <w:rPr>
          <w:rFonts w:ascii="times new roman;times" w:hAnsi="times new roman;times"/>
          <w:b w:val="false"/>
          <w:i w:val="false"/>
          <w:caps w:val="false"/>
          <w:smallCaps w:val="false"/>
          <w:color w:val="000000"/>
          <w:spacing w:val="0"/>
          <w:sz w:val="20"/>
        </w:rPr>
        <w:t>our inability to source adequate inventory to meet the demand for these products, due to the ongoing transition of manufacturing of our products from China to Singapore by our electronics manufacturing services provider. Our traditional ceiling mics, personal audio conferencing products, and video cameras suffered revenue declines</w:t>
      </w:r>
      <w:r>
        <w:rPr>
          <w:rFonts w:ascii="times new roman;times" w:hAnsi="times new roman;times"/>
          <w:sz w:val="20"/>
        </w:rPr>
        <w:t xml:space="preserve"> due to </w:t>
      </w:r>
      <w:r>
        <w:rPr>
          <w:rFonts w:ascii="times new roman;times" w:hAnsi="times new roman;times"/>
          <w:b w:val="false"/>
          <w:i w:val="false"/>
          <w:caps w:val="false"/>
          <w:smallCaps w:val="false"/>
          <w:color w:val="000000"/>
          <w:spacing w:val="0"/>
          <w:sz w:val="20"/>
        </w:rPr>
        <w:t>lack of demand. </w:t>
      </w:r>
      <w:r>
        <w:rPr>
          <w:rFonts w:ascii="times new roman;times" w:hAnsi="times new roman;times"/>
          <w:sz w:val="20"/>
        </w:rPr>
        <w:t>During the third quarter of 2023, revenues from Asia including India and the Middle East as a whole increased by 2% while all other regions suffered revenue loss. During 2023-Q3 revenues from Americas </w:t>
      </w:r>
      <w:r>
        <w:rPr>
          <w:rFonts w:ascii="times new roman;times" w:hAnsi="times new roman;times"/>
          <w:b w:val="false"/>
          <w:i w:val="false"/>
          <w:caps w:val="false"/>
          <w:smallCaps w:val="false"/>
          <w:color w:val="000000"/>
          <w:spacing w:val="0"/>
          <w:sz w:val="20"/>
        </w:rPr>
        <w:t>declined</w:t>
      </w:r>
      <w:r>
        <w:rPr>
          <w:rFonts w:ascii="times new roman;times" w:hAnsi="times new roman;times"/>
          <w:b w:val="false"/>
          <w:i w:val="false"/>
          <w:caps w:val="false"/>
          <w:smallCaps w:val="false"/>
          <w:color w:val="000000"/>
          <w:spacing w:val="0"/>
          <w:sz w:val="20"/>
        </w:rPr>
        <w:t xml:space="preserve"> by 26% and from Europe and Africa declined significantly by 57%.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the nine months ended September 30, 2023 our revenues decreased from $21.2 million to $14.6 million compared to the same period in 2022 due to revenues from microphones decreasing</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by 27%, video products decreasing</w:t>
      </w:r>
      <w:r>
        <w:rPr>
          <w:rFonts w:ascii="Times New Roman" w:hAnsi="Times New Roman"/>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by 39% and audio conferencing decreasing by 33%.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Costs of Goods Sold and Gross Profit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Cost </w:t>
      </w:r>
      <w:r>
        <w:rPr>
          <w:rFonts w:ascii="Times New Roman" w:hAnsi="Times New Roman"/>
          <w:sz w:val="20"/>
        </w:rPr>
        <w:t>of goods sold</w:t>
      </w:r>
      <w:r>
        <w:rPr>
          <w:rFonts w:ascii="times new roman;times" w:hAnsi="times new roman;times"/>
          <w:sz w:val="20"/>
        </w:rPr>
        <w:t> </w:t>
      </w:r>
      <w:r>
        <w:rPr>
          <w:rFonts w:ascii="Times New Roman" w:hAnsi="Times New Roman"/>
          <w:sz w:val="20"/>
        </w:rPr>
        <w:t>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w:t>
      </w:r>
      <w:r>
        <w:rPr>
          <w:rFonts w:ascii="times new roman;times" w:hAnsi="times new roman;times"/>
          <w:sz w:val="20"/>
        </w:rPr>
        <w:t>es.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gross profit margin decreased from 41.0% during 2022-Q3 to 33.1% during 2023-Q3. The gross profit margin was negatively impacted due to </w:t>
      </w:r>
      <w:r>
        <w:rPr>
          <w:rFonts w:ascii="Times New Roman;serif" w:hAnsi="Times New Roman;serif"/>
          <w:sz w:val="20"/>
        </w:rPr>
        <w:t xml:space="preserve">increases in material costs </w:t>
      </w:r>
      <w:r>
        <w:rPr>
          <w:rFonts w:ascii="Times New Roman" w:hAnsi="Times New Roman"/>
          <w:b w:val="false"/>
          <w:i w:val="false"/>
          <w:caps w:val="false"/>
          <w:smallCaps w:val="false"/>
          <w:color w:val="000000"/>
          <w:spacing w:val="0"/>
          <w:sz w:val="20"/>
        </w:rPr>
        <w:t>mainly due to an increase in administration and overhead costs as a percentage of revenue and a negative change in the revenue mix of the products partially offset by reduced inventory obsolescence costs</w:t>
      </w:r>
      <w:r>
        <w:rPr>
          <w:rFonts w:ascii="times new roman;times" w:hAnsi="times new roman;times"/>
          <w:sz w:val="20"/>
        </w:rPr>
        <w:t>.</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 xml:space="preserve">Our gross profit margin decreased from 38.7% during </w:t>
      </w:r>
      <w:r>
        <w:rPr>
          <w:b w:val="false"/>
          <w:i w:val="false"/>
          <w:caps w:val="false"/>
          <w:smallCaps w:val="false"/>
          <w:color w:val="000000"/>
          <w:spacing w:val="0"/>
          <w:sz w:val="20"/>
        </w:rPr>
        <w:t>2022</w:t>
      </w:r>
      <w:r>
        <w:rPr>
          <w:b w:val="false"/>
          <w:i w:val="false"/>
          <w:caps w:val="false"/>
          <w:smallCaps w:val="false"/>
          <w:color w:val="000000"/>
          <w:spacing w:val="0"/>
          <w:sz w:val="20"/>
        </w:rPr>
        <w:t xml:space="preserve">-YTD to </w:t>
      </w:r>
      <w:r>
        <w:rPr>
          <w:b w:val="false"/>
          <w:i w:val="false"/>
          <w:caps w:val="false"/>
          <w:smallCaps w:val="false"/>
          <w:color w:val="000000"/>
          <w:spacing w:val="0"/>
          <w:sz w:val="20"/>
        </w:rPr>
        <w:t>32.8</w:t>
      </w:r>
      <w:r>
        <w:rPr>
          <w:b w:val="false"/>
          <w:i w:val="false"/>
          <w:caps w:val="false"/>
          <w:smallCaps w:val="false"/>
          <w:color w:val="000000"/>
          <w:spacing w:val="0"/>
          <w:sz w:val="20"/>
        </w:rPr>
        <w:t xml:space="preserve">% during </w:t>
      </w:r>
      <w:r>
        <w:rPr>
          <w:b w:val="false"/>
          <w:i w:val="false"/>
          <w:caps w:val="false"/>
          <w:smallCaps w:val="false"/>
          <w:color w:val="000000"/>
          <w:spacing w:val="0"/>
          <w:sz w:val="20"/>
        </w:rPr>
        <w:t>2023</w:t>
      </w:r>
      <w:r>
        <w:rPr>
          <w:b w:val="false"/>
          <w:i w:val="false"/>
          <w:caps w:val="false"/>
          <w:smallCaps w:val="false"/>
          <w:color w:val="000000"/>
          <w:spacing w:val="0"/>
          <w:sz w:val="20"/>
        </w:rPr>
        <w:t>-YTD. T</w:t>
      </w:r>
      <w:r>
        <w:rPr>
          <w:rFonts w:ascii="times new roman;times" w:hAnsi="times new roman;times"/>
          <w:b w:val="false"/>
          <w:i w:val="false"/>
          <w:caps w:val="false"/>
          <w:smallCaps w:val="false"/>
          <w:color w:val="000000"/>
          <w:spacing w:val="0"/>
          <w:sz w:val="20"/>
        </w:rPr>
        <w:t>he gross profit margin was negatively impacted due </w:t>
      </w:r>
      <w:r>
        <w:rPr>
          <w:rFonts w:ascii="times new roman;times" w:hAnsi="times new roman;times"/>
          <w:b w:val="false"/>
          <w:i w:val="false"/>
          <w:caps w:val="false"/>
          <w:smallCaps w:val="false"/>
          <w:color w:val="000000"/>
          <w:spacing w:val="0"/>
          <w:sz w:val="20"/>
        </w:rPr>
        <w:t>to </w:t>
      </w:r>
      <w:r>
        <w:rPr>
          <w:b w:val="false"/>
          <w:i w:val="false"/>
          <w:caps w:val="false"/>
          <w:smallCaps w:val="false"/>
          <w:color w:val="000000"/>
          <w:spacing w:val="0"/>
          <w:sz w:val="20"/>
        </w:rPr>
        <w:t>increases in material costs </w:t>
      </w:r>
      <w:r>
        <w:rPr>
          <w:rFonts w:ascii="Times New Roman" w:hAnsi="Times New Roman"/>
          <w:b w:val="false"/>
          <w:i w:val="false"/>
          <w:caps w:val="false"/>
          <w:smallCaps w:val="false"/>
          <w:color w:val="000000"/>
          <w:spacing w:val="0"/>
          <w:sz w:val="20"/>
        </w:rPr>
        <w:t>mainly due to an increase in administration and overhead costs as a percentage of revenue and a negative change in the revenue mix of the products partially offset by reduced inventory obsolescence costs</w:t>
      </w:r>
      <w:r>
        <w:rPr>
          <w:rFonts w:ascii="times new roman;times" w:hAnsi="times new roman;times"/>
          <w:b w:val="false"/>
          <w:i w:val="false"/>
          <w:caps w:val="false"/>
          <w:smallCaps w:val="false"/>
          <w:color w:val="000000"/>
          <w:spacing w:val="0"/>
          <w:sz w:val="20"/>
        </w:rPr>
        <w:t>.</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$0.4 million of wireless microphone-related finished goods and assemblies, $0.2 million of Converge Pro and Beamforming microphone array products, $0.9 million of video products, and $1.3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Operating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Operating expenses include sales and marketing (“S&amp;M”) expenses, research and product development (“R&amp;D”) expenses and general and administrative (“G&amp;A”) expenses. Total operating expenses in 2023-Q3 was $3.1 million compared to $3.7 million in 2022-Q3. Total operating expenses were $9.8 million for the nine months ended September 30, 2023 compared to $12.8 million for the nine months ended September 30, 2022. The following contains a more detailed discussion of expenses related to sales and marketing, research and product development, general and administrative, and other items. The following contains a more detailed discussion of expenses related to sales and marketing, research and product development, general and administrative, and other items.</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i/>
          <w:sz w:val="20"/>
          <w:u w:val="single"/>
        </w:rPr>
        <w:t>Sales and Marketing</w:t>
      </w:r>
      <w:r>
        <w:rPr>
          <w:rFonts w:ascii="times new roman;times" w:hAnsi="times new roman;times"/>
          <w:sz w:val="20"/>
        </w:rPr>
        <w:t xml:space="preserve"> </w:t>
      </w:r>
      <w:r>
        <w:rPr>
          <w:rFonts w:ascii="Times New Roman" w:hAnsi="Times New Roman"/>
          <w:sz w:val="20"/>
        </w:rPr>
        <w:t>- S&amp;M expenses include selling, customer service, and marketing expenses such as employee-related costs, allocations of overhead expenses, trade shows, and other advertising and selling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S&amp;M expenses in 2023-Q3</w:t>
      </w:r>
      <w:r>
        <w:rPr>
          <w:rFonts w:ascii="times new roman;times" w:hAnsi="times new roman;times"/>
          <w:sz w:val="20"/>
        </w:rPr>
        <w:t> </w:t>
      </w:r>
      <w:r>
        <w:rPr>
          <w:rFonts w:ascii="Times New Roman" w:hAnsi="Times New Roman"/>
          <w:sz w:val="20"/>
        </w:rPr>
        <w:t xml:space="preserve">decreased marginally to $1.1 million from $1.2 million for 2022-Q3. The decrease was primarily due to decreases </w:t>
      </w:r>
      <w:r>
        <w:rPr>
          <w:rFonts w:ascii="times new roman;times" w:hAnsi="times new roman;times"/>
          <w:sz w:val="20"/>
        </w:rPr>
        <w:t>in employment expenses and commissions paid to independent reps partially offset by increases in trade-show related expenses and employees benefit costs.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S&amp;M expenses in the first nine months ended September 30, 2023</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decreased to $3.6 million from $4.3 million for nine months ended September 30, 2022. </w:t>
      </w:r>
      <w:r>
        <w:rPr>
          <w:rFonts w:ascii="Times New Roman" w:hAnsi="Times New Roman"/>
          <w:b w:val="false"/>
          <w:i w:val="false"/>
          <w:caps w:val="false"/>
          <w:smallCaps w:val="false"/>
          <w:color w:val="000000"/>
          <w:spacing w:val="0"/>
          <w:sz w:val="20"/>
        </w:rPr>
        <w:t>The decrease was primarily due to (a) decreases </w:t>
      </w:r>
      <w:r>
        <w:rPr>
          <w:rFonts w:ascii="times new roman;times" w:hAnsi="times new roman;times"/>
          <w:b w:val="false"/>
          <w:i w:val="false"/>
          <w:caps w:val="false"/>
          <w:smallCaps w:val="false"/>
          <w:color w:val="000000"/>
          <w:spacing w:val="0"/>
          <w:sz w:val="20"/>
        </w:rPr>
        <w:t>in employment expenses and consultant expenses due to a reduction in headcount, (b) a decrease in commissions paid to employees and consultants, and (c) a decrease in marketing expenses related to advertising, partially offset by (d) an increase in trade-show related costs.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Research and Product Development</w:t>
      </w:r>
      <w:r>
        <w:rPr>
          <w:rFonts w:ascii="times new roman;times" w:hAnsi="times new roman;times"/>
          <w:sz w:val="20"/>
        </w:rPr>
        <w:t xml:space="preserve"> </w:t>
      </w:r>
      <w:r>
        <w:rPr>
          <w:rFonts w:ascii="Times New Roman" w:hAnsi="Times New Roman"/>
          <w:sz w:val="20"/>
        </w:rPr>
        <w:t>- 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R&amp;D expenses remained at $0.9 million in 2023-Q3 and 2022-Q3.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b w:val="false"/>
          <w:color w:val="000000"/>
          <w:spacing w:val="0"/>
          <w:sz w:val="20"/>
        </w:rPr>
        <w:t>R&amp;D expenses </w:t>
      </w:r>
      <w:r>
        <w:rPr>
          <w:rFonts w:ascii="Times New Roman" w:hAnsi="Times New Roman"/>
          <w:sz w:val="20"/>
        </w:rPr>
        <w:t>decreased</w:t>
      </w:r>
      <w:r>
        <w:rPr>
          <w:rFonts w:ascii="Times New Roman" w:hAnsi="Times New Roman"/>
          <w:color w:val="000000"/>
          <w:spacing w:val="0"/>
          <w:sz w:val="20"/>
        </w:rPr>
        <w:t> </w:t>
      </w:r>
      <w:r>
        <w:rPr>
          <w:rFonts w:ascii="Times New Roman" w:hAnsi="Times New Roman"/>
          <w:b w:val="false"/>
          <w:color w:val="000000"/>
          <w:spacing w:val="0"/>
          <w:sz w:val="20"/>
        </w:rPr>
        <w:t>to $</w:t>
      </w:r>
      <w:r>
        <w:rPr>
          <w:rFonts w:ascii="Times New Roman" w:hAnsi="Times New Roman"/>
          <w:sz w:val="20"/>
        </w:rPr>
        <w:t>2.8</w:t>
      </w:r>
      <w:r>
        <w:rPr>
          <w:rFonts w:ascii="Times New Roman" w:hAnsi="Times New Roman"/>
          <w:color w:val="000000"/>
          <w:spacing w:val="0"/>
          <w:sz w:val="20"/>
        </w:rPr>
        <w:t> </w:t>
      </w:r>
      <w:r>
        <w:rPr>
          <w:rFonts w:ascii="Times New Roman" w:hAnsi="Times New Roman"/>
          <w:b w:val="false"/>
          <w:color w:val="000000"/>
          <w:spacing w:val="0"/>
          <w:sz w:val="20"/>
        </w:rPr>
        <w:t>million in the </w:t>
      </w:r>
      <w:r>
        <w:rPr>
          <w:rFonts w:ascii="Times New Roman" w:hAnsi="Times New Roman"/>
          <w:sz w:val="20"/>
        </w:rPr>
        <w:t>nine months ended September 30, 2023</w:t>
      </w:r>
      <w:r>
        <w:rPr>
          <w:rFonts w:ascii="Times New Roman" w:hAnsi="Times New Roman"/>
          <w:color w:val="000000"/>
          <w:spacing w:val="0"/>
          <w:sz w:val="20"/>
        </w:rPr>
        <w:t> </w:t>
      </w:r>
      <w:r>
        <w:rPr>
          <w:rFonts w:ascii="Times New Roman" w:hAnsi="Times New Roman"/>
          <w:b w:val="false"/>
          <w:color w:val="000000"/>
          <w:spacing w:val="0"/>
          <w:sz w:val="20"/>
        </w:rPr>
        <w:t>compared to $</w:t>
      </w:r>
      <w:r>
        <w:rPr>
          <w:rFonts w:ascii="Times New Roman" w:hAnsi="Times New Roman"/>
          <w:sz w:val="20"/>
        </w:rPr>
        <w:t>3.4</w:t>
      </w:r>
      <w:r>
        <w:rPr>
          <w:rFonts w:ascii="Times New Roman" w:hAnsi="Times New Roman"/>
          <w:color w:val="000000"/>
          <w:spacing w:val="0"/>
          <w:sz w:val="20"/>
        </w:rPr>
        <w:t> </w:t>
      </w:r>
      <w:r>
        <w:rPr>
          <w:rFonts w:ascii="Times New Roman" w:hAnsi="Times New Roman"/>
          <w:b w:val="false"/>
          <w:color w:val="000000"/>
          <w:spacing w:val="0"/>
          <w:sz w:val="20"/>
        </w:rPr>
        <w:t>million for the </w:t>
      </w:r>
      <w:r>
        <w:rPr>
          <w:rFonts w:ascii="Times New Roman" w:hAnsi="Times New Roman"/>
          <w:sz w:val="20"/>
        </w:rPr>
        <w:t>nine months ended September 30, 2022</w:t>
      </w:r>
      <w:r>
        <w:rPr>
          <w:rFonts w:ascii="Times New Roman" w:hAnsi="Times New Roman"/>
          <w:b w:val="false"/>
          <w:color w:val="000000"/>
          <w:spacing w:val="0"/>
          <w:sz w:val="20"/>
        </w:rPr>
        <w:t xml:space="preserve">. The decrease was primarily due to (a) a decline in </w:t>
      </w:r>
      <w:r>
        <w:rPr>
          <w:rFonts w:ascii="Times New Roman" w:hAnsi="Times New Roman"/>
          <w:b w:val="false"/>
          <w:i w:val="false"/>
          <w:caps w:val="false"/>
          <w:smallCaps w:val="false"/>
          <w:color w:val="000000"/>
          <w:spacing w:val="0"/>
          <w:sz w:val="20"/>
        </w:rPr>
        <w:t>project-related expenses, (b) decreased </w:t>
      </w:r>
      <w:r>
        <w:rPr>
          <w:rFonts w:ascii="Times New Roman" w:hAnsi="Times New Roman"/>
          <w:b w:val="false"/>
          <w:color w:val="000000"/>
          <w:spacing w:val="0"/>
          <w:sz w:val="20"/>
        </w:rPr>
        <w:t>employment expenses due to a reduction in the headcount, and (c) a decline in allocated expenses, partially offset by (d) an increase in employee benefits and (e) an increase in legal expenses related to securing patents.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General and Administrative</w:t>
      </w:r>
      <w:r>
        <w:rPr>
          <w:rFonts w:ascii="times new roman;times" w:hAnsi="times new roman;times"/>
          <w:sz w:val="20"/>
        </w:rPr>
        <w:t xml:space="preserve"> </w:t>
      </w:r>
      <w:r>
        <w:rPr>
          <w:rFonts w:ascii="Times New Roman" w:hAnsi="Times New Roman"/>
          <w:sz w:val="20"/>
        </w:rPr>
        <w:t>- G&amp;A expenses include employee-related costs, professional service fees, allocations of overhead expenses, litigation costs, and corporate administrative costs, including costs related to finance and human resources teams.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G&amp;A expenses decreased</w:t>
      </w:r>
      <w:r>
        <w:rPr>
          <w:rFonts w:ascii="Times New Roman" w:hAnsi="Times New Roman"/>
          <w:color w:val="000000"/>
          <w:spacing w:val="0"/>
          <w:sz w:val="20"/>
        </w:rPr>
        <w:t xml:space="preserve"> </w:t>
      </w:r>
      <w:r>
        <w:rPr>
          <w:rFonts w:ascii="Times New Roman" w:hAnsi="Times New Roman"/>
          <w:b w:val="false"/>
          <w:color w:val="000000"/>
          <w:spacing w:val="0"/>
          <w:sz w:val="20"/>
        </w:rPr>
        <w:t>to</w:t>
      </w:r>
      <w:r>
        <w:rPr>
          <w:rFonts w:ascii="Times New Roman" w:hAnsi="Times New Roman"/>
          <w:sz w:val="20"/>
        </w:rPr>
        <w:t xml:space="preserve"> $1.1 million in 2023-Q3 </w:t>
      </w:r>
      <w:r>
        <w:rPr>
          <w:rFonts w:ascii="Times New Roman" w:hAnsi="Times New Roman"/>
          <w:b w:val="false"/>
          <w:color w:val="000000"/>
          <w:spacing w:val="0"/>
          <w:sz w:val="20"/>
        </w:rPr>
        <w:t>compared to</w:t>
      </w:r>
      <w:r>
        <w:rPr>
          <w:rFonts w:ascii="Times New Roman" w:hAnsi="Times New Roman"/>
          <w:sz w:val="20"/>
        </w:rPr>
        <w:t> $1.7 million in 2022-Q3.</w:t>
      </w:r>
      <w:r>
        <w:rPr>
          <w:rFonts w:ascii="times new roman;times" w:hAnsi="times new roman;times"/>
          <w:sz w:val="20"/>
        </w:rPr>
        <w:t> </w:t>
      </w:r>
      <w:r>
        <w:rPr>
          <w:rFonts w:ascii="Times New Roman" w:hAnsi="Times New Roman"/>
          <w:sz w:val="20"/>
        </w:rPr>
        <w:t>The reduction was primarily due to (i) a decrease in amortization costs relating to our capitalized patent defense costs, which was fully amortized in 2022-Q4, (ii) a decrease in legal expenses, (iii) and a decrease in employment-related expenses.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b w:val="false"/>
          <w:color w:val="000000"/>
          <w:spacing w:val="0"/>
          <w:sz w:val="20"/>
        </w:rPr>
        <w:t>G&amp;A expenses decreased to $</w:t>
      </w:r>
      <w:r>
        <w:rPr>
          <w:rFonts w:ascii="Times New Roman" w:hAnsi="Times New Roman"/>
          <w:b w:val="false"/>
          <w:color w:val="000000"/>
          <w:spacing w:val="0"/>
          <w:sz w:val="20"/>
        </w:rPr>
        <w:t>3.4</w:t>
      </w:r>
      <w:r>
        <w:rPr>
          <w:rFonts w:ascii="Times New Roman" w:hAnsi="Times New Roman"/>
          <w:b w:val="false"/>
          <w:color w:val="000000"/>
          <w:spacing w:val="0"/>
          <w:sz w:val="20"/>
        </w:rPr>
        <w:t> million in 2023-YTD compared to $5.1 million in 2022-YTD.</w:t>
      </w:r>
      <w:r>
        <w:rPr>
          <w:rFonts w:ascii="Times New Roman" w:hAnsi="Times New Roman"/>
          <w:color w:val="000000"/>
          <w:spacing w:val="0"/>
          <w:sz w:val="20"/>
        </w:rPr>
        <w:t> </w:t>
      </w:r>
      <w:r>
        <w:rPr>
          <w:rFonts w:ascii="times new roman;times" w:hAnsi="times new roman;times"/>
          <w:b w:val="false"/>
          <w:color w:val="000000"/>
          <w:spacing w:val="0"/>
          <w:sz w:val="20"/>
        </w:rPr>
        <w:t>The reduction was primarily due to (i) a decrease in amortization costs relating to our capitalized patent defense costs, which was fully amortized in 2022-Q4, (ii) a decline in legal fees, (iii) and a decline in employment-related expenses, partially offset by (iv) an increase in insurance expenses and (v) an increase in investor relations expenses</w:t>
      </w:r>
      <w:r>
        <w:rPr>
          <w:rFonts w:ascii="Times New Roman;serif" w:hAnsi="Times New Roman;serif"/>
          <w:b w:val="false"/>
          <w:color w:val="000000"/>
          <w:spacing w:val="0"/>
          <w:sz w:val="20"/>
        </w:rPr>
        <w:t>.</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Interest Expense</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Interest expense remained almost the same at $0.1 million in 2023-Q3 and 2022-Q3. Interest expense increased to $0.5 million in 2023-YTD compared to $0.3 million in 2022-YTD primarily due to interest associated with the prepayment of the $2 million bridge loan in January 2023.</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Other income (expense), net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income (expense), net includes interest income, foreign currency changes and gain or loss on disposal of assets. Other income for </w:t>
      </w:r>
      <w:r>
        <w:rPr>
          <w:rFonts w:ascii="Times New Roman" w:hAnsi="Times New Roman"/>
          <w:b w:val="false"/>
          <w:i w:val="false"/>
          <w:caps w:val="false"/>
          <w:smallCaps w:val="false"/>
          <w:color w:val="000000"/>
          <w:spacing w:val="0"/>
          <w:sz w:val="20"/>
        </w:rPr>
        <w:t>2023</w:t>
      </w: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Q3</w:t>
      </w:r>
      <w:r>
        <w:rPr>
          <w:rFonts w:ascii="Times New Roman" w:hAnsi="Times New Roman"/>
          <w:b w:val="false"/>
          <w:i w:val="false"/>
          <w:caps w:val="false"/>
          <w:smallCaps w:val="false"/>
          <w:color w:val="000000"/>
          <w:spacing w:val="0"/>
          <w:sz w:val="20"/>
        </w:rPr>
        <w:t> included $0.24 million of interest income received on marketable securities. During 2022-Q3 there was no interest income. Other income in 2022-YTD included </w:t>
      </w:r>
      <w:r>
        <w:rPr>
          <w:rFonts w:ascii="Times New Roman;serif" w:hAnsi="Times New Roman;serif"/>
          <w:b w:val="false"/>
          <w:i w:val="false"/>
          <w:caps w:val="false"/>
          <w:smallCaps w:val="false"/>
          <w:color w:val="000000"/>
          <w:spacing w:val="0"/>
          <w:sz w:val="20"/>
        </w:rPr>
        <w:t>$1.5 million in gain from the forgiveness of CARES Act Paycheck Protection Program Loan. 2023-YTD included a receipt of $1.34 million from a one-time legal settlement of a contract dispute and $1.0 million of interest income received on marketable securities. All other items not discussed herein </w:t>
      </w:r>
      <w:r>
        <w:rPr>
          <w:rFonts w:ascii="times new roman;times" w:hAnsi="times new roman;times"/>
          <w:b w:val="false"/>
          <w:i w:val="false"/>
          <w:caps w:val="false"/>
          <w:smallCaps w:val="false"/>
          <w:color w:val="000000"/>
          <w:spacing w:val="0"/>
          <w:sz w:val="20"/>
        </w:rPr>
        <w:t>included in other income remained immaterial during 2023-YTD, 2022-YTD, 2023-Q3 and 2022-Q3.</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Provision for income taxes</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each of the nine months ended September 30, 2023 and 2022, we did not recognize any benefit from the losses incurred due to setting up a full valuation allowance.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of September 30, 2023, our cash and cash equivalents were approximately $13.7</w:t>
      </w:r>
      <w:r>
        <w:rPr>
          <w:rFonts w:ascii="times new roman;times" w:hAnsi="times new roman;times"/>
          <w:sz w:val="20"/>
        </w:rPr>
        <w:t> </w:t>
      </w:r>
      <w:r>
        <w:rPr>
          <w:rFonts w:ascii="Times New Roman" w:hAnsi="Times New Roman"/>
          <w:sz w:val="20"/>
        </w:rPr>
        <w:t>million compared to $1.0 million as of December 31, 2022. Our working capital was $</w:t>
      </w:r>
      <w:r>
        <w:rPr>
          <w:rFonts w:ascii="Times New Roman" w:hAnsi="Times New Roman"/>
          <w:sz w:val="20"/>
        </w:rPr>
        <w:t>36.7</w:t>
      </w:r>
      <w:r>
        <w:rPr>
          <w:rFonts w:ascii="times new roman;times" w:hAnsi="times new roman;times"/>
          <w:sz w:val="20"/>
        </w:rPr>
        <w:t> </w:t>
      </w:r>
      <w:r>
        <w:rPr>
          <w:rFonts w:ascii="Times New Roman" w:hAnsi="Times New Roman"/>
          <w:sz w:val="20"/>
        </w:rPr>
        <w:t>million and $69.3 million as of September 30, 2023</w:t>
      </w:r>
      <w:r>
        <w:rPr>
          <w:rFonts w:ascii="times new roman;times" w:hAnsi="times new roman;times"/>
          <w:sz w:val="20"/>
        </w:rPr>
        <w:t> </w:t>
      </w:r>
      <w:r>
        <w:rPr>
          <w:rFonts w:ascii="Times New Roman" w:hAnsi="Times New Roman"/>
          <w:sz w:val="20"/>
        </w:rPr>
        <w:t>and December 31, 2022, respectively. </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Net cash provided by </w:t>
      </w:r>
      <w:r>
        <w:rPr>
          <w:rFonts w:ascii="times new roman;times" w:hAnsi="times new roman;times"/>
          <w:sz w:val="20"/>
        </w:rPr>
        <w:t>opera</w:t>
      </w:r>
      <w:r>
        <w:rPr>
          <w:rFonts w:ascii="Times New Roman" w:hAnsi="Times New Roman"/>
          <w:sz w:val="20"/>
        </w:rPr>
        <w:t>ting activities was approximately $51.1 million in the </w:t>
      </w:r>
      <w:r>
        <w:rPr>
          <w:rFonts w:ascii="Times New Roman" w:hAnsi="Times New Roman"/>
          <w:sz w:val="20"/>
        </w:rPr>
        <w:t>nine months ended September 30, 2023</w:t>
      </w:r>
      <w:r>
        <w:rPr>
          <w:rFonts w:ascii="Times New Roman" w:hAnsi="Times New Roman"/>
          <w:sz w:val="20"/>
        </w:rPr>
        <w:t>, an increase of net cash provided by ope</w:t>
      </w:r>
      <w:r>
        <w:rPr>
          <w:rFonts w:ascii="Times New Roman" w:hAnsi="Times New Roman"/>
          <w:b w:val="false"/>
          <w:i w:val="false"/>
          <w:caps w:val="false"/>
          <w:smallCaps w:val="false"/>
          <w:color w:val="000000"/>
          <w:spacing w:val="0"/>
          <w:sz w:val="20"/>
        </w:rPr>
        <w:t>rating activities of </w:t>
      </w:r>
      <w:r>
        <w:rPr>
          <w:rFonts w:ascii="Times New Roman" w:hAnsi="Times New Roman"/>
          <w:sz w:val="20"/>
        </w:rPr>
        <w:t xml:space="preserve">approximately $53.2 million </w:t>
      </w:r>
      <w:r>
        <w:rPr>
          <w:rFonts w:ascii="Times New Roman" w:hAnsi="Times New Roman"/>
          <w:b w:val="false"/>
          <w:i w:val="false"/>
          <w:caps w:val="false"/>
          <w:smallCaps w:val="false"/>
          <w:color w:val="000000"/>
          <w:spacing w:val="0"/>
          <w:sz w:val="20"/>
        </w:rPr>
        <w:t>from $2.1 million of net cash used by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operating activities in the nine months ended September 30, 2022. </w:t>
      </w:r>
      <w:r>
        <w:rPr>
          <w:rFonts w:ascii="times new roman;times" w:hAnsi="times new roman;times"/>
          <w:b w:val="false"/>
          <w:i w:val="false"/>
          <w:caps w:val="false"/>
          <w:smallCaps w:val="false"/>
          <w:color w:val="000000"/>
          <w:spacing w:val="0"/>
          <w:sz w:val="20"/>
        </w:rPr>
        <w:t>The increase in cash inflow was primarily due to $55 million in receipts from legal settlements, the receipt of $4.5 million from the return of a bond deposited with a court, and a $1.3 million refund of income taxes with interest. These receipts were partially offset by operating losses and $6.7 million in income tax payments.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Net cash used in investing activities in the nine months ended September 30, 2023 was $6.8 million compared to $2.3 million of net cash provided by investing activities in the nine months ended September 30, 2022. The increase in cash used in investing activities was primarily due to an increase in purchases of marketable securities (net of sales) by $9.3 million and an increase in purchase of property and equipment by $0.3 million. These increases were partially offset by the elimination of capitalized legal expenses of $0.6 million.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Net cash used in financing activities in the nine months ended September 30, 2023 was $31.7 million, comprised primarily of dividend distributions of $</w:t>
      </w:r>
      <w:r>
        <w:rPr>
          <w:rFonts w:ascii="times new roman;times" w:hAnsi="times new roman;times"/>
          <w:sz w:val="20"/>
        </w:rPr>
        <w:t>29.0</w:t>
      </w:r>
      <w:r>
        <w:rPr>
          <w:rFonts w:ascii="times new roman;times" w:hAnsi="times new roman;times"/>
          <w:sz w:val="20"/>
        </w:rPr>
        <w:t xml:space="preserve"> million, repayment of the bridge loan of $2.0 million and $0.7 million payments of principal amounts due on senior convertible debt. This compares to $0.5 million used in payments of </w:t>
      </w:r>
      <w:r>
        <w:rPr>
          <w:rFonts w:ascii="times new roman;times" w:hAnsi="times new roman;times"/>
          <w:b w:val="false"/>
          <w:i w:val="false"/>
          <w:caps w:val="false"/>
          <w:smallCaps w:val="false"/>
          <w:color w:val="000000"/>
          <w:spacing w:val="0"/>
          <w:sz w:val="20"/>
        </w:rPr>
        <w:t>principal amounts due on senior convertible debt and a receipt of $0.8 million in loan repayments refunded upon </w:t>
      </w:r>
      <w:r>
        <w:rPr>
          <w:rFonts w:ascii="Times New Roman;serif" w:hAnsi="Times New Roman;serif"/>
          <w:b w:val="false"/>
          <w:i w:val="false"/>
          <w:caps w:val="false"/>
          <w:smallCaps w:val="false"/>
          <w:color w:val="000000"/>
          <w:spacing w:val="0"/>
          <w:sz w:val="20"/>
        </w:rPr>
        <w:t>forgiveness of CARES Act Paycheck Protection Program loan</w:t>
      </w:r>
      <w:r>
        <w:rPr>
          <w:rFonts w:ascii="times new roman;times" w:hAnsi="times new roman;times"/>
          <w:b w:val="false"/>
          <w:i w:val="false"/>
          <w:caps w:val="false"/>
          <w:smallCaps w:val="false"/>
          <w:color w:val="000000"/>
          <w:spacing w:val="0"/>
          <w:sz w:val="20"/>
        </w:rPr>
        <w:t xml:space="preserve"> in the </w:t>
      </w:r>
      <w:r>
        <w:rPr>
          <w:rFonts w:ascii="times new roman;times" w:hAnsi="times new roman;times"/>
          <w:sz w:val="20"/>
        </w:rPr>
        <w:t>nine months ended September 30, 2022. </w:t>
      </w:r>
    </w:p>
    <w:p>
      <w:pPr>
        <w:pStyle w:val="TextBody"/>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As of September 30, 2023, our cash and cash equivalents were approximately $13.7 million compared to $1.0 million as of December 31, 2022. Our working capital was $36.7 million as of September 30, 2023. The Company believes, although there can be no assurance, that the current cash position and effective management of working capital, will provide the liquidity needed to meet our operating needs through at least November 8,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pStyle w:val="TextBody"/>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September 30, 2023, we had open purchase orders of approximately $3.6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mostly for the purchase of inventory.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r>
        <w:rPr>
          <w:rFonts w:ascii="Times New Roman" w:hAnsi="Times New Roman"/>
          <w:b w:val="false"/>
          <w:i w:val="false"/>
          <w:caps w:val="false"/>
          <w:smallCaps w:val="false"/>
          <w:color w:val="000000"/>
          <w:spacing w:val="0"/>
          <w:sz w:val="20"/>
        </w:rPr>
        <w:t>September 30, 2023</w:t>
      </w:r>
      <w:r>
        <w:rPr>
          <w:rFonts w:ascii="Times New Roman" w:hAnsi="Times New Roman"/>
          <w:b w:val="false"/>
          <w:i w:val="false"/>
          <w:caps w:val="false"/>
          <w:smallCaps w:val="false"/>
          <w:color w:val="000000"/>
          <w:spacing w:val="0"/>
          <w:sz w:val="20"/>
        </w:rPr>
        <w:t>, we had inventory totaling $11.5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$2.9</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$11.7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which includes non-current inventory of $2.7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w:t>
      </w:r>
      <w:r>
        <w:rPr>
          <w:rFonts w:ascii="Times New Roman" w:hAnsi="Times New Roman"/>
          <w:b w:val="false"/>
          <w:i w:val="false"/>
          <w:caps w:val="false"/>
          <w:smallCaps w:val="false"/>
          <w:color w:val="000000"/>
          <w:spacing w:val="0"/>
          <w:sz w:val="20"/>
        </w:rPr>
        <w:t>December 31, 2022</w:t>
      </w:r>
      <w:r>
        <w:rPr>
          <w:rFonts w:ascii="Times New Roman" w:hAnsi="Times New Roman"/>
          <w:b w:val="false"/>
          <w:i w:val="false"/>
          <w:caps w:val="false"/>
          <w:smallCaps w:val="false"/>
          <w:color w:val="000000"/>
          <w:spacing w:val="0"/>
          <w:sz w:val="20"/>
        </w:rPr>
        <w:t>.</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serif" w:hAnsi="Times New Roman;serif"/>
          <w:color w:val="212529"/>
          <w:sz w:val="20"/>
        </w:rPr>
      </w:pPr>
      <w:r>
        <w:rPr>
          <w:rFonts w:ascii="Times New Roman;serif" w:hAnsi="Times New Roman;serif"/>
          <w:color w:val="212529"/>
          <w:sz w:val="20"/>
        </w:rPr>
        <w:t>The following table summarizes our contractual obligations as of September 30, 2023 (in millions):</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086"/>
        <w:gridCol w:w="161"/>
        <w:gridCol w:w="228"/>
        <w:gridCol w:w="448"/>
        <w:gridCol w:w="161"/>
        <w:gridCol w:w="161"/>
        <w:gridCol w:w="411"/>
        <w:gridCol w:w="782"/>
        <w:gridCol w:w="161"/>
        <w:gridCol w:w="161"/>
        <w:gridCol w:w="360"/>
        <w:gridCol w:w="753"/>
        <w:gridCol w:w="161"/>
        <w:gridCol w:w="161"/>
        <w:gridCol w:w="359"/>
        <w:gridCol w:w="753"/>
        <w:gridCol w:w="161"/>
        <w:gridCol w:w="161"/>
        <w:gridCol w:w="483"/>
        <w:gridCol w:w="931"/>
        <w:gridCol w:w="162"/>
      </w:tblGrid>
      <w:tr>
        <w:trPr/>
        <w:tc>
          <w:tcPr>
            <w:tcW w:w="3086" w:type="dxa"/>
            <w:tcBorders/>
            <w:vAlign w:val="bottom"/>
          </w:tcPr>
          <w:p>
            <w:pPr>
              <w:pStyle w:val="TableContents"/>
              <w:bidi w:val="0"/>
              <w:spacing w:before="0" w:after="0"/>
              <w:ind w:left="0" w:right="0" w:hanging="0"/>
              <w:jc w:val="center"/>
              <w:rPr/>
            </w:pPr>
            <w:r>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w:t>
            </w:r>
          </w:p>
        </w:tc>
        <w:tc>
          <w:tcPr>
            <w:tcW w:w="6796" w:type="dxa"/>
            <w:gridSpan w:val="18"/>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Payment Due by Period</w:t>
            </w:r>
          </w:p>
        </w:tc>
        <w:tc>
          <w:tcPr>
            <w:tcW w:w="162" w:type="dxa"/>
            <w:tcBorders/>
            <w:vAlign w:val="bottom"/>
          </w:tcPr>
          <w:p>
            <w:pPr>
              <w:pStyle w:val="TableContents"/>
              <w:bidi w:val="0"/>
              <w:spacing w:before="0" w:after="0"/>
              <w:ind w:left="0" w:right="0" w:hanging="0"/>
              <w:jc w:val="left"/>
              <w:rPr>
                <w:color w:val="000000"/>
              </w:rPr>
            </w:pPr>
            <w:r>
              <w:rPr>
                <w:color w:val="000000"/>
              </w:rPr>
              <w:t> </w:t>
            </w:r>
          </w:p>
        </w:tc>
      </w:tr>
      <w:tr>
        <w:trPr/>
        <w:tc>
          <w:tcPr>
            <w:tcW w:w="3086" w:type="dxa"/>
            <w:tcBorders/>
            <w:vAlign w:val="bottom"/>
          </w:tcPr>
          <w:p>
            <w:pPr>
              <w:pStyle w:val="TableContents"/>
              <w:pBdr/>
              <w:bidi w:val="0"/>
              <w:spacing w:before="0" w:after="0"/>
              <w:ind w:left="0" w:right="0" w:hanging="0"/>
              <w:jc w:val="center"/>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676"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Total</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93"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Less Than</w:t>
            </w:r>
          </w:p>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1 Year</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3"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1-3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2"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3-5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414"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More than 5</w:t>
            </w:r>
          </w:p>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years</w:t>
            </w:r>
          </w:p>
        </w:tc>
        <w:tc>
          <w:tcPr>
            <w:tcW w:w="162" w:type="dxa"/>
            <w:tcBorders/>
            <w:vAlign w:val="bottom"/>
          </w:tcPr>
          <w:p>
            <w:pPr>
              <w:pStyle w:val="TableContents"/>
              <w:pBdr/>
              <w:bidi w:val="0"/>
              <w:spacing w:before="0" w:after="0"/>
              <w:ind w:left="0" w:right="0" w:hanging="0"/>
              <w:jc w:val="left"/>
              <w:rPr>
                <w:color w:val="000000"/>
              </w:rPr>
            </w:pPr>
            <w:r>
              <w:rPr>
                <w:color w:val="000000"/>
              </w:rPr>
              <w:t>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Senior convertible notes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2"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1"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1.3</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vAlign w:val="bottom"/>
          </w:tcPr>
          <w:p>
            <w:pPr>
              <w:pStyle w:val="TableContents"/>
              <w:bidi w:val="0"/>
              <w:spacing w:before="0" w:after="0"/>
              <w:ind w:left="0" w:right="0" w:hanging="0"/>
              <w:jc w:val="left"/>
              <w:rPr>
                <w:color w:val="000000"/>
              </w:rPr>
            </w:pPr>
            <w:r>
              <w:rPr>
                <w:color w:val="000000"/>
              </w:rPr>
              <w:t xml:space="preserve">  </w:t>
            </w:r>
          </w:p>
        </w:tc>
        <w:tc>
          <w:tcPr>
            <w:tcW w:w="782"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0.4</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0.6</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0.3</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vAlign w:val="bottom"/>
          </w:tcPr>
          <w:p>
            <w:pPr>
              <w:pStyle w:val="TableContents"/>
              <w:bidi w:val="0"/>
              <w:spacing w:before="0" w:after="0"/>
              <w:ind w:left="0" w:right="0" w:hanging="0"/>
              <w:jc w:val="left"/>
              <w:rPr>
                <w:color w:val="000000"/>
              </w:rPr>
            </w:pPr>
            <w:r>
              <w:rPr>
                <w:color w:val="000000"/>
              </w:rPr>
              <w:t xml:space="preserve">  </w:t>
            </w:r>
          </w:p>
        </w:tc>
        <w:tc>
          <w:tcPr>
            <w:tcW w:w="931" w:type="dxa"/>
            <w:tcBorders/>
            <w:vAlign w:val="bottom"/>
          </w:tcPr>
          <w:p>
            <w:pPr>
              <w:pStyle w:val="TableContents"/>
              <w:bidi w:val="0"/>
              <w:spacing w:before="0" w:after="0"/>
              <w:ind w:left="0" w:right="0" w:hanging="0"/>
              <w:jc w:val="right"/>
              <w:rPr>
                <w:color w:val="000000"/>
              </w:rPr>
            </w:pPr>
            <w:r>
              <w:rPr>
                <w:color w:val="000000"/>
              </w:rPr>
              <w:t>—</w:t>
            </w:r>
          </w:p>
        </w:tc>
        <w:tc>
          <w:tcPr>
            <w:tcW w:w="16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3.6</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82"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3.6</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31"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6.1</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2"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5.2</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0.6</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0.3</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1" w:type="dxa"/>
            <w:tcBorders/>
            <w:vAlign w:val="bottom"/>
          </w:tcPr>
          <w:p>
            <w:pPr>
              <w:pStyle w:val="TableContents"/>
              <w:bidi w:val="0"/>
              <w:spacing w:before="0" w:after="0"/>
              <w:ind w:left="0" w:right="0" w:hanging="0"/>
              <w:jc w:val="right"/>
              <w:rPr>
                <w:color w:val="000000"/>
              </w:rPr>
            </w:pPr>
            <w:r>
              <w:rPr>
                <w:color w:val="000000"/>
              </w:rPr>
              <w:t>—</w:t>
            </w:r>
          </w:p>
        </w:tc>
        <w:tc>
          <w:tcPr>
            <w:tcW w:w="162" w:type="dxa"/>
            <w:tcBorders/>
            <w:vAlign w:val="bottom"/>
          </w:tcPr>
          <w:p>
            <w:pPr>
              <w:pStyle w:val="TableContents"/>
              <w:bidi w:val="0"/>
              <w:spacing w:before="0" w:after="0"/>
              <w:ind w:left="0" w:right="0" w:hanging="0"/>
              <w:jc w:val="left"/>
              <w:rPr>
                <w:color w:val="000000"/>
              </w:rPr>
            </w:pPr>
            <w:r>
              <w:rPr>
                <w:color w:val="000000"/>
              </w:rPr>
              <w:t xml:space="preserve">  </w:t>
            </w:r>
          </w:p>
        </w:tc>
      </w:tr>
    </w:tbl>
    <w:p>
      <w:pPr>
        <w:pStyle w:val="TextBody"/>
        <w:bidi w:val="0"/>
        <w:spacing w:lineRule="auto" w:line="288"/>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CRITICAL ACCOUNTING POLICIES AND ESTIMATES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RECENT ACCOUNTING PRONOUNCEMENTS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pStyle w:val="TextBody"/>
        <w:bidi w:val="0"/>
        <w:spacing w:lineRule="auto" w:line="288" w:before="0" w:after="0"/>
        <w:ind w:left="0" w:right="0" w:hanging="0"/>
        <w:jc w:val="left"/>
        <w:rPr/>
      </w:pPr>
      <w:r>
        <w:rPr/>
      </w:r>
    </w:p>
    <w:p>
      <w:pPr>
        <w:pStyle w:val="TextBody"/>
        <w:bidi w:val="0"/>
        <w:spacing w:lineRule="auto" w:line="288"/>
        <w:ind w:left="0" w:right="0" w:hanging="0"/>
        <w:jc w:val="both"/>
        <w:rPr/>
      </w:pPr>
      <w:hyperlink r:id="rId13">
        <w:bookmarkStart w:id="49" w:name="BH_U66773D7WW00000000000000000000"/>
        <w:bookmarkEnd w:id="49"/>
        <w:r>
          <w:rPr>
            <w:rStyle w:val="InternetLink"/>
            <w:rFonts w:ascii="Times New Roman" w:hAnsi="Times New Roman"/>
            <w:b/>
            <w:caps/>
            <w:strike w:val="false"/>
            <w:dstrike w:val="false"/>
            <w:color w:val="000000"/>
            <w:sz w:val="20"/>
            <w:u w:val="none"/>
            <w:effect w:val="none"/>
          </w:rPr>
          <w:t>Item 3.</w:t>
        </w:r>
      </w:hyperlink>
      <w:hyperlink r:id="rId14">
        <w:r>
          <w:rPr>
            <w:rStyle w:val="InternetLink"/>
            <w:rFonts w:ascii="times new roman;times" w:hAnsi="times new roman;times"/>
            <w:caps/>
            <w:strike w:val="false"/>
            <w:dstrike w:val="false"/>
            <w:color w:val="000000"/>
            <w:sz w:val="20"/>
            <w:u w:val="none"/>
            <w:effect w:val="none"/>
          </w:rPr>
          <w:t xml:space="preserve">     </w:t>
        </w:r>
      </w:hyperlink>
      <w:hyperlink r:id="rId15">
        <w:r>
          <w:rPr>
            <w:rStyle w:val="InternetLink"/>
            <w:rFonts w:ascii="Times New Roman" w:hAnsi="Times New Roman"/>
            <w:b/>
            <w:caps/>
            <w:strike w:val="false"/>
            <w:dstrike w:val="false"/>
            <w:color w:val="000000"/>
            <w:sz w:val="20"/>
            <w:u w:val="none"/>
            <w:effect w:val="none"/>
          </w:rPr>
          <w:t>QUANTITATIVE AND QUALITATIVE DISCLOSURES ABOUT MARKET RISK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r:id="rId16">
        <w:bookmarkStart w:id="50" w:name="BI_L8KHXR82WW00000000000000000000"/>
        <w:bookmarkEnd w:id="50"/>
        <w:r>
          <w:rPr>
            <w:rStyle w:val="InternetLink"/>
            <w:rFonts w:ascii="Times New Roman" w:hAnsi="Times New Roman"/>
            <w:b/>
            <w:strike w:val="false"/>
            <w:dstrike w:val="false"/>
            <w:color w:val="000000"/>
            <w:sz w:val="20"/>
            <w:u w:val="none"/>
            <w:effect w:val="none"/>
          </w:rPr>
          <w:t>ITEM</w:t>
        </w:r>
      </w:hyperlink>
      <w:hyperlink r:id="rId17">
        <w:r>
          <w:rPr>
            <w:rStyle w:val="InternetLink"/>
            <w:rFonts w:ascii="times new roman;times" w:hAnsi="times new roman;times"/>
            <w:strike w:val="false"/>
            <w:dstrike w:val="false"/>
            <w:color w:val="000000"/>
            <w:sz w:val="20"/>
            <w:u w:val="none"/>
            <w:effect w:val="none"/>
          </w:rPr>
          <w:t> </w:t>
        </w:r>
      </w:hyperlink>
      <w:hyperlink r:id="rId18">
        <w:r>
          <w:rPr>
            <w:rStyle w:val="InternetLink"/>
            <w:rFonts w:ascii="Times New Roman" w:hAnsi="Times New Roman"/>
            <w:b/>
            <w:strike w:val="false"/>
            <w:dstrike w:val="false"/>
            <w:color w:val="000000"/>
            <w:sz w:val="20"/>
            <w:u w:val="none"/>
            <w:effect w:val="none"/>
          </w:rPr>
          <w:t>4.</w:t>
        </w:r>
      </w:hyperlink>
      <w:hyperlink r:id="rId19">
        <w:r>
          <w:rPr>
            <w:rStyle w:val="InternetLink"/>
            <w:rFonts w:ascii="times new roman;times" w:hAnsi="times new roman;times"/>
            <w:strike w:val="false"/>
            <w:dstrike w:val="false"/>
            <w:color w:val="000000"/>
            <w:sz w:val="20"/>
            <w:u w:val="none"/>
            <w:effect w:val="none"/>
          </w:rPr>
          <w:t>     </w:t>
        </w:r>
      </w:hyperlink>
      <w:hyperlink r:id="rId20">
        <w:r>
          <w:rPr>
            <w:rStyle w:val="InternetLink"/>
            <w:rFonts w:ascii="Times New Roman" w:hAnsi="Times New Roman"/>
            <w:b/>
            <w:strike w:val="false"/>
            <w:dstrike w:val="false"/>
            <w:color w:val="000000"/>
            <w:sz w:val="20"/>
            <w:u w:val="none"/>
            <w:effect w:val="none"/>
          </w:rPr>
          <w:t>CONTROLS AND PROCEDURES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 evaluation of the effectiveness of our disclosure controls and procedures (as defined in Rules 13a-15(e) and 15d-15(e) of the Exchange Act) as of September 30, 2023</w:t>
      </w:r>
      <w:r>
        <w:rPr>
          <w:rFonts w:ascii="times new roman;times" w:hAnsi="times new roman;times"/>
          <w:sz w:val="20"/>
        </w:rPr>
        <w:t> </w:t>
      </w:r>
      <w:r>
        <w:rPr>
          <w:rFonts w:ascii="Times New Roman" w:hAnsi="Times New Roman"/>
          <w:sz w:val="20"/>
        </w:rPr>
        <w:t>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September 30, 2023.</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There has been no change in the Company's internal control over financial reporting as of September 30, 2023, that has materially affected, or is reasonably likely to materially affect, the Company's internal control over financial reporting. </w:t>
      </w:r>
    </w:p>
    <w:p>
      <w:pPr>
        <w:pStyle w:val="TextBody"/>
        <w:bidi w:val="0"/>
        <w:spacing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1">
        <w:bookmarkStart w:id="51" w:name="BJ_TSTI5UOPUO00000000000000000000"/>
        <w:bookmarkEnd w:id="51"/>
        <w:r>
          <w:rPr>
            <w:rStyle w:val="InternetLink"/>
            <w:rFonts w:ascii="Times New Roman" w:hAnsi="Times New Roman"/>
            <w:b/>
            <w:strike w:val="false"/>
            <w:dstrike w:val="false"/>
            <w:color w:val="000000"/>
            <w:sz w:val="20"/>
            <w:u w:val="none"/>
            <w:effect w:val="none"/>
          </w:rPr>
          <w:t>PART II - OTHER INFORMATION</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2">
        <w:bookmarkStart w:id="52" w:name="BK_UH0QH1ST6800000000000000000000"/>
        <w:bookmarkEnd w:id="52"/>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sz w:val="20"/>
        </w:rPr>
      </w:pPr>
      <w:r>
        <w:rPr>
          <w:sz w:val="20"/>
        </w:rPr>
        <w:t>None.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hyperlink r:id="rId23">
        <w:bookmarkStart w:id="53" w:name="BL_C8C33AXDV400000000000000000000"/>
        <w:bookmarkEnd w:id="53"/>
        <w:r>
          <w:rPr>
            <w:rStyle w:val="InternetLink"/>
            <w:rFonts w:ascii="Times New Roman" w:hAnsi="Times New Roman"/>
            <w:b/>
            <w:strike w:val="false"/>
            <w:dstrike w:val="false"/>
            <w:color w:val="000000"/>
            <w:sz w:val="20"/>
            <w:u w:val="none"/>
            <w:effect w:val="none"/>
          </w:rPr>
          <w:t>Item 1A. RISK FACTORS</w:t>
        </w:r>
      </w:hyperlink>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risk factor set forth below supplements and should be read in conjunction with the risk factors included in our Annual Report on Form 10-K for the fiscal year ended December 31, 2022, as previously supplemented by our Quarterly Report on Form 10-Q for the quarter ended June 30, 2023:</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None.</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r:id="rId24">
        <w:bookmarkStart w:id="54" w:name="BM_PXV2XAM1KG00000000000000000000"/>
        <w:bookmarkEnd w:id="54"/>
        <w:r>
          <w:rPr>
            <w:rStyle w:val="InternetLink"/>
            <w:rFonts w:ascii="Times New Roman" w:hAnsi="Times New Roman"/>
            <w:b/>
            <w:strike w:val="false"/>
            <w:dstrike w:val="false"/>
            <w:color w:val="00000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w:t>
      </w:r>
      <w:r>
        <w:rPr>
          <w:rFonts w:ascii="times new roman;times" w:hAnsi="times new roman;times"/>
          <w:sz w:val="20"/>
        </w:rPr>
        <w:t>None.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 Not applicable.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 None.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r:id="rId25">
        <w:bookmarkStart w:id="55" w:name="BN_EVKECWSW2800000000000000000000"/>
        <w:bookmarkEnd w:id="55"/>
        <w:r>
          <w:rPr>
            <w:rStyle w:val="InternetLink"/>
            <w:rFonts w:ascii="Times New Roman" w:hAnsi="Times New Roman"/>
            <w:b/>
            <w:strike w:val="false"/>
            <w:dstrike w:val="false"/>
            <w:color w:val="000000"/>
            <w:sz w:val="20"/>
            <w:u w:val="none"/>
            <w:effect w:val="none"/>
          </w:rPr>
          <w:t>Item 3. DEFAULTS UPON SENIOR SECURITIES</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6">
        <w:bookmarkStart w:id="56" w:name="BO_VVB037J0C000000000000000000000"/>
        <w:bookmarkEnd w:id="56"/>
        <w:r>
          <w:rPr>
            <w:rStyle w:val="InternetLink"/>
            <w:rFonts w:ascii="Times New Roman" w:hAnsi="Times New Roman"/>
            <w:b/>
            <w:strike w:val="false"/>
            <w:dstrike w:val="false"/>
            <w:color w:val="000000"/>
            <w:sz w:val="20"/>
            <w:u w:val="none"/>
            <w:effect w:val="none"/>
          </w:rPr>
          <w:t>Item 4. MINE SAFETY DISCLOSURES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7">
        <w:bookmarkStart w:id="57" w:name="BP_0LWBX5JVNK00000000000000000000"/>
        <w:bookmarkEnd w:id="57"/>
        <w:r>
          <w:rPr>
            <w:rStyle w:val="InternetLink"/>
            <w:rFonts w:ascii="Times New Roman" w:hAnsi="Times New Roman"/>
            <w:b/>
            <w:strike w:val="false"/>
            <w:dstrike w:val="false"/>
            <w:color w:val="000000"/>
            <w:sz w:val="20"/>
            <w:u w:val="none"/>
            <w:effect w:val="none"/>
          </w:rPr>
          <w:t>Item 5. OTHER INFORMATION </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 Not applicable.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40" w:before="0" w:after="0"/>
        <w:jc w:val="both"/>
        <w:rPr/>
      </w:pPr>
      <w:hyperlink r:id="rId28">
        <w:bookmarkStart w:id="58" w:name="BQ_3RYBS14R3400000000000000000000"/>
        <w:bookmarkEnd w:id="58"/>
        <w:r>
          <w:rPr>
            <w:rStyle w:val="InternetLink"/>
            <w:rFonts w:ascii="Times New Roman" w:hAnsi="Times New Roman"/>
            <w:b/>
            <w:strike w:val="false"/>
            <w:dstrike w:val="false"/>
            <w:color w:val="000000"/>
            <w:sz w:val="20"/>
            <w:u w:val="none"/>
            <w:effect w:val="none"/>
          </w:rPr>
          <w:t>Item 6. EXHIBITS</w:t>
        </w:r>
      </w:hyperlink>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36"/>
        <w:gridCol w:w="68"/>
        <w:gridCol w:w="9001"/>
      </w:tblGrid>
      <w:tr>
        <w:trPr/>
        <w:tc>
          <w:tcPr>
            <w:tcW w:w="1136"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 No.</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Title of Document</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hyperlink w:anchor="ex311_1.htm">
              <w:r>
                <w:rPr>
                  <w:rStyle w:val="InternetLink"/>
                  <w:rFonts w:ascii="Times New Roman" w:hAnsi="Times New Roman"/>
                  <w:sz w:val="20"/>
                </w:rPr>
                <w:t>Section 302 Certification of Chief Executive Officer (filed herewith)</w:t>
              </w:r>
            </w:hyperlink>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hyperlink w:anchor="ex312_2.htm">
              <w:r>
                <w:rPr>
                  <w:rStyle w:val="InternetLink"/>
                  <w:rFonts w:ascii="Times New Roman" w:hAnsi="Times New Roman"/>
                  <w:sz w:val="20"/>
                </w:rPr>
                <w:t>Section 302 Certification of Principal Financial Officer (filed herewith)</w:t>
              </w:r>
            </w:hyperlink>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32.1</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hyperlink w:anchor="ex321_3.htm">
              <w:r>
                <w:rPr>
                  <w:rStyle w:val="InternetLink"/>
                  <w:rFonts w:ascii="Times New Roman" w:hAnsi="Times New Roman"/>
                  <w:sz w:val="20"/>
                </w:rPr>
                <w:t>Section 906 Certification of Chief Executive Officer (filed herewith)</w:t>
              </w:r>
            </w:hyperlink>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32.2</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hyperlink w:anchor="ex322_4.htm">
              <w:r>
                <w:rPr>
                  <w:rStyle w:val="InternetLink"/>
                  <w:rFonts w:ascii="Times New Roman" w:hAnsi="Times New Roman"/>
                  <w:sz w:val="20"/>
                </w:rPr>
                <w:t>Section 906 Certification of Principal Financial Officer (filed herewith)</w:t>
              </w:r>
            </w:hyperlink>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 (filed herewith) </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 (filed herewith)</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 (filed herewith)</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 (filed herewith)</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 (filed herewith)</w:t>
            </w:r>
          </w:p>
        </w:tc>
      </w:tr>
      <w:tr>
        <w:trPr/>
        <w:tc>
          <w:tcPr>
            <w:tcW w:w="1136"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left"/>
              <w:rPr/>
            </w:pPr>
            <w:r>
              <w:rPr/>
              <w:t> </w:t>
            </w:r>
          </w:p>
        </w:tc>
      </w:tr>
      <w:tr>
        <w:trPr/>
        <w:tc>
          <w:tcPr>
            <w:tcW w:w="113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8" w:type="dxa"/>
            <w:tcBorders/>
            <w:vAlign w:val="center"/>
          </w:tcPr>
          <w:p>
            <w:pPr>
              <w:pStyle w:val="TableContents"/>
              <w:bidi w:val="0"/>
              <w:spacing w:before="0" w:after="0"/>
              <w:ind w:left="0" w:right="0" w:hanging="0"/>
              <w:jc w:val="left"/>
              <w:rPr/>
            </w:pPr>
            <w:r>
              <w:rPr/>
              <w:t> </w:t>
            </w:r>
          </w:p>
        </w:tc>
        <w:tc>
          <w:tcPr>
            <w:tcW w:w="90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 (filed herewith)</w:t>
            </w:r>
          </w:p>
        </w:tc>
      </w:tr>
      <w:tr>
        <w:trPr/>
        <w:tc>
          <w:tcPr>
            <w:tcW w:w="1136" w:type="dxa"/>
            <w:tcBorders/>
            <w:vAlign w:val="center"/>
          </w:tcPr>
          <w:p>
            <w:pPr>
              <w:pStyle w:val="TableContents"/>
              <w:bidi w:val="0"/>
              <w:spacing w:before="0" w:after="283"/>
              <w:ind w:left="0" w:right="0" w:hanging="0"/>
              <w:jc w:val="left"/>
              <w:rPr/>
            </w:pPr>
            <w:r>
              <w:rPr/>
            </w:r>
          </w:p>
        </w:tc>
        <w:tc>
          <w:tcPr>
            <w:tcW w:w="68" w:type="dxa"/>
            <w:tcBorders/>
            <w:vAlign w:val="center"/>
          </w:tcPr>
          <w:p>
            <w:pPr>
              <w:pStyle w:val="TableContents"/>
              <w:bidi w:val="0"/>
              <w:spacing w:before="0" w:after="283"/>
              <w:ind w:left="0" w:right="0" w:hanging="0"/>
              <w:jc w:val="left"/>
              <w:rPr/>
            </w:pPr>
            <w:r>
              <w:rPr/>
            </w:r>
          </w:p>
        </w:tc>
        <w:tc>
          <w:tcPr>
            <w:tcW w:w="9001" w:type="dxa"/>
            <w:tcBorders/>
            <w:vAlign w:val="center"/>
          </w:tcPr>
          <w:p>
            <w:pPr>
              <w:pStyle w:val="TableContents"/>
              <w:bidi w:val="0"/>
              <w:spacing w:before="0" w:after="283"/>
              <w:ind w:left="0" w:right="0" w:hanging="0"/>
              <w:jc w:val="left"/>
              <w:rPr/>
            </w:pPr>
            <w:r>
              <w:rPr/>
            </w:r>
          </w:p>
        </w:tc>
      </w:tr>
      <w:tr>
        <w:trPr/>
        <w:tc>
          <w:tcPr>
            <w:tcW w:w="1136" w:type="dxa"/>
            <w:tcBorders/>
            <w:vAlign w:val="center"/>
          </w:tcPr>
          <w:p>
            <w:pPr>
              <w:pStyle w:val="TableContents"/>
              <w:bidi w:val="0"/>
              <w:spacing w:before="0" w:after="0"/>
              <w:ind w:left="0" w:right="0" w:hanging="0"/>
              <w:jc w:val="left"/>
              <w:rPr/>
            </w:pPr>
            <w:r>
              <w:rPr/>
              <w:t>104.1</w:t>
            </w:r>
          </w:p>
        </w:tc>
        <w:tc>
          <w:tcPr>
            <w:tcW w:w="68" w:type="dxa"/>
            <w:tcBorders/>
            <w:vAlign w:val="center"/>
          </w:tcPr>
          <w:p>
            <w:pPr>
              <w:pStyle w:val="TableContents"/>
              <w:bidi w:val="0"/>
              <w:spacing w:before="0" w:after="283"/>
              <w:ind w:left="0" w:right="0" w:hanging="0"/>
              <w:jc w:val="left"/>
              <w:rPr/>
            </w:pPr>
            <w:r>
              <w:rPr/>
            </w:r>
          </w:p>
        </w:tc>
        <w:tc>
          <w:tcPr>
            <w:tcW w:w="9001" w:type="dxa"/>
            <w:tcBorders/>
            <w:vAlign w:val="center"/>
          </w:tcPr>
          <w:p>
            <w:pPr>
              <w:pStyle w:val="TableContents"/>
              <w:bidi w:val="0"/>
              <w:spacing w:before="0" w:after="0"/>
              <w:jc w:val="left"/>
              <w:rPr/>
            </w:pPr>
            <w:r>
              <w:rPr/>
              <w:t>The cover page of this Quarterly Report on Form 10-Q, formatted in Inline XBRL.</w:t>
            </w:r>
          </w:p>
        </w:tc>
      </w:tr>
    </w:tbl>
    <w:p>
      <w:pPr>
        <w:pStyle w:val="TextBody"/>
        <w:bidi w:val="0"/>
        <w:spacing w:lineRule="auto" w:line="240"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bidi w:val="0"/>
        <w:spacing w:lineRule="auto" w:line="288" w:before="0" w:after="0"/>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2488"/>
        <w:gridCol w:w="504"/>
        <w:gridCol w:w="7213"/>
      </w:tblGrid>
      <w:tr>
        <w:trPr/>
        <w:tc>
          <w:tcPr>
            <w:tcW w:w="2488" w:type="dxa"/>
            <w:tcBorders/>
            <w:vAlign w:val="center"/>
          </w:tcPr>
          <w:p>
            <w:pPr>
              <w:pStyle w:val="TableContents"/>
              <w:bidi w:val="0"/>
              <w:spacing w:before="0" w:after="0"/>
              <w:ind w:left="0" w:right="0" w:hanging="0"/>
              <w:jc w:val="left"/>
              <w:rPr/>
            </w:pPr>
            <w:r>
              <w:rPr/>
              <w:t> </w:t>
            </w:r>
          </w:p>
        </w:tc>
        <w:tc>
          <w:tcPr>
            <w:tcW w:w="7717"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r>
      <w:tr>
        <w:trPr/>
        <w:tc>
          <w:tcPr>
            <w:tcW w:w="2488"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pPr>
            <w:r>
              <w:rPr/>
              <w:t> </w:t>
            </w:r>
          </w:p>
        </w:tc>
        <w:tc>
          <w:tcPr>
            <w:tcW w:w="7213" w:type="dxa"/>
            <w:tcBorders/>
            <w:vAlign w:val="center"/>
          </w:tcPr>
          <w:p>
            <w:pPr>
              <w:pStyle w:val="TableContents"/>
              <w:bidi w:val="0"/>
              <w:spacing w:before="0" w:after="0"/>
              <w:ind w:left="0" w:right="0" w:hanging="0"/>
              <w:jc w:val="left"/>
              <w:rPr/>
            </w:pPr>
            <w:r>
              <w:rPr/>
              <w:t> </w:t>
            </w:r>
          </w:p>
        </w:tc>
      </w:tr>
      <w:tr>
        <w:trPr/>
        <w:tc>
          <w:tcPr>
            <w:tcW w:w="2488"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213"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4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w:t>
            </w:r>
          </w:p>
        </w:tc>
        <w:tc>
          <w:tcPr>
            <w:tcW w:w="504" w:type="dxa"/>
            <w:tcBorders/>
            <w:vAlign w:val="center"/>
          </w:tcPr>
          <w:p>
            <w:pPr>
              <w:pStyle w:val="TableContents"/>
              <w:bidi w:val="0"/>
              <w:spacing w:before="0" w:after="0"/>
              <w:ind w:left="0" w:right="0" w:hanging="0"/>
              <w:jc w:val="left"/>
              <w:rPr/>
            </w:pPr>
            <w:r>
              <w:rPr/>
              <w:t> </w:t>
            </w:r>
          </w:p>
        </w:tc>
        <w:tc>
          <w:tcPr>
            <w:tcW w:w="72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r>
        <w:trPr/>
        <w:tc>
          <w:tcPr>
            <w:tcW w:w="2488"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pPr>
            <w:r>
              <w:rPr/>
              <w:t> </w:t>
            </w:r>
          </w:p>
        </w:tc>
        <w:tc>
          <w:tcPr>
            <w:tcW w:w="7213" w:type="dxa"/>
            <w:tcBorders/>
            <w:vAlign w:val="center"/>
          </w:tcPr>
          <w:p>
            <w:pPr>
              <w:pStyle w:val="TableContents"/>
              <w:bidi w:val="0"/>
              <w:spacing w:before="0" w:after="0"/>
              <w:ind w:left="0" w:right="0" w:hanging="0"/>
              <w:jc w:val="left"/>
              <w:rPr/>
            </w:pPr>
            <w:r>
              <w:rPr/>
              <w:t> </w:t>
            </w:r>
          </w:p>
        </w:tc>
      </w:tr>
      <w:tr>
        <w:trPr/>
        <w:tc>
          <w:tcPr>
            <w:tcW w:w="2488"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213"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Narsi Narayanan</w:t>
            </w:r>
          </w:p>
        </w:tc>
      </w:tr>
      <w:tr>
        <w:trPr/>
        <w:tc>
          <w:tcPr>
            <w:tcW w:w="24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 </w:t>
            </w:r>
          </w:p>
        </w:tc>
        <w:tc>
          <w:tcPr>
            <w:tcW w:w="504" w:type="dxa"/>
            <w:tcBorders/>
            <w:vAlign w:val="center"/>
          </w:tcPr>
          <w:p>
            <w:pPr>
              <w:pStyle w:val="TableContents"/>
              <w:bidi w:val="0"/>
              <w:spacing w:before="0" w:after="0"/>
              <w:ind w:left="0" w:right="0" w:hanging="0"/>
              <w:jc w:val="left"/>
              <w:rPr/>
            </w:pPr>
            <w:r>
              <w:rPr/>
              <w:t> </w:t>
            </w:r>
          </w:p>
        </w:tc>
        <w:tc>
          <w:tcPr>
            <w:tcW w:w="72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Narsi Narayanan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 w:hAnsi="Times New Roman"/>
          <w:b/>
          <w:sz w:val="20"/>
        </w:rPr>
      </w:pPr>
      <w:bookmarkStart w:id="59" w:name="ex311_1.htm"/>
      <w:bookmarkStart w:id="60" w:name="ksex311_1"/>
      <w:bookmarkEnd w:id="59"/>
      <w:bookmarkEnd w:id="60"/>
      <w:r>
        <w:rPr>
          <w:rFonts w:ascii="Times New Roman" w:hAnsi="Times New Roman"/>
          <w:b/>
          <w:sz w:val="20"/>
        </w:rPr>
        <w:t>EXHIBIT 31.1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690"/>
        <w:gridCol w:w="769"/>
        <w:gridCol w:w="5746"/>
      </w:tblGrid>
      <w:tr>
        <w:trPr/>
        <w:tc>
          <w:tcPr>
            <w:tcW w:w="3690"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746"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36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w:t>
            </w:r>
          </w:p>
        </w:tc>
        <w:tc>
          <w:tcPr>
            <w:tcW w:w="769" w:type="dxa"/>
            <w:tcBorders/>
            <w:vAlign w:val="center"/>
          </w:tcPr>
          <w:p>
            <w:pPr>
              <w:pStyle w:val="TableContents"/>
              <w:bidi w:val="0"/>
              <w:spacing w:before="0" w:after="0"/>
              <w:ind w:left="0" w:right="0" w:hanging="0"/>
              <w:jc w:val="both"/>
              <w:rPr/>
            </w:pPr>
            <w:r>
              <w:rPr/>
              <w:t> </w:t>
            </w:r>
          </w:p>
        </w:tc>
        <w:tc>
          <w:tcPr>
            <w:tcW w:w="57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pPr>
      <w:r>
        <w:rPr/>
      </w:r>
    </w:p>
    <w:p>
      <w:pPr>
        <w:pStyle w:val="TextBody"/>
        <w:bidi w:val="0"/>
        <w:spacing w:lineRule="auto" w:line="288" w:before="0" w:after="0"/>
        <w:ind w:left="0" w:right="0" w:hanging="0"/>
        <w:jc w:val="right"/>
        <w:rPr>
          <w:rFonts w:ascii="Times New Roman" w:hAnsi="Times New Roman"/>
          <w:b/>
          <w:sz w:val="20"/>
        </w:rPr>
      </w:pPr>
      <w:bookmarkStart w:id="61" w:name="ex312_2.htm"/>
      <w:bookmarkStart w:id="62" w:name="ksex312_2"/>
      <w:bookmarkEnd w:id="61"/>
      <w:bookmarkEnd w:id="62"/>
      <w:r>
        <w:rPr>
          <w:rFonts w:ascii="Times New Roman" w:hAnsi="Times New Roman"/>
          <w:b/>
          <w:sz w:val="20"/>
        </w:rPr>
        <w:t>EXHIBIT 31.2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Narsi Narayanan,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bidi w:val="0"/>
              <w:spacing w:before="0" w:after="0"/>
              <w:ind w:left="0" w:right="0" w:hanging="0"/>
              <w:jc w:val="both"/>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r>
              <w:rPr/>
              <w:t> </w:t>
            </w:r>
            <w:r>
              <w:rPr>
                <w:rFonts w:ascii="Times New Roman" w:hAnsi="Times New Roman"/>
                <w:sz w:val="20"/>
              </w:rPr>
              <w:t>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34"/>
        <w:gridCol w:w="507"/>
        <w:gridCol w:w="7264"/>
      </w:tblGrid>
      <w:tr>
        <w:trPr/>
        <w:tc>
          <w:tcPr>
            <w:tcW w:w="243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26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Narsi Narayanan</w:t>
            </w:r>
          </w:p>
        </w:tc>
      </w:tr>
      <w:tr>
        <w:trPr/>
        <w:tc>
          <w:tcPr>
            <w:tcW w:w="24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w:t>
            </w:r>
          </w:p>
        </w:tc>
        <w:tc>
          <w:tcPr>
            <w:tcW w:w="507" w:type="dxa"/>
            <w:tcBorders/>
            <w:vAlign w:val="center"/>
          </w:tcPr>
          <w:p>
            <w:pPr>
              <w:pStyle w:val="TableContents"/>
              <w:bidi w:val="0"/>
              <w:spacing w:before="0" w:after="0"/>
              <w:ind w:left="0" w:right="0" w:hanging="0"/>
              <w:jc w:val="left"/>
              <w:rPr/>
            </w:pPr>
            <w:r>
              <w:rPr/>
              <w:t> </w:t>
            </w:r>
          </w:p>
        </w:tc>
        <w:tc>
          <w:tcPr>
            <w:tcW w:w="72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Narsi Narayanan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63" w:name="ex321_3.htm"/>
      <w:bookmarkStart w:id="64" w:name="ksex321_3"/>
      <w:bookmarkEnd w:id="63"/>
      <w:bookmarkEnd w:id="64"/>
      <w:r>
        <w:rPr>
          <w:rFonts w:ascii="Times New Roman" w:hAnsi="Times New Roman"/>
          <w:b/>
          <w:sz w:val="20"/>
        </w:rPr>
        <w:t>EXHIBIT 32.1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to my best knowledge and belief, pursuant to 18 U.S.C. Section 1350, as adopted pursuant to Section 906 of the Sarbanes-Oxley Act of 2002, that the Quarterly Report of ClearOne, Inc. on Form 10-Q for the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90"/>
        <w:gridCol w:w="769"/>
        <w:gridCol w:w="5746"/>
      </w:tblGrid>
      <w:tr>
        <w:trPr/>
        <w:tc>
          <w:tcPr>
            <w:tcW w:w="3690"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746"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6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w:t>
            </w:r>
          </w:p>
        </w:tc>
        <w:tc>
          <w:tcPr>
            <w:tcW w:w="769" w:type="dxa"/>
            <w:tcBorders/>
            <w:vAlign w:val="center"/>
          </w:tcPr>
          <w:p>
            <w:pPr>
              <w:pStyle w:val="TableContents"/>
              <w:bidi w:val="0"/>
              <w:spacing w:before="0" w:after="0"/>
              <w:ind w:left="0" w:right="0" w:hanging="0"/>
              <w:jc w:val="left"/>
              <w:rPr/>
            </w:pPr>
            <w:r>
              <w:rPr/>
              <w:t> </w:t>
            </w:r>
          </w:p>
        </w:tc>
        <w:tc>
          <w:tcPr>
            <w:tcW w:w="57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r>
        <w:rPr/>
      </w:r>
    </w:p>
    <w:p>
      <w:pPr>
        <w:pStyle w:val="TextBody"/>
        <w:bidi w:val="0"/>
        <w:spacing w:lineRule="auto" w:line="288" w:before="0" w:after="0"/>
        <w:ind w:left="0" w:right="0" w:hanging="0"/>
        <w:jc w:val="right"/>
        <w:rPr>
          <w:rFonts w:ascii="Times New Roman" w:hAnsi="Times New Roman"/>
          <w:b/>
          <w:sz w:val="20"/>
        </w:rPr>
      </w:pPr>
      <w:bookmarkStart w:id="65" w:name="ex322_4.htm"/>
      <w:bookmarkStart w:id="66" w:name="ksex322_4"/>
      <w:bookmarkEnd w:id="65"/>
      <w:bookmarkEnd w:id="66"/>
      <w:r>
        <w:rPr>
          <w:rFonts w:ascii="Times New Roman" w:hAnsi="Times New Roman"/>
          <w:b/>
          <w:sz w:val="20"/>
        </w:rPr>
        <w:t>EXHIBIT 32.2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Narsi Narayanan, certify, to my best knowledge and belief, pursuant to 18 U.S.C. Section 1350, as adopted pursuant to Section 906 of the Sarbanes-Oxley Act of 2002, that the Quarterly Report of ClearOne, Inc. on Form 10-Q for the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34"/>
        <w:gridCol w:w="507"/>
        <w:gridCol w:w="7264"/>
      </w:tblGrid>
      <w:tr>
        <w:trPr/>
        <w:tc>
          <w:tcPr>
            <w:tcW w:w="243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26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Narsi Narayanan</w:t>
            </w:r>
          </w:p>
        </w:tc>
      </w:tr>
      <w:tr>
        <w:trPr/>
        <w:tc>
          <w:tcPr>
            <w:tcW w:w="24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8, 2023</w:t>
            </w:r>
          </w:p>
        </w:tc>
        <w:tc>
          <w:tcPr>
            <w:tcW w:w="507" w:type="dxa"/>
            <w:tcBorders/>
            <w:vAlign w:val="center"/>
          </w:tcPr>
          <w:p>
            <w:pPr>
              <w:pStyle w:val="TableContents"/>
              <w:bidi w:val="0"/>
              <w:spacing w:before="0" w:after="0"/>
              <w:ind w:left="0" w:right="0" w:hanging="0"/>
              <w:jc w:val="left"/>
              <w:rPr/>
            </w:pPr>
            <w:r>
              <w:rPr/>
              <w:t> </w:t>
            </w:r>
          </w:p>
        </w:tc>
        <w:tc>
          <w:tcPr>
            <w:tcW w:w="72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Narsi Narayanan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MS Mincho">
    <w:charset w:val="01"/>
    <w:family w:val="auto"/>
    <w:pitch w:val="default"/>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 TargetMode="External"/><Relationship Id="rId22" Type="http://schemas.openxmlformats.org/officeDocument/2006/relationships/hyperlink" Target="#" TargetMode="External"/><Relationship Id="rId23" Type="http://schemas.openxmlformats.org/officeDocument/2006/relationships/hyperlink" Target="#" TargetMode="External"/><Relationship Id="rId24" Type="http://schemas.openxmlformats.org/officeDocument/2006/relationships/hyperlink" Target="#" TargetMode="External"/><Relationship Id="rId25" Type="http://schemas.openxmlformats.org/officeDocument/2006/relationships/hyperlink" Target="#" TargetMode="External"/><Relationship Id="rId26" Type="http://schemas.openxmlformats.org/officeDocument/2006/relationships/hyperlink" Target="#" TargetMode="External"/><Relationship Id="rId27" Type="http://schemas.openxmlformats.org/officeDocument/2006/relationships/hyperlink" Target="#" TargetMode="External"/><Relationship Id="rId28" Type="http://schemas.openxmlformats.org/officeDocument/2006/relationships/hyperlink" Target="#"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13697</Words>
  <Characters>75035</Characters>
  <CharactersWithSpaces>90995</CharactersWithSpaces>
  <Paragraphs>3724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