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9,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080" w:type="dxa"/>
            <w:vAlign w:val="bottom"/>
          </w:tcPr>
          <w:p>
            <w:pPr>
              <w:jc w:val="center"/>
              <w:ind w:right="490"/>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1"/>
              </w:rPr>
              <w:t>87-0398877</w:t>
            </w:r>
          </w:p>
        </w:tc>
        <w:tc>
          <w:tcPr>
            <w:tcW w:w="560" w:type="dxa"/>
            <w:vAlign w:val="bottom"/>
          </w:tcPr>
          <w:p>
            <w:pPr>
              <w:spacing w:after="0"/>
              <w:rPr>
                <w:sz w:val="20"/>
                <w:szCs w:val="20"/>
                <w:color w:val="auto"/>
              </w:rPr>
            </w:pPr>
          </w:p>
        </w:tc>
      </w:tr>
      <w:tr>
        <w:trPr>
          <w:trHeight w:val="202"/>
        </w:trPr>
        <w:tc>
          <w:tcPr>
            <w:tcW w:w="5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right="430"/>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2"/>
          </w:tcPr>
          <w:p>
            <w:pPr>
              <w:jc w:val="right"/>
              <w:ind w:right="1320"/>
              <w:spacing w:after="0" w:line="201" w:lineRule="exact"/>
              <w:rPr>
                <w:sz w:val="20"/>
                <w:szCs w:val="20"/>
                <w:color w:val="auto"/>
              </w:rPr>
            </w:pPr>
            <w:r>
              <w:rPr>
                <w:rFonts w:ascii="Arial" w:cs="Arial" w:eastAsia="Arial" w:hAnsi="Arial"/>
                <w:sz w:val="18"/>
                <w:szCs w:val="18"/>
                <w:color w:val="auto"/>
              </w:rPr>
              <w:t>(Commission</w:t>
            </w: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0" w:type="dxa"/>
            <w:vAlign w:val="bottom"/>
          </w:tcPr>
          <w:p>
            <w:pPr>
              <w:spacing w:after="0"/>
              <w:rPr>
                <w:sz w:val="20"/>
                <w:szCs w:val="20"/>
                <w:color w:val="auto"/>
              </w:rPr>
            </w:pPr>
          </w:p>
        </w:tc>
        <w:tc>
          <w:tcPr>
            <w:tcW w:w="3080" w:type="dxa"/>
            <w:vAlign w:val="bottom"/>
          </w:tcPr>
          <w:p>
            <w:pPr>
              <w:jc w:val="center"/>
              <w:ind w:right="430"/>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3"/>
          </w:tcPr>
          <w:p>
            <w:pPr>
              <w:jc w:val="right"/>
              <w:ind w:right="1540"/>
              <w:spacing w:after="0"/>
              <w:rPr>
                <w:sz w:val="20"/>
                <w:szCs w:val="20"/>
                <w:color w:val="auto"/>
              </w:rPr>
            </w:pPr>
            <w:r>
              <w:rPr>
                <w:rFonts w:ascii="Arial" w:cs="Arial" w:eastAsia="Arial" w:hAnsi="Arial"/>
                <w:sz w:val="18"/>
                <w:szCs w:val="18"/>
                <w:color w:val="auto"/>
              </w:rPr>
              <w:t>File Number)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580" w:type="dxa"/>
            <w:vAlign w:val="bottom"/>
          </w:tcPr>
          <w:p>
            <w:pPr>
              <w:spacing w:after="0"/>
              <w:rPr>
                <w:sz w:val="24"/>
                <w:szCs w:val="24"/>
                <w:color w:val="auto"/>
              </w:rPr>
            </w:pPr>
          </w:p>
        </w:tc>
        <w:tc>
          <w:tcPr>
            <w:tcW w:w="7200" w:type="dxa"/>
            <w:vAlign w:val="bottom"/>
            <w:gridSpan w:val="6"/>
          </w:tcPr>
          <w:p>
            <w:pPr>
              <w:jc w:val="right"/>
              <w:ind w:right="1540"/>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08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84116</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200" w:type="dxa"/>
            <w:vAlign w:val="bottom"/>
            <w:tcBorders>
              <w:top w:val="single" w:sz="8" w:color="auto"/>
            </w:tcBorders>
            <w:gridSpan w:val="6"/>
          </w:tcPr>
          <w:p>
            <w:pPr>
              <w:ind w:left="2200"/>
              <w:spacing w:after="0"/>
              <w:rPr>
                <w:sz w:val="20"/>
                <w:szCs w:val="20"/>
                <w:color w:val="auto"/>
              </w:rPr>
            </w:pPr>
            <w:r>
              <w:rPr>
                <w:rFonts w:ascii="Arial" w:cs="Arial" w:eastAsia="Arial" w:hAnsi="Arial"/>
                <w:sz w:val="18"/>
                <w:szCs w:val="18"/>
                <w:color w:val="auto"/>
              </w:rPr>
              <w:t>(Address of principal executive offices)</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56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August 9, 2017, ClearOne, Inc. (the “Company”) issued a press release announcing its financial results for the three and six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August 9, 2017 titled “ClearOne Reports Second Quarter 2017 Financial Results”.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198"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6350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Zeynep Hakimoglu</w:t>
      </w:r>
    </w:p>
    <w:p>
      <w:pPr>
        <w:ind w:left="62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August 9, 2017 titled “ClearOne Reports Second Quarter 2017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Second Quarter 2017 Financial Results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Video Products Revenue 25% Year-over-Year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Gains traction with new Converge Pro 2 platform</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Gross margin improves from 57% in Q1 to 59% in Q2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Receives industry recognition at InfoComm 2017</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Aug. 9, 2017 – ClearOne (NASDAQ: CLRO), a global provider of audio and visual communication solutions, reported financial results for the three months and six months ended June 30, 2017.</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major product transition continued to impact the company resulting in a disappointing second quarter, notwithstanding the 34% sequential increase in revenues in Q2 from the new Converge® Pro 2 (CP2), which with our Beamforming Microphone Array 2 is our next generation conferencing platform,” said Zee Hakimoglu, president and chief executive officer. “CP2 platform is taking longer than previous product ramps and extending the normal sales-cycle because of infringing activities and the additional training needed by AV consultants, integrators and large end-customers on significant changes between platforms, including new architecture, scalability, interoperability and user interfaces. At the end of Q1, we completed implementation of important software feature upgrades, enabling us to introduce the new platform to AV consultants to specify for future large-scale projects. We are making good progress with our AV practitioner channel partners for design/build projects and secured wins with well-known, leading companies. Along with sequential growth of the new platform, Q2 positives included video revenue growing 25% year-over-year and gross margins improving from 57% in Q1 to 59% in Q2.</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last several years, we have launched new products building upon our core base in pro AV and establishing a complete value chain including professional microphones, video collaboration, and networked audio video streaming. Frequently recognized by the industry, in June we received three prestigious ‘Best of Show’ awards at InfoComm. During the quarter, we were awarded three new patents, one of which was our innovative patent on a system and method involving the combination of echo cancellation, beamforming microphone arrays, and smart beam selection—the technology underpinning the ‘acoustic intelligence’ of our ground-breaking Beamforming Microphone Array. We continued to take the necessary steps to enforce this strategic patent to remedy having to compete against our own patented technology, and to defend the validity of our patents.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fundamentals are strong as a result of our award-winning product set, efficient operations and strong balance sheet. As we further our revenue expansion with CP2 platform and video, we expect to close the profitability gap. In addition, we continue to create shareholder value through our on-going repurchase program and dividend plan,” concluded Hakimoglu.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InfoComm Awards</w:t>
      </w:r>
    </w:p>
    <w:p>
      <w:pPr>
        <w:spacing w:after="0" w:line="2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InfoComm International</w:t>
      </w:r>
      <w:r>
        <w:rPr>
          <w:rFonts w:ascii="Arial" w:cs="Arial" w:eastAsia="Arial" w:hAnsi="Arial"/>
          <w:sz w:val="30"/>
          <w:szCs w:val="30"/>
          <w:color w:val="auto"/>
          <w:vertAlign w:val="superscript"/>
        </w:rPr>
        <w:t>®</w:t>
      </w:r>
      <w:r>
        <w:rPr>
          <w:rFonts w:ascii="Arial" w:cs="Arial" w:eastAsia="Arial" w:hAnsi="Arial"/>
          <w:sz w:val="18"/>
          <w:szCs w:val="18"/>
          <w:color w:val="auto"/>
        </w:rPr>
        <w:t>, the association representing the professional audiovisual and information communications industries worldwide, hosts the largest trade show of the industry.</w:t>
      </w:r>
    </w:p>
    <w:p>
      <w:pPr>
        <w:spacing w:after="0" w:line="20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 Technology InfoComm 2017 Best of Show Award for ClearOne® VIEW® Pro 4K IP-based, Multimedia Networked AV Streaming Solution</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rAVe ProAV Edition’s Best of InfoComm 2017 Award: Best AV over IP Product for ClearOne® VIEW® Pro 4K IP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SOUND&amp;VIDEO CONTRACTOR (SVC) Best of InfoComm 2017 award for COLLABORATE® Versa™ 150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11" w:lineRule="exact"/>
        <w:rPr>
          <w:sz w:val="20"/>
          <w:szCs w:val="20"/>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Q2 2017 revenue was $10.3 million, compared to $12.0 million in Q2 2016 and $11.7 million in Q1 2017. The year-over-year decrease reflects continuing transition to the next generation professional audio conferencing platform and the price reductions to corresponding legacy products. Sequential revenue drop was caused by the reduction in revenues from legacy Converge Pro 1 platform at a rate higher than the increase in revenues from the new Converge Pro 2 platform. This trend is expected to reverse when the transition is complete.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gross profit in Q2 2017 was $6.1 million, compared to $7.7 million in Q2 2016 and $6.7 million in Q1 2017. GAAP gross profit margin was 59% in Q2 2017, compared to 64% in Q2 2016 and 57% in Q1 2017. Non-GAAP gross profit margin was 59% in Q2 2017, compared to 64% in Q2 2016 and 57% in Q1 2017. Year-over-year and sequentially the product mix was still heavily weighted toward the lower margin, legacy Converge Pro 1, impacting both GAAP and non-GAAP gross profit margin.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in Q2 2017 were $7.2 million, compared to $6.3 million in Q2 2016 and $7.2 million in Q1 2017. The majority of the increase over Q2 2016 is attributable to litigation, primarily related to the patent lawsuit.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in Q2 2017 was $0.8 million, or $0.09 per diluted share, compared to net income of $1.0 million, or $0.10 per diluted share, in Q2 2016 and net loss of $0.5 million, or $0.05 per diluted share, in Q1 2017.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net loss was $0.1 million, or $0.01 per diluted share, in Q2 2017, compared to non-GAAP net income of $1.4 million, or $0.15 per diluted share, in Q2 2016, and non-GAAP net income of $0.1 million, or $0.02 per diluted share, in Q1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160" w:type="dxa"/>
            <w:vAlign w:val="bottom"/>
          </w:tcPr>
          <w:p>
            <w:pPr>
              <w:spacing w:after="0"/>
              <w:rPr>
                <w:sz w:val="22"/>
                <w:szCs w:val="22"/>
                <w:color w:val="auto"/>
              </w:rPr>
            </w:pPr>
          </w:p>
        </w:tc>
        <w:tc>
          <w:tcPr>
            <w:tcW w:w="31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Three months ended June 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4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7"/>
        </w:trPr>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176"/>
        </w:trPr>
        <w:tc>
          <w:tcPr>
            <w:tcW w:w="4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GAAP</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10,311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11,966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21,989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24,999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(1,109)</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16"/>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Earnings (Loss) Per Share (Diluted)</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176"/>
        </w:trPr>
        <w:tc>
          <w:tcPr>
            <w:tcW w:w="4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Non-GAAP</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7,671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12,761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16,140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Non-GAAP Net Income (Loss)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30"/>
        </w:trPr>
        <w:tc>
          <w:tcPr>
            <w:tcW w:w="4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Non-GAAP Earnings (Loss) per share (Diluted)</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June 30, 2017, cash, cash equivalents and investments were $29.2 million, as compared with $38.5 million at December 31, 2016. A significant portion of this decrease can be attributed to legal expenses, share repurchases, dividend payments and higher investment in inventory related to the Converge Pro 2 platform and wireless microphones which is expected to flow back into cash in the near term. The Company continued to have no debt.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Q2 of 2017, the Company paid a cash dividend of $0.07 per share and repurchased approximately 215,000 shares amounting to $2.1 million. As of June 30, 2017, the Company has acquired approximately 836,000 shares amounting to $9.2 million since this program commenced in March 2016 and was renewed and extended by the board in March 2017. The Company intends to continue to repurchase shares of its common stock under this program in the open market, subject to price, volume and other safe harbor restrictions. The Company also announced on August 7, 2017 a cash dividend of $0.07 per share for Q3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ClearOne senior management will host an investor conference call today, August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at 11:30 a.m. Eastern Time to review the company’s financial results. The conference call will be available to interested parties by dialing +1- 877-369-6586 (domestic) or +1- 253-237-1165 (international). The conference ID is 60167958. The call will also be available through a live, listen-only audio Internet broadcast at </w:t>
      </w:r>
      <w:r>
        <w:rPr>
          <w:rFonts w:ascii="Arial" w:cs="Arial" w:eastAsia="Arial" w:hAnsi="Arial"/>
          <w:sz w:val="16"/>
          <w:szCs w:val="16"/>
          <w:u w:val="single" w:color="auto"/>
          <w:color w:val="auto"/>
        </w:rPr>
        <w:t>http://investors.clearone.com/events.cfm</w:t>
      </w:r>
      <w:r>
        <w:rPr>
          <w:rFonts w:ascii="Arial" w:cs="Arial" w:eastAsia="Arial" w:hAnsi="Arial"/>
          <w:sz w:val="16"/>
          <w:szCs w:val="16"/>
          <w:color w:val="auto"/>
        </w:rPr>
        <w:t>. For those who are not available to listen to the live broadcast, the call will be archived on the same web site for at least three months.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As at</w:t>
            </w:r>
          </w:p>
        </w:tc>
        <w:tc>
          <w:tcPr>
            <w:tcW w:w="1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 2017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w:t>
            </w:r>
          </w:p>
        </w:tc>
        <w:tc>
          <w:tcPr>
            <w:tcW w:w="4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6,147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$200 and $187, respectively</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17,099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38,617</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19,726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12,724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4,979</w:t>
            </w:r>
          </w:p>
        </w:tc>
        <w:tc>
          <w:tcPr>
            <w:tcW w:w="4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2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3,805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1,286</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12,299</w:t>
            </w:r>
          </w:p>
        </w:tc>
        <w:tc>
          <w:tcPr>
            <w:tcW w:w="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8,548,716 and 8,812,644 shares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47,091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46,669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25,427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30,976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84,743</w:t>
            </w:r>
          </w:p>
        </w:tc>
        <w:tc>
          <w:tcPr>
            <w:tcW w:w="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88,124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4"/>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4,242</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9,242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2,646</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5,387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2,322</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2,210</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4,316</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(1,025)</w:t>
            </w: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(1,449)</w:t>
            </w:r>
          </w:p>
        </w:tc>
        <w:tc>
          <w:tcPr>
            <w:tcW w:w="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9,112,613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9,154,568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9,362,037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9,512,559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(1,288)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available-for-sale securities, net of tax</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92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2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 microphones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 effect of non-GAAP adjustments</w:t>
            </w: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8"/>
              </w:rPr>
              <w:t>Number of shares used in computing GAAP income per share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8,638,091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9,362,037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8,702,743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1,405</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shares used in computing Non-GAAP income per</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 (diluted)</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8,638,091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9,362,037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8,702,743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Non-GAAP income (loss) per share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GAAP total 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 microphones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2019-12-05T16:37:42Z</dcterms:created>
  <dcterms:modified xsi:type="dcterms:W3CDTF">2019-12-05T16:37:42Z</dcterms:modified>
</cp:coreProperties>
</file>