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August 20, 2019 (August 14, 2019)</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ClearOne,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240" w:type="dxa"/>
            <w:vAlign w:val="bottom"/>
            <w:gridSpan w:val="3"/>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20" w:type="dxa"/>
            <w:vAlign w:val="bottom"/>
          </w:tcPr>
          <w:p>
            <w:pPr>
              <w:spacing w:after="0"/>
              <w:rPr>
                <w:sz w:val="20"/>
                <w:szCs w:val="20"/>
                <w:color w:val="auto"/>
              </w:rPr>
            </w:pPr>
          </w:p>
        </w:tc>
        <w:tc>
          <w:tcPr>
            <w:tcW w:w="3860" w:type="dxa"/>
            <w:vAlign w:val="bottom"/>
            <w:gridSpan w:val="2"/>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191"/>
        </w:trPr>
        <w:tc>
          <w:tcPr>
            <w:tcW w:w="36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4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gridSpan w:val="2"/>
          </w:tcPr>
          <w:p>
            <w:pPr>
              <w:jc w:val="center"/>
              <w:ind w:right="1300"/>
              <w:spacing w:after="0" w:line="191" w:lineRule="exact"/>
              <w:rPr>
                <w:sz w:val="20"/>
                <w:szCs w:val="20"/>
                <w:color w:val="auto"/>
              </w:rPr>
            </w:pPr>
            <w:r>
              <w:rPr>
                <w:rFonts w:ascii="Times New Roman" w:cs="Times New Roman" w:eastAsia="Times New Roman" w:hAnsi="Times New Roman"/>
                <w:sz w:val="18"/>
                <w:szCs w:val="18"/>
                <w:color w:val="auto"/>
              </w:rPr>
              <w:t>(Commission</w:t>
            </w:r>
          </w:p>
        </w:tc>
        <w:tc>
          <w:tcPr>
            <w:tcW w:w="2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2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rPr>
              <w:t>of Incorporation)</w:t>
            </w:r>
          </w:p>
        </w:tc>
        <w:tc>
          <w:tcPr>
            <w:tcW w:w="232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rPr>
              <w:t>File Number)</w:t>
            </w: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756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86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5240" w:type="dxa"/>
            <w:vAlign w:val="bottom"/>
            <w:tcBorders>
              <w:top w:val="single" w:sz="8" w:color="auto"/>
            </w:tcBorders>
            <w:gridSpan w:val="3"/>
          </w:tcPr>
          <w:p>
            <w:pPr>
              <w:jc w:val="center"/>
              <w:ind w:left="22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3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+1 (801) 975-7200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 pursuant to Rule 13e-4(c) under the Exchange Act (17 CFR 240.13e-4(c))</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9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4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CLRO</w:t>
            </w:r>
          </w:p>
        </w:tc>
        <w:tc>
          <w:tcPr>
            <w:tcW w:w="4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4"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 ]</w:t>
      </w:r>
    </w:p>
    <w:p>
      <w:pPr>
        <w:spacing w:after="0" w:line="16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611505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14, 2019, ClearOne, Inc. (the “Company”) issued a press release announcing its financial results for the three and six months ended June 30,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press release is attached as Exhibit 99.1.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29" w:lineRule="exact"/>
        <w:rPr>
          <w:sz w:val="20"/>
          <w:szCs w:val="20"/>
          <w:color w:val="auto"/>
        </w:rPr>
      </w:pPr>
    </w:p>
    <w:p>
      <w:pPr>
        <w:spacing w:after="0"/>
        <w:tabs>
          <w:tab w:leader="none" w:pos="11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Exhibit 99.1</w:t>
      </w:r>
      <w:r>
        <w:rPr>
          <w:sz w:val="20"/>
          <w:szCs w:val="20"/>
          <w:color w:val="auto"/>
        </w:rPr>
        <w:tab/>
      </w:r>
      <w:hyperlink w:anchor="page4">
        <w:r>
          <w:rPr>
            <w:rFonts w:ascii="Times New Roman" w:cs="Times New Roman" w:eastAsia="Times New Roman" w:hAnsi="Times New Roman"/>
            <w:sz w:val="18"/>
            <w:szCs w:val="18"/>
            <w:u w:val="single" w:color="auto"/>
            <w:color w:val="0000EE"/>
          </w:rPr>
          <w:t>Press Release of ClearOne, Inc. dated August 14, 2019.</w:t>
        </w:r>
      </w:hyperlink>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information included in this Current Report on Form 8-K (including the exhibit hereto) is being furnished under Item 2.02, “Results of Operations and Financial Condition”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80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CLEARONE, INC.</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20, 2019</w:t>
            </w:r>
          </w:p>
        </w:tc>
        <w:tc>
          <w:tcPr>
            <w:tcW w:w="80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Zeynep Hakimoglu</w:t>
            </w:r>
          </w:p>
        </w:tc>
      </w:tr>
      <w:tr>
        <w:trPr>
          <w:trHeight w:val="191"/>
        </w:trPr>
        <w:tc>
          <w:tcPr>
            <w:tcW w:w="33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6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Zeynep Hakimoglu</w:t>
            </w:r>
          </w:p>
        </w:tc>
      </w:tr>
      <w:tr>
        <w:trPr>
          <w:trHeight w:val="216"/>
        </w:trPr>
        <w:tc>
          <w:tcPr>
            <w:tcW w:w="33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3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576" w:right="239" w:bottom="1440" w:gutter="0" w:footer="0" w:header="0"/>
        </w:sectPr>
      </w:pPr>
    </w:p>
    <w:bookmarkStart w:id="3" w:name="page4"/>
    <w:bookmarkEnd w:id="3"/>
    <w:p>
      <w:pPr>
        <w:ind w:left="104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286510" cy="197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651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auto"/>
        </w:rPr>
        <w:t>ClearOne Reports Second Quarter 2019 Financial Results</w:t>
      </w:r>
    </w:p>
    <w:p>
      <w:pPr>
        <w:spacing w:after="0" w:line="217"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18"/>
          <w:szCs w:val="18"/>
          <w:b w:val="1"/>
          <w:bCs w:val="1"/>
          <w:i w:val="1"/>
          <w:iCs w:val="1"/>
          <w:color w:val="auto"/>
        </w:rPr>
        <w:t>Q2 Video revenue up year-over-year by 16%</w:t>
      </w:r>
    </w:p>
    <w:p>
      <w:pPr>
        <w:spacing w:after="0" w:line="28" w:lineRule="exact"/>
        <w:rPr>
          <w:rFonts w:ascii="Times New Roman" w:cs="Times New Roman" w:eastAsia="Times New Roman" w:hAnsi="Times New Roman"/>
          <w:sz w:val="22"/>
          <w:szCs w:val="22"/>
          <w:b w:val="1"/>
          <w:bCs w:val="1"/>
          <w:i w:val="1"/>
          <w:iCs w:val="1"/>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Q2 Overall revenue down year-over-year by 8% — continued to be impacted by infringement of ClearOne’s strategic patents</w:t>
      </w:r>
    </w:p>
    <w:p>
      <w:pPr>
        <w:spacing w:after="0" w:line="7" w:lineRule="exact"/>
        <w:rPr>
          <w:rFonts w:ascii="Times New Roman" w:cs="Times New Roman" w:eastAsia="Times New Roman" w:hAnsi="Times New Roman"/>
          <w:sz w:val="18"/>
          <w:szCs w:val="18"/>
          <w:b w:val="1"/>
          <w:bCs w:val="1"/>
          <w:i w:val="1"/>
          <w:iCs w:val="1"/>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Non-GAAP Operating expenses declined by 22% year-over-year</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SALT LAKE CITY, Aug. 14, 2019 (GLOBE NEWSWIRE) -- ClearOne (NASDAQ: CLRO), a global provider of audio and visual communication solutions, reported financial results for the three and six month ended June 30, 2019.</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recent </w:t>
      </w:r>
      <w:r>
        <w:rPr>
          <w:rFonts w:ascii="Times New Roman" w:cs="Times New Roman" w:eastAsia="Times New Roman" w:hAnsi="Times New Roman"/>
          <w:sz w:val="18"/>
          <w:szCs w:val="18"/>
          <w:u w:val="single" w:color="auto"/>
          <w:color w:val="auto"/>
        </w:rPr>
        <w:t>decision by the U.S. District Court in the Northern District of Illinois granting our request for a preliminary injunction</w:t>
      </w:r>
      <w:r>
        <w:rPr>
          <w:rFonts w:ascii="Times New Roman" w:cs="Times New Roman" w:eastAsia="Times New Roman" w:hAnsi="Times New Roman"/>
          <w:sz w:val="18"/>
          <w:szCs w:val="18"/>
          <w:color w:val="auto"/>
        </w:rPr>
        <w:t xml:space="preserve"> to prevent Shure from manufacturing, marketing, and selling its competing ceiling microphone array in an infringing configuration is an incredibly valuable ruling for ClearOne and its business. It validates the strength and importance of ClearOne’s intellectual property rights, recognizes ClearOne’s innovations in this space, and stops Shure from further infringing ClearOne’s Graham patent (</w:t>
      </w:r>
      <w:r>
        <w:rPr>
          <w:rFonts w:ascii="Times New Roman" w:cs="Times New Roman" w:eastAsia="Times New Roman" w:hAnsi="Times New Roman"/>
          <w:sz w:val="18"/>
          <w:szCs w:val="18"/>
          <w:u w:val="single" w:color="auto"/>
          <w:color w:val="auto"/>
        </w:rPr>
        <w:t>U.S. Patent No.9,813,806</w:t>
      </w:r>
      <w:r>
        <w:rPr>
          <w:rFonts w:ascii="Times New Roman" w:cs="Times New Roman" w:eastAsia="Times New Roman" w:hAnsi="Times New Roman"/>
          <w:sz w:val="18"/>
          <w:szCs w:val="18"/>
          <w:color w:val="auto"/>
        </w:rPr>
        <w:t>) pending a full trial. We believe this ruling will help pave way for ClearOne’s recovery from the immense harm inflicted by Shure’s infringement of our valuable patents,” said Zee Hakimoglu, CEO and Chair of ClearOne.</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“ClearOne’s beamforming microphone array ceiling tile incorporating the innovative technology of the Graham Patent, the BMA CT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debuted in March this year and won multiple awards at Infocomm, the AV industry’s biggest annual show in North America, held in June. Continued growth in revenue from video products, critical acclaims received by </w:t>
      </w:r>
      <w:r>
        <w:rPr>
          <w:rFonts w:ascii="Times New Roman" w:cs="Times New Roman" w:eastAsia="Times New Roman" w:hAnsi="Times New Roman"/>
          <w:sz w:val="18"/>
          <w:szCs w:val="18"/>
          <w:u w:val="single" w:color="auto"/>
          <w:color w:val="auto"/>
        </w:rPr>
        <w:t>BMA CT</w:t>
      </w:r>
      <w:r>
        <w:rPr>
          <w:rFonts w:ascii="Times New Roman" w:cs="Times New Roman" w:eastAsia="Times New Roman" w:hAnsi="Times New Roman"/>
          <w:sz w:val="18"/>
          <w:szCs w:val="18"/>
          <w:color w:val="auto"/>
        </w:rPr>
        <w:t xml:space="preserve"> and the recent legal victory validate our strategy of unwavering focus on technological innovation, cost management and vigorous enforcement of our intellectual property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certain non-GAAP financial measures and reconciles those to GAAP measures in the attached tables.</w:t>
      </w:r>
    </w:p>
    <w:p>
      <w:pPr>
        <w:spacing w:after="0" w:line="225" w:lineRule="exact"/>
        <w:rPr>
          <w:sz w:val="20"/>
          <w:szCs w:val="20"/>
          <w:color w:val="auto"/>
        </w:rPr>
      </w:pPr>
    </w:p>
    <w:p>
      <w:pPr>
        <w:jc w:val="both"/>
        <w:ind w:left="340" w:hanging="332"/>
        <w:spacing w:after="0" w:line="261"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Q2 2019 revenue was $6.4 million, compared to $7.0 million in Q2 2018 and $6.3 million in Q1 2019. The year-over-year decrease reflects an impact of the on-going harm of infringement of ClearOne’s patents on its audio conferencing products and microphones. The patent infringement has also negatively impacted directly the revenue from ClearOne’s other products. We believe the sequential increase is due to the seasonality of second quarter being traditionally a better quarter for AV buying when compared to the first quarter.</w:t>
      </w:r>
    </w:p>
    <w:p>
      <w:pPr>
        <w:spacing w:after="0" w:line="180"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profit in Q2 2019 was $2.9 million compared to $3.3 million in Q2 2018 and $2.7 million in Q1 2019. GAAP gross profit margin was 46% in Q2 2019, compared to 47% in Q2 2018 and 43% in Q1 2019.</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 Q2 2019 were $5.0 million, compared to $6.2 million in Q2 2018 and $5.1 million in Q1 2019. Non-GAAP operating expenses in Q2 2019 were $4.7 million, compared to $5.8 million in Q2 2018 and $4.7 million in Q1 2019. The majority of the decrease in Q2 2019 operating expenses over Q2 2018 is attributable to decreases in employee related costs including benefits, allocations of overhead expenses, advertising costs and R&amp;D project related costs, partially offset by increase in marketing expenses related to tradeshows.</w:t>
      </w:r>
    </w:p>
    <w:p>
      <w:pPr>
        <w:spacing w:after="0" w:line="180"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loss in Q2 2019 was $2.1 million, or $0.13 per share, compared to net loss of $2.2 million, or $0.26 per share, in Q2 2018 and net loss of $2.3 million, or $0.14 per share, in Q1 2019. Net loss in Q2 2019 was largely caused by operating losses on account of reduction in revenue and associated gross profit. Net loss in Q2 2019 was lower than net loss in Q2 2018 largely due to reduced operating expenses offset by reduced gross profit and tax benefit. Non-GAAP net loss was $1.7 million, or $0.10 per share, in Q2 2019, compared to non-GAAP net loss of $1.8 million in Q2 2019 and non-GAAP net loss of $1.9 million, or $0.11 per share, in Q1 2019.</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Summary</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in 000, except per share)</w:t>
            </w:r>
          </w:p>
        </w:tc>
        <w:tc>
          <w:tcPr>
            <w:tcW w:w="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18"/>
                <w:szCs w:val="18"/>
                <w:color w:val="auto"/>
              </w:rPr>
            </w:pPr>
          </w:p>
        </w:tc>
        <w:tc>
          <w:tcPr>
            <w:tcW w:w="11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18"/>
                <w:szCs w:val="18"/>
                <w:color w:val="auto"/>
              </w:rPr>
            </w:pPr>
          </w:p>
        </w:tc>
        <w:tc>
          <w:tcPr>
            <w:tcW w:w="13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6,420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6,971</w:t>
            </w:r>
          </w:p>
        </w:tc>
        <w:tc>
          <w:tcPr>
            <w:tcW w:w="8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12,725</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14,260</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2,939</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3,250</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5,643</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7,349</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32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(2,972)</w:t>
            </w:r>
          </w:p>
        </w:tc>
        <w:tc>
          <w:tcPr>
            <w:tcW w:w="8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-29%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320" w:type="dxa"/>
            <w:vAlign w:val="bottom"/>
          </w:tcPr>
          <w:p>
            <w:pPr>
              <w:spacing w:after="0"/>
              <w:rPr>
                <w:sz w:val="18"/>
                <w:szCs w:val="18"/>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(5,414)</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(2,163)</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(4,009)</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32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(0.26)</w:t>
            </w:r>
          </w:p>
        </w:tc>
        <w:tc>
          <w:tcPr>
            <w:tcW w:w="8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-50%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320" w:type="dxa"/>
            <w:vAlign w:val="bottom"/>
          </w:tcPr>
          <w:p>
            <w:pPr>
              <w:spacing w:after="0"/>
              <w:rPr>
                <w:sz w:val="18"/>
                <w:szCs w:val="18"/>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(0.48)</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r>
      <w:tr>
        <w:trPr>
          <w:trHeight w:val="196"/>
        </w:trPr>
        <w:tc>
          <w:tcPr>
            <w:tcW w:w="20" w:type="dxa"/>
            <w:vAlign w:val="bottom"/>
          </w:tcPr>
          <w:p>
            <w:pPr>
              <w:spacing w:after="0"/>
              <w:rPr>
                <w:sz w:val="17"/>
                <w:szCs w:val="17"/>
                <w:color w:val="auto"/>
              </w:rPr>
            </w:pPr>
          </w:p>
        </w:tc>
        <w:tc>
          <w:tcPr>
            <w:tcW w:w="8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6"/>
              </w:rPr>
              <w:t>Non-GAAP</w:t>
            </w:r>
          </w:p>
        </w:tc>
        <w:tc>
          <w:tcPr>
            <w:tcW w:w="20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3,254</w:t>
            </w:r>
          </w:p>
        </w:tc>
        <w:tc>
          <w:tcPr>
            <w:tcW w:w="8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-10%</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5,647</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7,358</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operating loss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(2,558)</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-33%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(4,515)</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net loss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32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(1,837)</w:t>
            </w:r>
          </w:p>
        </w:tc>
        <w:tc>
          <w:tcPr>
            <w:tcW w:w="8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320" w:type="dxa"/>
            <w:vAlign w:val="bottom"/>
          </w:tcPr>
          <w:p>
            <w:pPr>
              <w:spacing w:after="0"/>
              <w:rPr>
                <w:sz w:val="18"/>
                <w:szCs w:val="18"/>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(3,303)</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Adjusted EBITDA</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(2,384)</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-36%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(4,185)</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2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loss per share (diluted)</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32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(0.22)</w:t>
            </w:r>
          </w:p>
        </w:tc>
        <w:tc>
          <w:tcPr>
            <w:tcW w:w="82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-55%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32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(0.40)</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Highlights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June 30, 2019, cash, cash equivalents and investments were $12.3 million, as compared with $15.9 million at December 31, 2018. The Company continued to have no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ClearOne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Visit ClearOne at </w:t>
      </w:r>
      <w:r>
        <w:rPr>
          <w:rFonts w:ascii="Times New Roman" w:cs="Times New Roman" w:eastAsia="Times New Roman" w:hAnsi="Times New Roman"/>
          <w:sz w:val="18"/>
          <w:szCs w:val="18"/>
          <w:u w:val="single" w:color="auto"/>
          <w:color w:val="auto"/>
        </w:rPr>
        <w:t>www.clearone.com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on a GAAP basis, ClearOne uses non-GAAP measures of gross profit, operating income (loss), net income (loss), adjusted Earnings Before Interest, Taxes, Depreciation and Amortization (EBITDA) and net income (loss) per share, which are 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 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 as a substitute for gross profit, operating income (loss), net income (loss), income (loss)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with this release below.</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Annual Report on Form 10-K (the “10-K”) filed by the Company for the same period with the Securities and Exchange Commission (the “SEC”) and all of the Company’s other public filings with the SEC (the “Public Filings”). In particular, the financial information contained herein is subject to and qualified by reference to the financial statements contained in the 10-Q, including the footnotes thereto, as well as the Company’s annual report on Form 10-K for the year ended December 31, 2018 (the “10-K”), the footnotes thereto and the limitations set forth therein. Investors may not rely on the press release without reference to the 10-Q, the 10-K and the Public Filings.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801-975-7200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investor_relations@clearone.com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http://investors.clearone.com</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par value)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8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ind w:left="36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2,352</w:t>
            </w: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3,092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net of allowance for doubtful accounts of $671 and $631, respectively</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6,491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12,258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25,395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6,854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inventories, net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7,715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 right of use assets, net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2,684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11,871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55,907</w:t>
            </w: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58,915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20" w:type="dxa"/>
            <w:vAlign w:val="bottom"/>
            <w:tcBorders>
              <w:top w:val="single" w:sz="8" w:color="CCEEFF"/>
            </w:tcBorders>
          </w:tcPr>
          <w:p>
            <w:pPr>
              <w:ind w:left="20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1,979</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2,813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Deferred product revenue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5,031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2,269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7,871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$0.001, 50,000,000 shares authorized, 16,646,323 and 16,630,597 shares issued and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57,985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(9,922)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48,036</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55,907</w:t>
            </w: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values)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60" w:type="dxa"/>
            <w:vAlign w:val="bottom"/>
          </w:tcPr>
          <w:p>
            <w:pPr>
              <w:spacing w:after="0"/>
              <w:rPr>
                <w:sz w:val="20"/>
                <w:szCs w:val="20"/>
                <w:color w:val="auto"/>
              </w:rPr>
            </w:pPr>
          </w:p>
        </w:tc>
        <w:tc>
          <w:tcPr>
            <w:tcW w:w="244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6,420</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12,725</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2,760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1,920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1,542</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(2,972)</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(2,923)</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(2,098)</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(2,163)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(4,447)</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16,630,770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8,301,094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16,630,684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8,304,093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16,630,770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8,301,094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16,630,684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8,304,093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(0.13)</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(0.27)</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(0.13)</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(0.27)</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(2,098)</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(4,447)</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available-for-sale securities, net of tax</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(2,005)</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(4,310)</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 OF GAAP MEASURES TO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values)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60" w:type="dxa"/>
            <w:vAlign w:val="bottom"/>
          </w:tcPr>
          <w:p>
            <w:pPr>
              <w:spacing w:after="0"/>
              <w:rPr>
                <w:sz w:val="20"/>
                <w:szCs w:val="20"/>
                <w:color w:val="auto"/>
              </w:rPr>
            </w:pPr>
          </w:p>
        </w:tc>
        <w:tc>
          <w:tcPr>
            <w:tcW w:w="244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gross profit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2,939</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5,643</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gross profit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2,941</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5,647</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7,358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operating loss</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(2,104)</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(2,972)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(4,495)</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Legal expenses, acquisition expenses, restructuring expenses, etc. not related to</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1"/>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regular operations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operating loss</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(1,713)</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(2,558)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(3,666)</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(4,515)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net loss</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(2,098)</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(4,447)</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Legal expenses, acquisition expenses, restructuring expenses, etc. not related to</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regular operations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non-GAAP adjustments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Non-GAAP net loss</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(1,707)</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(3,618)</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loss</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(2,098)</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(2,163)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(4,447)</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computing GAAP loss per share (diluted)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16,630,770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8,301,094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16,630,684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8,304,093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loss per share (diluted)</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(0.13)</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(0.27)</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loss</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(1,707)</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(3,618)</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used in computing Non-GAAP loss per share (diluted)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16,630,770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8,301,094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16,630,684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8,304,093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loss per share (diluted)</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(0.10)</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(0.22)</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net loss</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(2,098)</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(4,447)</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Legal expenses, acquisition expenses, restructuring expenses, etc. not related to</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regular operations</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Adjusted EBITDA</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(1,536)</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(3,315)</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 of 6</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2019-12-28T07:02:04Z</dcterms:created>
  <dcterms:modified xsi:type="dcterms:W3CDTF">2019-12-28T07:02:04Z</dcterms:modified>
</cp:coreProperties>
</file>