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54"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(Amendment No. 3 )</w:t>
      </w:r>
      <w:r>
        <w:rPr>
          <w:rFonts w:ascii="Arial" w:cs="Arial" w:eastAsia="Arial" w:hAnsi="Arial"/>
          <w:sz w:val="36"/>
          <w:szCs w:val="36"/>
          <w:b w:val="1"/>
          <w:bCs w:val="1"/>
          <w:color w:val="auto"/>
          <w:vertAlign w:val="superscript"/>
        </w:rPr>
        <w:t>*</w:t>
      </w:r>
    </w:p>
    <w:p>
      <w:pPr>
        <w:spacing w:after="0" w:line="200" w:lineRule="exact"/>
        <w:rPr>
          <w:sz w:val="24"/>
          <w:szCs w:val="24"/>
          <w:color w:val="auto"/>
        </w:rPr>
      </w:pPr>
    </w:p>
    <w:p>
      <w:pPr>
        <w:spacing w:after="0" w:line="382"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ClearOne,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8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504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18506U104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840"/>
        <w:spacing w:after="0"/>
        <w:rPr>
          <w:sz w:val="20"/>
          <w:szCs w:val="20"/>
          <w:color w:val="auto"/>
        </w:rPr>
      </w:pPr>
      <w:r>
        <w:rPr>
          <w:rFonts w:ascii="Arial" w:cs="Arial" w:eastAsia="Arial" w:hAnsi="Arial"/>
          <w:sz w:val="22"/>
          <w:szCs w:val="22"/>
          <w:color w:val="auto"/>
        </w:rPr>
        <w:t>December 29,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32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660" w:firstLine="2"/>
        <w:spacing w:after="0" w:line="348" w:lineRule="auto"/>
        <w:tabs>
          <w:tab w:leader="none" w:pos="186" w:val="left"/>
        </w:tabs>
        <w:numPr>
          <w:ilvl w:val="1"/>
          <w:numId w:val="1"/>
        </w:numPr>
        <w:rPr>
          <w:rFonts w:ascii="Arial" w:cs="Arial" w:eastAsia="Arial" w:hAnsi="Arial"/>
          <w:sz w:val="21"/>
          <w:szCs w:val="21"/>
          <w:color w:val="auto"/>
        </w:rPr>
      </w:pPr>
      <w:r>
        <w:rPr>
          <w:rFonts w:ascii="Arial" w:cs="Arial" w:eastAsia="Arial" w:hAnsi="Arial"/>
          <w:sz w:val="21"/>
          <w:szCs w:val="21"/>
          <w:color w:val="auto"/>
        </w:rPr>
        <w:t>] Rule 13d-1(b) [X] Rule 13d-1(c)</w:t>
      </w:r>
    </w:p>
    <w:p>
      <w:pPr>
        <w:spacing w:after="0" w:line="1" w:lineRule="exact"/>
        <w:rPr>
          <w:rFonts w:ascii="Arial" w:cs="Arial" w:eastAsia="Arial" w:hAnsi="Arial"/>
          <w:sz w:val="21"/>
          <w:szCs w:val="21"/>
          <w:color w:val="auto"/>
        </w:rPr>
      </w:pPr>
    </w:p>
    <w:p>
      <w:pPr>
        <w:ind w:left="180" w:hanging="118"/>
        <w:spacing w:after="0"/>
        <w:tabs>
          <w:tab w:leader="none" w:pos="180" w:val="left"/>
        </w:tabs>
        <w:numPr>
          <w:ilvl w:val="1"/>
          <w:numId w:val="1"/>
        </w:numPr>
        <w:rPr>
          <w:rFonts w:ascii="Arial" w:cs="Arial" w:eastAsia="Arial" w:hAnsi="Arial"/>
          <w:sz w:val="22"/>
          <w:szCs w:val="22"/>
          <w:color w:val="auto"/>
        </w:rPr>
      </w:pPr>
      <w:r>
        <w:rPr>
          <w:rFonts w:ascii="Arial" w:cs="Arial" w:eastAsia="Arial" w:hAnsi="Arial"/>
          <w:sz w:val="22"/>
          <w:szCs w:val="22"/>
          <w:color w:val="auto"/>
        </w:rPr>
        <w:t>]  Rule 13d-1(d)</w:t>
      </w:r>
    </w:p>
    <w:p>
      <w:pPr>
        <w:spacing w:after="0" w:line="267" w:lineRule="exact"/>
        <w:rPr>
          <w:rFonts w:ascii="Arial" w:cs="Arial" w:eastAsia="Arial" w:hAnsi="Arial"/>
          <w:sz w:val="22"/>
          <w:szCs w:val="22"/>
          <w:color w:val="auto"/>
        </w:rPr>
      </w:pPr>
    </w:p>
    <w:p>
      <w:pPr>
        <w:spacing w:after="0" w:line="210" w:lineRule="auto"/>
        <w:rPr>
          <w:rFonts w:ascii="Arial" w:cs="Arial" w:eastAsia="Arial" w:hAnsi="Arial"/>
          <w:sz w:val="22"/>
          <w:szCs w:val="22"/>
          <w:color w:val="auto"/>
        </w:rPr>
      </w:pPr>
      <w:r>
        <w:rPr>
          <w:rFonts w:ascii="Arial" w:cs="Arial" w:eastAsia="Arial" w:hAnsi="Arial"/>
          <w:sz w:val="36"/>
          <w:szCs w:val="36"/>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7" w:lineRule="exact"/>
        <w:rPr>
          <w:sz w:val="24"/>
          <w:szCs w:val="24"/>
          <w:color w:val="auto"/>
        </w:rPr>
      </w:pPr>
    </w:p>
    <w:p>
      <w:pPr>
        <w:jc w:val="both"/>
        <w:ind w:right="10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360"/>
          </w:cols>
          <w:pgMar w:left="240" w:top="220" w:right="299" w:bottom="1440" w:gutter="0" w:footer="0" w:header="0"/>
        </w:sectPr>
      </w:pPr>
    </w:p>
    <w:bookmarkStart w:id="1" w:name="page2"/>
    <w:bookmarkEnd w:id="1"/>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18506U104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8" w:lineRule="exact"/>
        <w:rPr>
          <w:sz w:val="20"/>
          <w:szCs w:val="20"/>
          <w:color w:val="auto"/>
        </w:rPr>
      </w:pPr>
    </w:p>
    <w:p>
      <w:pPr>
        <w:ind w:left="120"/>
        <w:spacing w:after="0"/>
        <w:tabs>
          <w:tab w:leader="none" w:pos="1800" w:val="left"/>
        </w:tabs>
        <w:rPr>
          <w:sz w:val="20"/>
          <w:szCs w:val="20"/>
          <w:color w:val="auto"/>
        </w:rPr>
      </w:pPr>
      <w:r>
        <w:rPr>
          <w:rFonts w:ascii="Arial" w:cs="Arial" w:eastAsia="Arial" w:hAnsi="Arial"/>
          <w:sz w:val="22"/>
          <w:szCs w:val="22"/>
          <w:color w:val="auto"/>
        </w:rPr>
        <w:t>1.</w:t>
      </w:r>
      <w:r>
        <w:rPr>
          <w:sz w:val="20"/>
          <w:szCs w:val="20"/>
          <w:color w:val="auto"/>
        </w:rPr>
        <w:tab/>
      </w:r>
      <w:r>
        <w:rPr>
          <w:rFonts w:ascii="Arial" w:cs="Arial" w:eastAsia="Arial" w:hAnsi="Arial"/>
          <w:sz w:val="22"/>
          <w:szCs w:val="22"/>
          <w:color w:val="auto"/>
        </w:rPr>
        <w:t>NAMES OF REPORTING PERSONS</w:t>
      </w:r>
    </w:p>
    <w:p>
      <w:pPr>
        <w:spacing w:after="0" w:line="233" w:lineRule="exact"/>
        <w:rPr>
          <w:sz w:val="20"/>
          <w:szCs w:val="20"/>
          <w:color w:val="auto"/>
        </w:rPr>
      </w:pPr>
    </w:p>
    <w:p>
      <w:pPr>
        <w:ind w:left="1820" w:right="420"/>
        <w:spacing w:after="0" w:line="251" w:lineRule="auto"/>
        <w:rPr>
          <w:sz w:val="20"/>
          <w:szCs w:val="20"/>
          <w:color w:val="auto"/>
        </w:rPr>
      </w:pPr>
      <w:r>
        <w:rPr>
          <w:rFonts w:ascii="Arial" w:cs="Arial" w:eastAsia="Arial" w:hAnsi="Arial"/>
          <w:sz w:val="22"/>
          <w:szCs w:val="22"/>
          <w:color w:val="auto"/>
        </w:rPr>
        <w:t>Wellington Trust Company, National Association Multiple Common Trust Funds Trust, Micro Cap Equity Portfolio</w:t>
      </w:r>
    </w:p>
    <w:p>
      <w:pPr>
        <w:spacing w:after="0" w:line="173" w:lineRule="exact"/>
        <w:rPr>
          <w:sz w:val="20"/>
          <w:szCs w:val="20"/>
          <w:color w:val="auto"/>
        </w:rPr>
      </w:pPr>
    </w:p>
    <w:tbl>
      <w:tblPr>
        <w:tblLayout w:type="fixed"/>
        <w:tblInd w:w="120" w:type="dxa"/>
        <w:tblCellMar>
          <w:top w:w="0" w:type="dxa"/>
          <w:left w:w="0" w:type="dxa"/>
          <w:bottom w:w="0" w:type="dxa"/>
          <w:right w:w="0" w:type="dxa"/>
        </w:tblCellMar>
      </w:tblPr>
      <w:tr>
        <w:trPr>
          <w:trHeight w:val="275"/>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6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5"/>
        </w:trPr>
        <w:tc>
          <w:tcPr>
            <w:tcW w:w="920" w:type="dxa"/>
            <w:vAlign w:val="bottom"/>
          </w:tcPr>
          <w:p>
            <w:pPr>
              <w:spacing w:after="0"/>
              <w:rPr>
                <w:sz w:val="23"/>
                <w:szCs w:val="23"/>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6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6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Massachusetts</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74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640" w:type="dxa"/>
            <w:vAlign w:val="bottom"/>
          </w:tcPr>
          <w:p>
            <w:pPr>
              <w:spacing w:after="0"/>
              <w:rPr>
                <w:sz w:val="23"/>
                <w:szCs w:val="23"/>
                <w:color w:val="auto"/>
              </w:rPr>
            </w:pPr>
          </w:p>
        </w:tc>
        <w:tc>
          <w:tcPr>
            <w:tcW w:w="7880" w:type="dxa"/>
            <w:vAlign w:val="bottom"/>
          </w:tcPr>
          <w:p>
            <w:pPr>
              <w:spacing w:after="0"/>
              <w:rPr>
                <w:sz w:val="20"/>
                <w:szCs w:val="20"/>
                <w:color w:val="auto"/>
              </w:rPr>
            </w:pPr>
            <w:r>
              <w:rPr>
                <w:rFonts w:ascii="Arial" w:cs="Arial" w:eastAsia="Arial" w:hAnsi="Arial"/>
                <w:sz w:val="22"/>
                <w:szCs w:val="22"/>
                <w:color w:val="auto"/>
              </w:rPr>
              <w:t>5. SOLE VOTING POWER</w:t>
            </w:r>
          </w:p>
        </w:tc>
        <w:tc>
          <w:tcPr>
            <w:tcW w:w="1160" w:type="dxa"/>
            <w:vAlign w:val="bottom"/>
          </w:tcPr>
          <w:p>
            <w:pPr>
              <w:jc w:val="right"/>
              <w:ind w:right="492"/>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4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78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640" w:type="dxa"/>
            <w:vAlign w:val="bottom"/>
          </w:tcPr>
          <w:p>
            <w:pPr>
              <w:spacing w:after="0"/>
              <w:rPr>
                <w:sz w:val="21"/>
                <w:szCs w:val="21"/>
                <w:color w:val="auto"/>
              </w:rPr>
            </w:pPr>
          </w:p>
        </w:tc>
        <w:tc>
          <w:tcPr>
            <w:tcW w:w="7880" w:type="dxa"/>
            <w:vAlign w:val="bottom"/>
            <w:vMerge w:val="restart"/>
          </w:tcPr>
          <w:p>
            <w:pPr>
              <w:spacing w:after="0"/>
              <w:rPr>
                <w:sz w:val="20"/>
                <w:szCs w:val="20"/>
                <w:color w:val="auto"/>
              </w:rPr>
            </w:pPr>
            <w:r>
              <w:rPr>
                <w:rFonts w:ascii="Arial" w:cs="Arial" w:eastAsia="Arial" w:hAnsi="Arial"/>
                <w:sz w:val="22"/>
                <w:szCs w:val="22"/>
                <w:color w:val="auto"/>
              </w:rPr>
              <w:t>6. SHARED VOTING POWER</w:t>
            </w:r>
          </w:p>
        </w:tc>
        <w:tc>
          <w:tcPr>
            <w:tcW w:w="1160" w:type="dxa"/>
            <w:vAlign w:val="bottom"/>
            <w:vMerge w:val="restart"/>
          </w:tcPr>
          <w:p>
            <w:pPr>
              <w:jc w:val="right"/>
              <w:ind w:right="492"/>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66"/>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640" w:type="dxa"/>
            <w:vAlign w:val="bottom"/>
          </w:tcPr>
          <w:p>
            <w:pPr>
              <w:spacing w:after="0"/>
              <w:rPr>
                <w:sz w:val="14"/>
                <w:szCs w:val="14"/>
                <w:color w:val="auto"/>
              </w:rPr>
            </w:pPr>
          </w:p>
        </w:tc>
        <w:tc>
          <w:tcPr>
            <w:tcW w:w="78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4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78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7880" w:type="dxa"/>
            <w:vAlign w:val="bottom"/>
            <w:vMerge w:val="restart"/>
          </w:tcPr>
          <w:p>
            <w:pPr>
              <w:spacing w:after="0"/>
              <w:rPr>
                <w:sz w:val="20"/>
                <w:szCs w:val="20"/>
                <w:color w:val="auto"/>
              </w:rPr>
            </w:pPr>
            <w:r>
              <w:rPr>
                <w:rFonts w:ascii="Arial" w:cs="Arial" w:eastAsia="Arial" w:hAnsi="Arial"/>
                <w:sz w:val="22"/>
                <w:szCs w:val="22"/>
                <w:color w:val="auto"/>
              </w:rPr>
              <w:t>7. SOLE DISPOSITIVE POWER</w:t>
            </w:r>
          </w:p>
        </w:tc>
        <w:tc>
          <w:tcPr>
            <w:tcW w:w="1160" w:type="dxa"/>
            <w:vAlign w:val="bottom"/>
            <w:vMerge w:val="restart"/>
          </w:tcPr>
          <w:p>
            <w:pPr>
              <w:jc w:val="right"/>
              <w:ind w:right="492"/>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640" w:type="dxa"/>
            <w:vAlign w:val="bottom"/>
          </w:tcPr>
          <w:p>
            <w:pPr>
              <w:spacing w:after="0"/>
              <w:rPr>
                <w:sz w:val="12"/>
                <w:szCs w:val="12"/>
                <w:color w:val="auto"/>
              </w:rPr>
            </w:pPr>
          </w:p>
        </w:tc>
        <w:tc>
          <w:tcPr>
            <w:tcW w:w="7880" w:type="dxa"/>
            <w:vAlign w:val="bottom"/>
            <w:vMerge w:val="continue"/>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4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78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74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640" w:type="dxa"/>
            <w:vAlign w:val="bottom"/>
          </w:tcPr>
          <w:p>
            <w:pPr>
              <w:spacing w:after="0"/>
              <w:rPr>
                <w:sz w:val="23"/>
                <w:szCs w:val="23"/>
                <w:color w:val="auto"/>
              </w:rPr>
            </w:pPr>
          </w:p>
        </w:tc>
        <w:tc>
          <w:tcPr>
            <w:tcW w:w="7880" w:type="dxa"/>
            <w:vAlign w:val="bottom"/>
            <w:vMerge w:val="restart"/>
          </w:tcPr>
          <w:p>
            <w:pPr>
              <w:spacing w:after="0"/>
              <w:rPr>
                <w:sz w:val="20"/>
                <w:szCs w:val="20"/>
                <w:color w:val="auto"/>
              </w:rPr>
            </w:pPr>
            <w:r>
              <w:rPr>
                <w:rFonts w:ascii="Arial" w:cs="Arial" w:eastAsia="Arial" w:hAnsi="Arial"/>
                <w:sz w:val="22"/>
                <w:szCs w:val="22"/>
                <w:color w:val="auto"/>
              </w:rPr>
              <w:t>8. SHARED DISPOSITIVE POWER</w:t>
            </w:r>
          </w:p>
        </w:tc>
        <w:tc>
          <w:tcPr>
            <w:tcW w:w="1160" w:type="dxa"/>
            <w:vAlign w:val="bottom"/>
            <w:vMerge w:val="restart"/>
          </w:tcPr>
          <w:p>
            <w:pPr>
              <w:jc w:val="right"/>
              <w:ind w:right="492"/>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81"/>
        </w:trPr>
        <w:tc>
          <w:tcPr>
            <w:tcW w:w="1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7880" w:type="dxa"/>
            <w:vAlign w:val="bottom"/>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9.</w:t>
            </w:r>
          </w:p>
        </w:tc>
        <w:tc>
          <w:tcPr>
            <w:tcW w:w="8520" w:type="dxa"/>
            <w:vAlign w:val="bottom"/>
            <w:gridSpan w:val="2"/>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0</w:t>
            </w:r>
          </w:p>
        </w:tc>
        <w:tc>
          <w:tcPr>
            <w:tcW w:w="78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10.</w:t>
            </w:r>
          </w:p>
        </w:tc>
        <w:tc>
          <w:tcPr>
            <w:tcW w:w="8520" w:type="dxa"/>
            <w:vAlign w:val="bottom"/>
            <w:gridSpan w:val="2"/>
          </w:tcPr>
          <w:p>
            <w:pPr>
              <w:ind w:left="80"/>
              <w:spacing w:after="0"/>
              <w:rPr>
                <w:sz w:val="20"/>
                <w:szCs w:val="20"/>
                <w:color w:val="auto"/>
              </w:rPr>
            </w:pPr>
            <w:r>
              <w:rPr>
                <w:rFonts w:ascii="Arial" w:cs="Arial" w:eastAsia="Arial" w:hAnsi="Arial"/>
                <w:sz w:val="22"/>
                <w:szCs w:val="22"/>
                <w:color w:val="auto"/>
                <w:w w:val="99"/>
              </w:rPr>
              <w:t>CHECK IF THE AGGREGATE AMOUNT IN ROW (9) EXCLUDES CERTAIN SHARES</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 ]</w:t>
            </w:r>
          </w:p>
        </w:tc>
        <w:tc>
          <w:tcPr>
            <w:tcW w:w="78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11.</w:t>
            </w:r>
          </w:p>
        </w:tc>
        <w:tc>
          <w:tcPr>
            <w:tcW w:w="8520" w:type="dxa"/>
            <w:vAlign w:val="bottom"/>
            <w:gridSpan w:val="2"/>
          </w:tcPr>
          <w:p>
            <w:pPr>
              <w:ind w:left="80"/>
              <w:spacing w:after="0"/>
              <w:rPr>
                <w:sz w:val="20"/>
                <w:szCs w:val="20"/>
                <w:color w:val="auto"/>
              </w:rPr>
            </w:pPr>
            <w:r>
              <w:rPr>
                <w:rFonts w:ascii="Arial" w:cs="Arial" w:eastAsia="Arial" w:hAnsi="Arial"/>
                <w:sz w:val="22"/>
                <w:szCs w:val="22"/>
                <w:color w:val="auto"/>
              </w:rPr>
              <w:t>PERCENT OF CLASS REPRESENTED BY AMOUNT IN ROW (9)</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w w:val="86"/>
              </w:rPr>
              <w:t>0.00%</w:t>
            </w:r>
          </w:p>
        </w:tc>
        <w:tc>
          <w:tcPr>
            <w:tcW w:w="78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12.</w:t>
            </w:r>
          </w:p>
        </w:tc>
        <w:tc>
          <w:tcPr>
            <w:tcW w:w="8520" w:type="dxa"/>
            <w:vAlign w:val="bottom"/>
            <w:gridSpan w:val="2"/>
          </w:tcPr>
          <w:p>
            <w:pPr>
              <w:ind w:left="80"/>
              <w:spacing w:after="0"/>
              <w:rPr>
                <w:sz w:val="20"/>
                <w:szCs w:val="20"/>
                <w:color w:val="auto"/>
              </w:rPr>
            </w:pPr>
            <w:r>
              <w:rPr>
                <w:rFonts w:ascii="Arial" w:cs="Arial" w:eastAsia="Arial" w:hAnsi="Arial"/>
                <w:sz w:val="22"/>
                <w:szCs w:val="22"/>
                <w:color w:val="auto"/>
              </w:rPr>
              <w:t>TYPE OF REPORTING PERSON</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OO</w:t>
            </w:r>
          </w:p>
        </w:tc>
        <w:tc>
          <w:tcPr>
            <w:tcW w:w="78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788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88" w:right="239" w:bottom="1440" w:gutter="0" w:footer="0" w:header="0"/>
        </w:sectPr>
      </w:pPr>
    </w:p>
    <w:bookmarkStart w:id="2" w:name="page3"/>
    <w:bookmarkEnd w:id="2"/>
    <w:p>
      <w:pPr>
        <w:spacing w:after="0" w:line="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w:t>
      </w:r>
    </w:p>
    <w:p>
      <w:pPr>
        <w:spacing w:after="0" w:line="125" w:lineRule="exact"/>
        <w:rPr>
          <w:sz w:val="20"/>
          <w:szCs w:val="20"/>
          <w:color w:val="auto"/>
        </w:rPr>
      </w:pPr>
    </w:p>
    <w:p>
      <w:pPr>
        <w:ind w:left="1780" w:right="8080" w:hanging="407"/>
        <w:spacing w:after="0" w:line="335" w:lineRule="auto"/>
        <w:tabs>
          <w:tab w:leader="none" w:pos="1780"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Issuer </w:t>
      </w:r>
      <w:r>
        <w:rPr>
          <w:rFonts w:ascii="Arial" w:cs="Arial" w:eastAsia="Arial" w:hAnsi="Arial"/>
          <w:sz w:val="19"/>
          <w:szCs w:val="19"/>
          <w:color w:val="auto"/>
        </w:rPr>
        <w:t>ClearOne, Inc.</w:t>
      </w:r>
    </w:p>
    <w:p>
      <w:pPr>
        <w:spacing w:after="0" w:line="11" w:lineRule="exact"/>
        <w:rPr>
          <w:rFonts w:ascii="Arial" w:cs="Arial" w:eastAsia="Arial" w:hAnsi="Arial"/>
          <w:sz w:val="19"/>
          <w:szCs w:val="19"/>
          <w:b w:val="1"/>
          <w:bCs w:val="1"/>
          <w:color w:val="auto"/>
        </w:rPr>
      </w:pPr>
    </w:p>
    <w:p>
      <w:pPr>
        <w:ind w:left="1780" w:right="5180" w:hanging="407"/>
        <w:spacing w:after="0" w:line="242" w:lineRule="auto"/>
        <w:tabs>
          <w:tab w:leader="none" w:pos="17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Issuer's Principal Executive Offices </w:t>
      </w:r>
      <w:r>
        <w:rPr>
          <w:rFonts w:ascii="Arial" w:cs="Arial" w:eastAsia="Arial" w:hAnsi="Arial"/>
          <w:sz w:val="22"/>
          <w:szCs w:val="22"/>
          <w:color w:val="auto"/>
        </w:rPr>
        <w:t>5225 Wiley Post Way</w:t>
      </w:r>
    </w:p>
    <w:p>
      <w:pPr>
        <w:ind w:left="1780"/>
        <w:spacing w:after="0" w:line="230" w:lineRule="auto"/>
        <w:rPr>
          <w:rFonts w:ascii="Arial" w:cs="Arial" w:eastAsia="Arial" w:hAnsi="Arial"/>
          <w:sz w:val="22"/>
          <w:szCs w:val="22"/>
          <w:b w:val="1"/>
          <w:bCs w:val="1"/>
          <w:color w:val="auto"/>
        </w:rPr>
      </w:pPr>
      <w:r>
        <w:rPr>
          <w:rFonts w:ascii="Arial" w:cs="Arial" w:eastAsia="Arial" w:hAnsi="Arial"/>
          <w:sz w:val="22"/>
          <w:szCs w:val="22"/>
          <w:color w:val="auto"/>
        </w:rPr>
        <w:t>Suite 500</w:t>
      </w: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Salt Lake City, UT 84116</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780" w:hanging="407"/>
        <w:spacing w:after="0"/>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Name of Person Filing</w:t>
      </w:r>
    </w:p>
    <w:p>
      <w:pPr>
        <w:spacing w:after="0" w:line="14" w:lineRule="exact"/>
        <w:rPr>
          <w:rFonts w:ascii="Arial" w:cs="Arial" w:eastAsia="Arial" w:hAnsi="Arial"/>
          <w:sz w:val="22"/>
          <w:szCs w:val="22"/>
          <w:b w:val="1"/>
          <w:bCs w:val="1"/>
          <w:color w:val="auto"/>
        </w:rPr>
      </w:pPr>
    </w:p>
    <w:p>
      <w:pPr>
        <w:ind w:left="1780" w:right="300"/>
        <w:spacing w:after="0" w:line="237" w:lineRule="auto"/>
        <w:rPr>
          <w:rFonts w:ascii="Arial" w:cs="Arial" w:eastAsia="Arial" w:hAnsi="Arial"/>
          <w:sz w:val="22"/>
          <w:szCs w:val="22"/>
          <w:b w:val="1"/>
          <w:bCs w:val="1"/>
          <w:color w:val="auto"/>
        </w:rPr>
      </w:pPr>
      <w:r>
        <w:rPr>
          <w:rFonts w:ascii="Arial" w:cs="Arial" w:eastAsia="Arial" w:hAnsi="Arial"/>
          <w:sz w:val="22"/>
          <w:szCs w:val="22"/>
          <w:color w:val="auto"/>
        </w:rPr>
        <w:t>Wellington Trust Company, National Association Multiple Common Trust Funds Trust, Micro Cap Equity Portfolio</w:t>
      </w:r>
    </w:p>
    <w:p>
      <w:pPr>
        <w:spacing w:after="0" w:line="97" w:lineRule="exact"/>
        <w:rPr>
          <w:rFonts w:ascii="Arial" w:cs="Arial" w:eastAsia="Arial" w:hAnsi="Arial"/>
          <w:sz w:val="22"/>
          <w:szCs w:val="22"/>
          <w:b w:val="1"/>
          <w:bCs w:val="1"/>
          <w:color w:val="auto"/>
        </w:rPr>
      </w:pPr>
    </w:p>
    <w:p>
      <w:pPr>
        <w:ind w:left="1780" w:right="4080" w:hanging="407"/>
        <w:spacing w:after="0" w:line="242" w:lineRule="auto"/>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Principal Business Office or, if None, Residence </w:t>
      </w:r>
      <w:r>
        <w:rPr>
          <w:rFonts w:ascii="Arial" w:cs="Arial" w:eastAsia="Arial" w:hAnsi="Arial"/>
          <w:sz w:val="22"/>
          <w:szCs w:val="22"/>
          <w:color w:val="auto"/>
        </w:rPr>
        <w:t>c/o Wellington Trust Company</w:t>
      </w:r>
    </w:p>
    <w:p>
      <w:pPr>
        <w:ind w:left="1780" w:right="7740"/>
        <w:spacing w:after="0" w:line="339" w:lineRule="auto"/>
        <w:rPr>
          <w:rFonts w:ascii="Arial" w:cs="Arial" w:eastAsia="Arial" w:hAnsi="Arial"/>
          <w:sz w:val="22"/>
          <w:szCs w:val="22"/>
          <w:b w:val="1"/>
          <w:bCs w:val="1"/>
          <w:color w:val="auto"/>
        </w:rPr>
      </w:pPr>
      <w:r>
        <w:rPr>
          <w:rFonts w:ascii="Arial" w:cs="Arial" w:eastAsia="Arial" w:hAnsi="Arial"/>
          <w:sz w:val="18"/>
          <w:szCs w:val="18"/>
          <w:color w:val="auto"/>
        </w:rPr>
        <w:t>280 Congress Street Boston, MA 02210</w:t>
      </w:r>
    </w:p>
    <w:p>
      <w:pPr>
        <w:spacing w:after="0" w:line="12" w:lineRule="exact"/>
        <w:rPr>
          <w:rFonts w:ascii="Arial" w:cs="Arial" w:eastAsia="Arial" w:hAnsi="Arial"/>
          <w:sz w:val="22"/>
          <w:szCs w:val="22"/>
          <w:b w:val="1"/>
          <w:bCs w:val="1"/>
          <w:color w:val="auto"/>
        </w:rPr>
      </w:pPr>
    </w:p>
    <w:p>
      <w:pPr>
        <w:ind w:left="1780" w:right="8240" w:hanging="407"/>
        <w:spacing w:after="0" w:line="360" w:lineRule="auto"/>
        <w:tabs>
          <w:tab w:leader="none" w:pos="17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Citizenship </w:t>
      </w:r>
      <w:r>
        <w:rPr>
          <w:rFonts w:ascii="Arial" w:cs="Arial" w:eastAsia="Arial" w:hAnsi="Arial"/>
          <w:sz w:val="18"/>
          <w:szCs w:val="18"/>
          <w:color w:val="auto"/>
        </w:rPr>
        <w:t>Massachusetts</w:t>
      </w:r>
    </w:p>
    <w:p>
      <w:pPr>
        <w:ind w:left="1780" w:right="708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1" w:lineRule="exact"/>
        <w:rPr>
          <w:rFonts w:ascii="Arial" w:cs="Arial" w:eastAsia="Arial" w:hAnsi="Arial"/>
          <w:sz w:val="19"/>
          <w:szCs w:val="19"/>
          <w:b w:val="1"/>
          <w:bCs w:val="1"/>
          <w:color w:val="auto"/>
        </w:rPr>
      </w:pPr>
    </w:p>
    <w:p>
      <w:pPr>
        <w:ind w:left="1780" w:right="802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18506U104</w:t>
      </w:r>
    </w:p>
    <w:p>
      <w:pPr>
        <w:spacing w:after="0" w:line="11" w:lineRule="exact"/>
        <w:rPr>
          <w:sz w:val="20"/>
          <w:szCs w:val="20"/>
          <w:color w:val="auto"/>
        </w:rPr>
      </w:pPr>
    </w:p>
    <w:p>
      <w:pPr>
        <w:ind w:left="1380" w:hanging="1363"/>
        <w:spacing w:after="0" w:line="256" w:lineRule="auto"/>
        <w:tabs>
          <w:tab w:leader="none" w:pos="136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22"/>
          <w:szCs w:val="22"/>
          <w:b w:val="1"/>
          <w:bCs w:val="1"/>
          <w:color w:val="auto"/>
        </w:rPr>
        <w:t>If This Statement is Filed Pursuant to Rule 13d-1(b), or 13d-2(b) or (c), Check Whether the Person Filing is a:</w:t>
      </w:r>
    </w:p>
    <w:p>
      <w:pPr>
        <w:spacing w:after="0" w:line="88" w:lineRule="exact"/>
        <w:rPr>
          <w:sz w:val="20"/>
          <w:szCs w:val="20"/>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78o).</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125" w:lineRule="exact"/>
        <w:rPr>
          <w:rFonts w:ascii="Arial" w:cs="Arial" w:eastAsia="Arial" w:hAnsi="Arial"/>
          <w:sz w:val="22"/>
          <w:szCs w:val="22"/>
          <w:color w:val="auto"/>
        </w:rPr>
      </w:pPr>
    </w:p>
    <w:p>
      <w:pPr>
        <w:ind w:left="2240" w:right="3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Investment Company registered under Section 8 of the Investment Company Act of 1940 (15 U.S.C. 80a-8).</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An investment adviser in accordance with Rule 240.13d-1(b)(1)(ii)(E);</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An employee benefit plan or endowment fund in accordance with Rule 240.13d-1(b)(1)(ii)(F);</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parent holding company or control person in accordance with Rule 240.13d-1(b)(1)(ii)(G);</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19"/>
          <w:szCs w:val="19"/>
          <w:color w:val="auto"/>
        </w:rPr>
      </w:pPr>
      <w:r>
        <w:rPr>
          <w:rFonts w:ascii="Arial" w:cs="Arial" w:eastAsia="Arial" w:hAnsi="Arial"/>
          <w:sz w:val="19"/>
          <w:szCs w:val="19"/>
          <w:color w:val="auto"/>
        </w:rPr>
        <w:t>[ ]   A savings association as defined in Section 3(b) of the Federal Deposit Insurance Act (12 U.S.C. 1813);</w:t>
      </w:r>
    </w:p>
    <w:p>
      <w:pPr>
        <w:spacing w:after="0" w:line="159" w:lineRule="exact"/>
        <w:rPr>
          <w:rFonts w:ascii="Arial" w:cs="Arial" w:eastAsia="Arial" w:hAnsi="Arial"/>
          <w:sz w:val="19"/>
          <w:szCs w:val="19"/>
          <w:color w:val="auto"/>
        </w:rPr>
      </w:pPr>
    </w:p>
    <w:p>
      <w:pPr>
        <w:ind w:left="2240" w:right="1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 3(c)(14) of the Investment Company Act of 1940 (15 U.S.C. 80a-3);</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Group, in accordance with Rule 240.13d-1(b)(1)(ii)(J).</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If this statement is filed pursuant to Rule 13d-1(c), check this box [X]</w:t>
      </w:r>
    </w:p>
    <w:p>
      <w:pPr>
        <w:spacing w:after="0" w:line="119"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131"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2" w:lineRule="exact"/>
        <w:rPr>
          <w:sz w:val="20"/>
          <w:szCs w:val="20"/>
          <w:color w:val="auto"/>
        </w:rPr>
      </w:pPr>
    </w:p>
    <w:p>
      <w:pPr>
        <w:ind w:left="1780" w:right="6920" w:hanging="407"/>
        <w:spacing w:after="0" w:line="358" w:lineRule="auto"/>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Beneficially Owned: 0</w:t>
      </w:r>
    </w:p>
    <w:p>
      <w:pPr>
        <w:spacing w:after="0" w:line="1"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0.00%</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125" w:lineRule="exact"/>
        <w:rPr>
          <w:sz w:val="20"/>
          <w:szCs w:val="20"/>
          <w:color w:val="auto"/>
        </w:rPr>
      </w:pPr>
    </w:p>
    <w:tbl>
      <w:tblPr>
        <w:tblLayout w:type="fixed"/>
        <w:tblInd w:w="1780" w:type="dxa"/>
        <w:tblCellMar>
          <w:top w:w="0" w:type="dxa"/>
          <w:left w:w="0" w:type="dxa"/>
          <w:bottom w:w="0" w:type="dxa"/>
          <w:right w:w="0" w:type="dxa"/>
        </w:tblCellMar>
      </w:tblPr>
      <w:tr>
        <w:trPr>
          <w:trHeight w:val="275"/>
        </w:trPr>
        <w:tc>
          <w:tcPr>
            <w:tcW w:w="380" w:type="dxa"/>
            <w:vAlign w:val="bottom"/>
          </w:tcPr>
          <w:p>
            <w:pPr>
              <w:spacing w:after="0"/>
              <w:rPr>
                <w:sz w:val="20"/>
                <w:szCs w:val="20"/>
                <w:color w:val="auto"/>
              </w:rPr>
            </w:pPr>
            <w:r>
              <w:rPr>
                <w:rFonts w:ascii="Arial" w:cs="Arial" w:eastAsia="Arial" w:hAnsi="Arial"/>
                <w:sz w:val="22"/>
                <w:szCs w:val="22"/>
                <w:color w:val="auto"/>
              </w:rPr>
              <w:t>(i)</w:t>
            </w:r>
          </w:p>
        </w:tc>
        <w:tc>
          <w:tcPr>
            <w:tcW w:w="6760" w:type="dxa"/>
            <w:vAlign w:val="bottom"/>
          </w:tcPr>
          <w:p>
            <w:pPr>
              <w:ind w:left="80"/>
              <w:spacing w:after="0"/>
              <w:rPr>
                <w:sz w:val="20"/>
                <w:szCs w:val="20"/>
                <w:color w:val="auto"/>
              </w:rPr>
            </w:pPr>
            <w:r>
              <w:rPr>
                <w:rFonts w:ascii="Arial" w:cs="Arial" w:eastAsia="Arial" w:hAnsi="Arial"/>
                <w:sz w:val="22"/>
                <w:szCs w:val="22"/>
                <w:color w:val="auto"/>
              </w:rPr>
              <w:t>sole power to vote or to direct the vote</w:t>
            </w:r>
          </w:p>
        </w:tc>
        <w:tc>
          <w:tcPr>
            <w:tcW w:w="2140" w:type="dxa"/>
            <w:vAlign w:val="bottom"/>
          </w:tcPr>
          <w:p>
            <w:pPr>
              <w:jc w:val="right"/>
              <w:spacing w:after="0"/>
              <w:rPr>
                <w:sz w:val="20"/>
                <w:szCs w:val="20"/>
                <w:color w:val="auto"/>
              </w:rPr>
            </w:pPr>
            <w:r>
              <w:rPr>
                <w:rFonts w:ascii="Arial" w:cs="Arial" w:eastAsia="Arial" w:hAnsi="Arial"/>
                <w:sz w:val="22"/>
                <w:szCs w:val="22"/>
                <w:color w:val="auto"/>
              </w:rPr>
              <w:t>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(ii)</w:t>
            </w:r>
          </w:p>
        </w:tc>
        <w:tc>
          <w:tcPr>
            <w:tcW w:w="6760" w:type="dxa"/>
            <w:vAlign w:val="bottom"/>
          </w:tcPr>
          <w:p>
            <w:pPr>
              <w:ind w:left="80"/>
              <w:spacing w:after="0"/>
              <w:rPr>
                <w:sz w:val="20"/>
                <w:szCs w:val="20"/>
                <w:color w:val="auto"/>
              </w:rPr>
            </w:pPr>
            <w:r>
              <w:rPr>
                <w:rFonts w:ascii="Arial" w:cs="Arial" w:eastAsia="Arial" w:hAnsi="Arial"/>
                <w:sz w:val="22"/>
                <w:szCs w:val="22"/>
                <w:color w:val="auto"/>
              </w:rPr>
              <w:t>shared power to vote or to direct the vote</w:t>
            </w:r>
          </w:p>
        </w:tc>
        <w:tc>
          <w:tcPr>
            <w:tcW w:w="2140" w:type="dxa"/>
            <w:vAlign w:val="bottom"/>
          </w:tcPr>
          <w:p>
            <w:pPr>
              <w:jc w:val="right"/>
              <w:spacing w:after="0"/>
              <w:rPr>
                <w:sz w:val="20"/>
                <w:szCs w:val="20"/>
                <w:color w:val="auto"/>
              </w:rPr>
            </w:pPr>
            <w:r>
              <w:rPr>
                <w:rFonts w:ascii="Arial" w:cs="Arial" w:eastAsia="Arial" w:hAnsi="Arial"/>
                <w:sz w:val="22"/>
                <w:szCs w:val="22"/>
                <w:color w:val="auto"/>
              </w:rPr>
              <w:t>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(iii)</w:t>
            </w:r>
          </w:p>
        </w:tc>
        <w:tc>
          <w:tcPr>
            <w:tcW w:w="6760" w:type="dxa"/>
            <w:vAlign w:val="bottom"/>
          </w:tcPr>
          <w:p>
            <w:pPr>
              <w:ind w:left="80"/>
              <w:spacing w:after="0"/>
              <w:rPr>
                <w:sz w:val="20"/>
                <w:szCs w:val="20"/>
                <w:color w:val="auto"/>
              </w:rPr>
            </w:pPr>
            <w:r>
              <w:rPr>
                <w:rFonts w:ascii="Arial" w:cs="Arial" w:eastAsia="Arial" w:hAnsi="Arial"/>
                <w:sz w:val="22"/>
                <w:szCs w:val="22"/>
                <w:color w:val="auto"/>
              </w:rPr>
              <w:t>sole power to dispose or to direct the disposition of</w:t>
            </w:r>
          </w:p>
        </w:tc>
        <w:tc>
          <w:tcPr>
            <w:tcW w:w="2140" w:type="dxa"/>
            <w:vAlign w:val="bottom"/>
          </w:tcPr>
          <w:p>
            <w:pPr>
              <w:jc w:val="right"/>
              <w:spacing w:after="0"/>
              <w:rPr>
                <w:sz w:val="20"/>
                <w:szCs w:val="20"/>
                <w:color w:val="auto"/>
              </w:rPr>
            </w:pPr>
            <w:r>
              <w:rPr>
                <w:rFonts w:ascii="Arial" w:cs="Arial" w:eastAsia="Arial" w:hAnsi="Arial"/>
                <w:sz w:val="22"/>
                <w:szCs w:val="22"/>
                <w:color w:val="auto"/>
              </w:rPr>
              <w:t>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(iv)</w:t>
            </w:r>
          </w:p>
        </w:tc>
        <w:tc>
          <w:tcPr>
            <w:tcW w:w="6760" w:type="dxa"/>
            <w:vAlign w:val="bottom"/>
          </w:tcPr>
          <w:p>
            <w:pPr>
              <w:ind w:left="80"/>
              <w:spacing w:after="0"/>
              <w:rPr>
                <w:sz w:val="20"/>
                <w:szCs w:val="20"/>
                <w:color w:val="auto"/>
              </w:rPr>
            </w:pPr>
            <w:r>
              <w:rPr>
                <w:rFonts w:ascii="Arial" w:cs="Arial" w:eastAsia="Arial" w:hAnsi="Arial"/>
                <w:sz w:val="22"/>
                <w:szCs w:val="22"/>
                <w:color w:val="auto"/>
              </w:rPr>
              <w:t>shared power to dispose or to direct the disposition of</w:t>
            </w:r>
          </w:p>
        </w:tc>
        <w:tc>
          <w:tcPr>
            <w:tcW w:w="2140" w:type="dxa"/>
            <w:vAlign w:val="bottom"/>
          </w:tcPr>
          <w:p>
            <w:pPr>
              <w:jc w:val="right"/>
              <w:spacing w:after="0"/>
              <w:rPr>
                <w:sz w:val="20"/>
                <w:szCs w:val="20"/>
                <w:color w:val="auto"/>
              </w:rPr>
            </w:pPr>
            <w:r>
              <w:rPr>
                <w:rFonts w:ascii="Arial" w:cs="Arial" w:eastAsia="Arial" w:hAnsi="Arial"/>
                <w:sz w:val="22"/>
                <w:szCs w:val="22"/>
                <w:color w:val="auto"/>
              </w:rPr>
              <w:t>0</w:t>
            </w:r>
          </w:p>
        </w:tc>
      </w:tr>
    </w:tbl>
    <w:p>
      <w:pPr>
        <w:spacing w:after="0" w:line="98"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Class.</w:t>
      </w:r>
    </w:p>
    <w:p>
      <w:pPr>
        <w:sectPr>
          <w:pgSz w:w="11900" w:h="16853" w:orient="portrait"/>
          <w:cols w:equalWidth="0" w:num="1">
            <w:col w:w="11260"/>
          </w:cols>
          <w:pgMar w:left="320" w:top="409" w:right="319" w:bottom="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53"/>
        </w:trPr>
        <w:tc>
          <w:tcPr>
            <w:tcW w:w="940" w:type="dxa"/>
            <w:vAlign w:val="bottom"/>
          </w:tcPr>
          <w:p>
            <w:pPr>
              <w:spacing w:after="0"/>
              <w:rPr>
                <w:sz w:val="21"/>
                <w:szCs w:val="21"/>
                <w:color w:val="auto"/>
              </w:rPr>
            </w:pPr>
          </w:p>
        </w:tc>
        <w:tc>
          <w:tcPr>
            <w:tcW w:w="10240" w:type="dxa"/>
            <w:vAlign w:val="bottom"/>
            <w:gridSpan w:val="3"/>
          </w:tcPr>
          <w:p>
            <w:pPr>
              <w:ind w:left="440"/>
              <w:spacing w:after="0"/>
              <w:rPr>
                <w:sz w:val="20"/>
                <w:szCs w:val="20"/>
                <w:color w:val="auto"/>
              </w:rPr>
            </w:pPr>
            <w:r>
              <w:rPr>
                <w:rFonts w:ascii="Arial" w:cs="Arial" w:eastAsia="Arial" w:hAnsi="Arial"/>
                <w:sz w:val="22"/>
                <w:szCs w:val="22"/>
                <w:color w:val="auto"/>
                <w:w w:val="87"/>
              </w:rPr>
              <w:t>If this statement is being filed to report the fact that as of the date hereof the reporting person has ceased to be the</w:t>
            </w:r>
          </w:p>
        </w:tc>
      </w:tr>
      <w:tr>
        <w:trPr>
          <w:trHeight w:val="275"/>
        </w:trPr>
        <w:tc>
          <w:tcPr>
            <w:tcW w:w="940" w:type="dxa"/>
            <w:vAlign w:val="bottom"/>
          </w:tcPr>
          <w:p>
            <w:pPr>
              <w:spacing w:after="0"/>
              <w:rPr>
                <w:sz w:val="23"/>
                <w:szCs w:val="23"/>
                <w:color w:val="auto"/>
              </w:rPr>
            </w:pPr>
          </w:p>
        </w:tc>
        <w:tc>
          <w:tcPr>
            <w:tcW w:w="10240" w:type="dxa"/>
            <w:vAlign w:val="bottom"/>
            <w:gridSpan w:val="3"/>
          </w:tcPr>
          <w:p>
            <w:pPr>
              <w:ind w:left="440"/>
              <w:spacing w:after="0"/>
              <w:rPr>
                <w:sz w:val="20"/>
                <w:szCs w:val="20"/>
                <w:color w:val="auto"/>
              </w:rPr>
            </w:pPr>
            <w:r>
              <w:rPr>
                <w:rFonts w:ascii="Arial" w:cs="Arial" w:eastAsia="Arial" w:hAnsi="Arial"/>
                <w:sz w:val="22"/>
                <w:szCs w:val="22"/>
                <w:color w:val="auto"/>
              </w:rPr>
              <w:t>beneficial owner of more than five percent of the class of securities, check the following: [X]</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6.</w:t>
            </w:r>
          </w:p>
        </w:tc>
        <w:tc>
          <w:tcPr>
            <w:tcW w:w="10240" w:type="dxa"/>
            <w:vAlign w:val="bottom"/>
            <w:gridSpan w:val="3"/>
          </w:tcPr>
          <w:p>
            <w:pPr>
              <w:ind w:left="440"/>
              <w:spacing w:after="0"/>
              <w:rPr>
                <w:sz w:val="20"/>
                <w:szCs w:val="20"/>
                <w:color w:val="auto"/>
              </w:rPr>
            </w:pPr>
            <w:r>
              <w:rPr>
                <w:rFonts w:ascii="Arial" w:cs="Arial" w:eastAsia="Arial" w:hAnsi="Arial"/>
                <w:sz w:val="22"/>
                <w:szCs w:val="22"/>
                <w:b w:val="1"/>
                <w:bCs w:val="1"/>
                <w:color w:val="auto"/>
              </w:rPr>
              <w:t>Ownership of More than Five Percent on Behalf of Another Person.</w:t>
            </w:r>
          </w:p>
        </w:tc>
      </w:tr>
      <w:tr>
        <w:trPr>
          <w:trHeight w:val="378"/>
        </w:trPr>
        <w:tc>
          <w:tcPr>
            <w:tcW w:w="940" w:type="dxa"/>
            <w:vAlign w:val="bottom"/>
          </w:tcPr>
          <w:p>
            <w:pPr>
              <w:spacing w:after="0"/>
              <w:rPr>
                <w:sz w:val="24"/>
                <w:szCs w:val="24"/>
                <w:color w:val="auto"/>
              </w:rPr>
            </w:pPr>
          </w:p>
        </w:tc>
        <w:tc>
          <w:tcPr>
            <w:tcW w:w="10240" w:type="dxa"/>
            <w:vAlign w:val="bottom"/>
            <w:gridSpan w:val="3"/>
          </w:tcPr>
          <w:p>
            <w:pPr>
              <w:ind w:left="440"/>
              <w:spacing w:after="0"/>
              <w:rPr>
                <w:sz w:val="20"/>
                <w:szCs w:val="20"/>
                <w:color w:val="auto"/>
              </w:rPr>
            </w:pPr>
            <w:r>
              <w:rPr>
                <w:rFonts w:ascii="Arial" w:cs="Arial" w:eastAsia="Arial" w:hAnsi="Arial"/>
                <w:sz w:val="22"/>
                <w:szCs w:val="22"/>
                <w:color w:val="auto"/>
              </w:rPr>
              <w:t>Not Applicable</w:t>
            </w:r>
          </w:p>
        </w:tc>
      </w:tr>
      <w:tr>
        <w:trPr>
          <w:trHeight w:val="341"/>
        </w:trPr>
        <w:tc>
          <w:tcPr>
            <w:tcW w:w="940" w:type="dxa"/>
            <w:vAlign w:val="bottom"/>
          </w:tcPr>
          <w:p>
            <w:pPr>
              <w:spacing w:after="0"/>
              <w:rPr>
                <w:sz w:val="20"/>
                <w:szCs w:val="20"/>
                <w:color w:val="auto"/>
              </w:rPr>
            </w:pPr>
            <w:r>
              <w:rPr>
                <w:rFonts w:ascii="Arial" w:cs="Arial" w:eastAsia="Arial" w:hAnsi="Arial"/>
                <w:sz w:val="22"/>
                <w:szCs w:val="22"/>
                <w:b w:val="1"/>
                <w:bCs w:val="1"/>
                <w:color w:val="auto"/>
              </w:rPr>
              <w:t>Item 7.</w:t>
            </w:r>
          </w:p>
        </w:tc>
        <w:tc>
          <w:tcPr>
            <w:tcW w:w="10240" w:type="dxa"/>
            <w:vAlign w:val="bottom"/>
            <w:gridSpan w:val="3"/>
          </w:tcPr>
          <w:p>
            <w:pPr>
              <w:ind w:left="440"/>
              <w:spacing w:after="0"/>
              <w:rPr>
                <w:sz w:val="20"/>
                <w:szCs w:val="20"/>
                <w:color w:val="auto"/>
              </w:rPr>
            </w:pPr>
            <w:r>
              <w:rPr>
                <w:rFonts w:ascii="Arial" w:cs="Arial" w:eastAsia="Arial" w:hAnsi="Arial"/>
                <w:sz w:val="22"/>
                <w:szCs w:val="22"/>
                <w:b w:val="1"/>
                <w:bCs w:val="1"/>
                <w:color w:val="auto"/>
                <w:w w:val="89"/>
              </w:rPr>
              <w:t>Identification and Classification of the Subsidiary Which Acquired the Security Being Reported on by the</w:t>
            </w:r>
          </w:p>
        </w:tc>
      </w:tr>
      <w:tr>
        <w:trPr>
          <w:trHeight w:val="281"/>
        </w:trPr>
        <w:tc>
          <w:tcPr>
            <w:tcW w:w="940" w:type="dxa"/>
            <w:vAlign w:val="bottom"/>
          </w:tcPr>
          <w:p>
            <w:pPr>
              <w:spacing w:after="0"/>
              <w:rPr>
                <w:sz w:val="24"/>
                <w:szCs w:val="24"/>
                <w:color w:val="auto"/>
              </w:rPr>
            </w:pPr>
          </w:p>
        </w:tc>
        <w:tc>
          <w:tcPr>
            <w:tcW w:w="10240" w:type="dxa"/>
            <w:vAlign w:val="bottom"/>
            <w:gridSpan w:val="3"/>
          </w:tcPr>
          <w:p>
            <w:pPr>
              <w:ind w:left="440"/>
              <w:spacing w:after="0"/>
              <w:rPr>
                <w:sz w:val="20"/>
                <w:szCs w:val="20"/>
                <w:color w:val="auto"/>
              </w:rPr>
            </w:pPr>
            <w:r>
              <w:rPr>
                <w:rFonts w:ascii="Arial" w:cs="Arial" w:eastAsia="Arial" w:hAnsi="Arial"/>
                <w:sz w:val="22"/>
                <w:szCs w:val="22"/>
                <w:b w:val="1"/>
                <w:bCs w:val="1"/>
                <w:color w:val="auto"/>
              </w:rPr>
              <w:t>Parent Holding Company.</w:t>
            </w:r>
          </w:p>
        </w:tc>
      </w:tr>
      <w:tr>
        <w:trPr>
          <w:trHeight w:val="621"/>
        </w:trPr>
        <w:tc>
          <w:tcPr>
            <w:tcW w:w="940" w:type="dxa"/>
            <w:vAlign w:val="bottom"/>
          </w:tcPr>
          <w:p>
            <w:pPr>
              <w:spacing w:after="0"/>
              <w:rPr>
                <w:sz w:val="24"/>
                <w:szCs w:val="24"/>
                <w:color w:val="auto"/>
              </w:rPr>
            </w:pPr>
          </w:p>
        </w:tc>
        <w:tc>
          <w:tcPr>
            <w:tcW w:w="10240" w:type="dxa"/>
            <w:vAlign w:val="bottom"/>
            <w:gridSpan w:val="3"/>
          </w:tcPr>
          <w:p>
            <w:pPr>
              <w:ind w:left="440"/>
              <w:spacing w:after="0"/>
              <w:rPr>
                <w:sz w:val="20"/>
                <w:szCs w:val="20"/>
                <w:color w:val="auto"/>
              </w:rPr>
            </w:pPr>
            <w:r>
              <w:rPr>
                <w:rFonts w:ascii="Arial" w:cs="Arial" w:eastAsia="Arial" w:hAnsi="Arial"/>
                <w:sz w:val="22"/>
                <w:szCs w:val="22"/>
                <w:color w:val="auto"/>
              </w:rPr>
              <w:t>Not Applicable.</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8.</w:t>
            </w:r>
          </w:p>
        </w:tc>
        <w:tc>
          <w:tcPr>
            <w:tcW w:w="10240" w:type="dxa"/>
            <w:vAlign w:val="bottom"/>
            <w:gridSpan w:val="3"/>
          </w:tcPr>
          <w:p>
            <w:pPr>
              <w:ind w:left="440"/>
              <w:spacing w:after="0"/>
              <w:rPr>
                <w:sz w:val="20"/>
                <w:szCs w:val="20"/>
                <w:color w:val="auto"/>
              </w:rPr>
            </w:pPr>
            <w:r>
              <w:rPr>
                <w:rFonts w:ascii="Arial" w:cs="Arial" w:eastAsia="Arial" w:hAnsi="Arial"/>
                <w:sz w:val="22"/>
                <w:szCs w:val="22"/>
                <w:b w:val="1"/>
                <w:bCs w:val="1"/>
                <w:color w:val="auto"/>
              </w:rPr>
              <w:t>Identification and Classification of Members of the Group.</w:t>
            </w:r>
          </w:p>
        </w:tc>
      </w:tr>
      <w:tr>
        <w:trPr>
          <w:trHeight w:val="486"/>
        </w:trPr>
        <w:tc>
          <w:tcPr>
            <w:tcW w:w="940" w:type="dxa"/>
            <w:vAlign w:val="bottom"/>
          </w:tcPr>
          <w:p>
            <w:pPr>
              <w:spacing w:after="0"/>
              <w:rPr>
                <w:sz w:val="24"/>
                <w:szCs w:val="24"/>
                <w:color w:val="auto"/>
              </w:rPr>
            </w:pPr>
          </w:p>
        </w:tc>
        <w:tc>
          <w:tcPr>
            <w:tcW w:w="10240" w:type="dxa"/>
            <w:vAlign w:val="bottom"/>
            <w:gridSpan w:val="3"/>
          </w:tcPr>
          <w:p>
            <w:pPr>
              <w:ind w:left="440"/>
              <w:spacing w:after="0"/>
              <w:rPr>
                <w:sz w:val="20"/>
                <w:szCs w:val="20"/>
                <w:color w:val="auto"/>
              </w:rPr>
            </w:pPr>
            <w:r>
              <w:rPr>
                <w:rFonts w:ascii="Arial" w:cs="Arial" w:eastAsia="Arial" w:hAnsi="Arial"/>
                <w:sz w:val="22"/>
                <w:szCs w:val="22"/>
                <w:color w:val="auto"/>
              </w:rPr>
              <w:t>Not Applicable.</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9.</w:t>
            </w:r>
          </w:p>
        </w:tc>
        <w:tc>
          <w:tcPr>
            <w:tcW w:w="10240" w:type="dxa"/>
            <w:vAlign w:val="bottom"/>
            <w:gridSpan w:val="3"/>
          </w:tcPr>
          <w:p>
            <w:pPr>
              <w:ind w:left="440"/>
              <w:spacing w:after="0"/>
              <w:rPr>
                <w:sz w:val="20"/>
                <w:szCs w:val="20"/>
                <w:color w:val="auto"/>
              </w:rPr>
            </w:pPr>
            <w:r>
              <w:rPr>
                <w:rFonts w:ascii="Arial" w:cs="Arial" w:eastAsia="Arial" w:hAnsi="Arial"/>
                <w:sz w:val="22"/>
                <w:szCs w:val="22"/>
                <w:b w:val="1"/>
                <w:bCs w:val="1"/>
                <w:color w:val="auto"/>
              </w:rPr>
              <w:t>Notice of Dissolution of Group.</w:t>
            </w:r>
          </w:p>
        </w:tc>
      </w:tr>
      <w:tr>
        <w:trPr>
          <w:trHeight w:val="486"/>
        </w:trPr>
        <w:tc>
          <w:tcPr>
            <w:tcW w:w="940" w:type="dxa"/>
            <w:vAlign w:val="bottom"/>
          </w:tcPr>
          <w:p>
            <w:pPr>
              <w:spacing w:after="0"/>
              <w:rPr>
                <w:sz w:val="24"/>
                <w:szCs w:val="24"/>
                <w:color w:val="auto"/>
              </w:rPr>
            </w:pPr>
          </w:p>
        </w:tc>
        <w:tc>
          <w:tcPr>
            <w:tcW w:w="10240" w:type="dxa"/>
            <w:vAlign w:val="bottom"/>
            <w:gridSpan w:val="3"/>
          </w:tcPr>
          <w:p>
            <w:pPr>
              <w:ind w:left="440"/>
              <w:spacing w:after="0"/>
              <w:rPr>
                <w:sz w:val="20"/>
                <w:szCs w:val="20"/>
                <w:color w:val="auto"/>
              </w:rPr>
            </w:pPr>
            <w:r>
              <w:rPr>
                <w:rFonts w:ascii="Arial" w:cs="Arial" w:eastAsia="Arial" w:hAnsi="Arial"/>
                <w:sz w:val="22"/>
                <w:szCs w:val="22"/>
                <w:color w:val="auto"/>
              </w:rPr>
              <w:t>Not Applicable.</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10.</w:t>
            </w:r>
          </w:p>
        </w:tc>
        <w:tc>
          <w:tcPr>
            <w:tcW w:w="10240" w:type="dxa"/>
            <w:vAlign w:val="bottom"/>
            <w:gridSpan w:val="3"/>
          </w:tcPr>
          <w:p>
            <w:pPr>
              <w:ind w:left="440"/>
              <w:spacing w:after="0"/>
              <w:rPr>
                <w:sz w:val="20"/>
                <w:szCs w:val="20"/>
                <w:color w:val="auto"/>
              </w:rPr>
            </w:pPr>
            <w:r>
              <w:rPr>
                <w:rFonts w:ascii="Arial" w:cs="Arial" w:eastAsia="Arial" w:hAnsi="Arial"/>
                <w:sz w:val="22"/>
                <w:szCs w:val="22"/>
                <w:b w:val="1"/>
                <w:bCs w:val="1"/>
                <w:color w:val="auto"/>
              </w:rPr>
              <w:t>Certification.</w:t>
            </w:r>
          </w:p>
        </w:tc>
      </w:tr>
      <w:tr>
        <w:trPr>
          <w:trHeight w:val="455"/>
        </w:trPr>
        <w:tc>
          <w:tcPr>
            <w:tcW w:w="940" w:type="dxa"/>
            <w:vAlign w:val="bottom"/>
          </w:tcPr>
          <w:p>
            <w:pPr>
              <w:spacing w:after="0"/>
              <w:rPr>
                <w:sz w:val="24"/>
                <w:szCs w:val="24"/>
                <w:color w:val="auto"/>
              </w:rPr>
            </w:pPr>
          </w:p>
        </w:tc>
        <w:tc>
          <w:tcPr>
            <w:tcW w:w="10240" w:type="dxa"/>
            <w:vAlign w:val="bottom"/>
            <w:gridSpan w:val="3"/>
          </w:tcPr>
          <w:p>
            <w:pPr>
              <w:ind w:left="440"/>
              <w:spacing w:after="0"/>
              <w:rPr>
                <w:sz w:val="20"/>
                <w:szCs w:val="20"/>
                <w:color w:val="auto"/>
              </w:rPr>
            </w:pPr>
            <w:r>
              <w:rPr>
                <w:rFonts w:ascii="Arial" w:cs="Arial" w:eastAsia="Arial" w:hAnsi="Arial"/>
                <w:sz w:val="22"/>
                <w:szCs w:val="22"/>
                <w:color w:val="auto"/>
                <w:w w:val="90"/>
              </w:rPr>
              <w:t>By signing below I certify that, to the best of my knowledge and belief, the securities referred to above were not</w:t>
            </w:r>
          </w:p>
        </w:tc>
      </w:tr>
      <w:tr>
        <w:trPr>
          <w:trHeight w:val="243"/>
        </w:trPr>
        <w:tc>
          <w:tcPr>
            <w:tcW w:w="940" w:type="dxa"/>
            <w:vAlign w:val="bottom"/>
          </w:tcPr>
          <w:p>
            <w:pPr>
              <w:spacing w:after="0"/>
              <w:rPr>
                <w:sz w:val="21"/>
                <w:szCs w:val="21"/>
                <w:color w:val="auto"/>
              </w:rPr>
            </w:pPr>
          </w:p>
        </w:tc>
        <w:tc>
          <w:tcPr>
            <w:tcW w:w="10240" w:type="dxa"/>
            <w:vAlign w:val="bottom"/>
            <w:gridSpan w:val="3"/>
          </w:tcPr>
          <w:p>
            <w:pPr>
              <w:ind w:left="440"/>
              <w:spacing w:after="0" w:line="243" w:lineRule="exact"/>
              <w:rPr>
                <w:sz w:val="20"/>
                <w:szCs w:val="20"/>
                <w:color w:val="auto"/>
              </w:rPr>
            </w:pPr>
            <w:r>
              <w:rPr>
                <w:rFonts w:ascii="Arial" w:cs="Arial" w:eastAsia="Arial" w:hAnsi="Arial"/>
                <w:sz w:val="22"/>
                <w:szCs w:val="22"/>
                <w:color w:val="auto"/>
                <w:w w:val="89"/>
              </w:rPr>
              <w:t>acquired and are not held for the purpose of or with the effect of changing or influencing the control of the issuer</w:t>
            </w:r>
          </w:p>
        </w:tc>
      </w:tr>
      <w:tr>
        <w:trPr>
          <w:trHeight w:val="243"/>
        </w:trPr>
        <w:tc>
          <w:tcPr>
            <w:tcW w:w="940" w:type="dxa"/>
            <w:vAlign w:val="bottom"/>
          </w:tcPr>
          <w:p>
            <w:pPr>
              <w:spacing w:after="0"/>
              <w:rPr>
                <w:sz w:val="21"/>
                <w:szCs w:val="21"/>
                <w:color w:val="auto"/>
              </w:rPr>
            </w:pPr>
          </w:p>
        </w:tc>
        <w:tc>
          <w:tcPr>
            <w:tcW w:w="10240" w:type="dxa"/>
            <w:vAlign w:val="bottom"/>
            <w:gridSpan w:val="3"/>
          </w:tcPr>
          <w:p>
            <w:pPr>
              <w:ind w:left="440"/>
              <w:spacing w:after="0" w:line="243" w:lineRule="exact"/>
              <w:rPr>
                <w:sz w:val="20"/>
                <w:szCs w:val="20"/>
                <w:color w:val="auto"/>
              </w:rPr>
            </w:pPr>
            <w:r>
              <w:rPr>
                <w:rFonts w:ascii="Arial" w:cs="Arial" w:eastAsia="Arial" w:hAnsi="Arial"/>
                <w:sz w:val="22"/>
                <w:szCs w:val="22"/>
                <w:color w:val="auto"/>
                <w:w w:val="90"/>
              </w:rPr>
              <w:t>of the securities and were not acquired and are not held in connection with or as a participant in any transaction</w:t>
            </w:r>
          </w:p>
        </w:tc>
      </w:tr>
      <w:tr>
        <w:trPr>
          <w:trHeight w:val="275"/>
        </w:trPr>
        <w:tc>
          <w:tcPr>
            <w:tcW w:w="940" w:type="dxa"/>
            <w:vAlign w:val="bottom"/>
          </w:tcPr>
          <w:p>
            <w:pPr>
              <w:spacing w:after="0"/>
              <w:rPr>
                <w:sz w:val="23"/>
                <w:szCs w:val="23"/>
                <w:color w:val="auto"/>
              </w:rPr>
            </w:pPr>
          </w:p>
        </w:tc>
        <w:tc>
          <w:tcPr>
            <w:tcW w:w="10240" w:type="dxa"/>
            <w:vAlign w:val="bottom"/>
            <w:gridSpan w:val="3"/>
          </w:tcPr>
          <w:p>
            <w:pPr>
              <w:ind w:left="440"/>
              <w:spacing w:after="0"/>
              <w:rPr>
                <w:sz w:val="20"/>
                <w:szCs w:val="20"/>
                <w:color w:val="auto"/>
              </w:rPr>
            </w:pPr>
            <w:r>
              <w:rPr>
                <w:rFonts w:ascii="Arial" w:cs="Arial" w:eastAsia="Arial" w:hAnsi="Arial"/>
                <w:sz w:val="22"/>
                <w:szCs w:val="22"/>
                <w:color w:val="auto"/>
              </w:rPr>
              <w:t>having that purpose or effect.</w:t>
            </w:r>
          </w:p>
        </w:tc>
      </w:tr>
      <w:tr>
        <w:trPr>
          <w:trHeight w:val="608"/>
        </w:trPr>
        <w:tc>
          <w:tcPr>
            <w:tcW w:w="940" w:type="dxa"/>
            <w:vAlign w:val="bottom"/>
          </w:tcPr>
          <w:p>
            <w:pPr>
              <w:spacing w:after="0"/>
              <w:rPr>
                <w:sz w:val="24"/>
                <w:szCs w:val="24"/>
                <w:color w:val="auto"/>
              </w:rPr>
            </w:pPr>
          </w:p>
        </w:tc>
        <w:tc>
          <w:tcPr>
            <w:tcW w:w="10240" w:type="dxa"/>
            <w:vAlign w:val="bottom"/>
            <w:gridSpan w:val="3"/>
          </w:tcPr>
          <w:p>
            <w:pPr>
              <w:ind w:left="4060"/>
              <w:spacing w:after="0"/>
              <w:rPr>
                <w:sz w:val="20"/>
                <w:szCs w:val="20"/>
                <w:color w:val="auto"/>
              </w:rPr>
            </w:pPr>
            <w:r>
              <w:rPr>
                <w:rFonts w:ascii="Arial" w:cs="Arial" w:eastAsia="Arial" w:hAnsi="Arial"/>
                <w:sz w:val="22"/>
                <w:szCs w:val="22"/>
                <w:b w:val="1"/>
                <w:bCs w:val="1"/>
                <w:color w:val="auto"/>
              </w:rPr>
              <w:t>SIGNATURE</w:t>
            </w:r>
          </w:p>
        </w:tc>
      </w:tr>
      <w:tr>
        <w:trPr>
          <w:trHeight w:val="549"/>
        </w:trPr>
        <w:tc>
          <w:tcPr>
            <w:tcW w:w="940" w:type="dxa"/>
            <w:vAlign w:val="bottom"/>
          </w:tcPr>
          <w:p>
            <w:pPr>
              <w:spacing w:after="0"/>
              <w:rPr>
                <w:sz w:val="24"/>
                <w:szCs w:val="24"/>
                <w:color w:val="auto"/>
              </w:rPr>
            </w:pPr>
          </w:p>
        </w:tc>
        <w:tc>
          <w:tcPr>
            <w:tcW w:w="10240" w:type="dxa"/>
            <w:vAlign w:val="bottom"/>
            <w:gridSpan w:val="3"/>
          </w:tcPr>
          <w:p>
            <w:pPr>
              <w:ind w:left="180"/>
              <w:spacing w:after="0"/>
              <w:rPr>
                <w:sz w:val="20"/>
                <w:szCs w:val="20"/>
                <w:color w:val="auto"/>
              </w:rPr>
            </w:pPr>
            <w:r>
              <w:rPr>
                <w:rFonts w:ascii="Arial" w:cs="Arial" w:eastAsia="Arial" w:hAnsi="Arial"/>
                <w:sz w:val="22"/>
                <w:szCs w:val="22"/>
                <w:color w:val="auto"/>
              </w:rPr>
              <w:t>After reasonable inquiry and to the best of my knowledge and belief, I certify that the information set</w:t>
            </w:r>
          </w:p>
        </w:tc>
      </w:tr>
      <w:tr>
        <w:trPr>
          <w:trHeight w:val="275"/>
        </w:trPr>
        <w:tc>
          <w:tcPr>
            <w:tcW w:w="940" w:type="dxa"/>
            <w:vAlign w:val="bottom"/>
          </w:tcPr>
          <w:p>
            <w:pPr>
              <w:spacing w:after="0"/>
              <w:rPr>
                <w:sz w:val="23"/>
                <w:szCs w:val="23"/>
                <w:color w:val="auto"/>
              </w:rPr>
            </w:pPr>
          </w:p>
        </w:tc>
        <w:tc>
          <w:tcPr>
            <w:tcW w:w="10240" w:type="dxa"/>
            <w:vAlign w:val="bottom"/>
            <w:gridSpan w:val="3"/>
          </w:tcPr>
          <w:p>
            <w:pPr>
              <w:ind w:left="180"/>
              <w:spacing w:after="0"/>
              <w:rPr>
                <w:sz w:val="20"/>
                <w:szCs w:val="20"/>
                <w:color w:val="auto"/>
              </w:rPr>
            </w:pPr>
            <w:r>
              <w:rPr>
                <w:rFonts w:ascii="Arial" w:cs="Arial" w:eastAsia="Arial" w:hAnsi="Arial"/>
                <w:sz w:val="22"/>
                <w:szCs w:val="22"/>
                <w:color w:val="auto"/>
              </w:rPr>
              <w:t>forth in this statement is true, complete and correct.</w:t>
            </w:r>
          </w:p>
        </w:tc>
      </w:tr>
      <w:tr>
        <w:trPr>
          <w:trHeight w:val="536"/>
        </w:trPr>
        <w:tc>
          <w:tcPr>
            <w:tcW w:w="940" w:type="dxa"/>
            <w:vAlign w:val="bottom"/>
          </w:tcPr>
          <w:p>
            <w:pPr>
              <w:spacing w:after="0"/>
              <w:rPr>
                <w:sz w:val="24"/>
                <w:szCs w:val="24"/>
                <w:color w:val="auto"/>
              </w:rPr>
            </w:pPr>
          </w:p>
        </w:tc>
        <w:tc>
          <w:tcPr>
            <w:tcW w:w="10240" w:type="dxa"/>
            <w:vAlign w:val="bottom"/>
            <w:gridSpan w:val="3"/>
          </w:tcPr>
          <w:p>
            <w:pPr>
              <w:ind w:left="5840"/>
              <w:spacing w:after="0"/>
              <w:rPr>
                <w:sz w:val="20"/>
                <w:szCs w:val="20"/>
                <w:color w:val="auto"/>
              </w:rPr>
            </w:pPr>
            <w:r>
              <w:rPr>
                <w:rFonts w:ascii="Arial" w:cs="Arial" w:eastAsia="Arial" w:hAnsi="Arial"/>
                <w:sz w:val="22"/>
                <w:szCs w:val="22"/>
                <w:color w:val="auto"/>
              </w:rPr>
              <w:t>By: Wellington Trust Company, National</w:t>
            </w:r>
          </w:p>
        </w:tc>
      </w:tr>
      <w:tr>
        <w:trPr>
          <w:trHeight w:val="243"/>
        </w:trPr>
        <w:tc>
          <w:tcPr>
            <w:tcW w:w="940" w:type="dxa"/>
            <w:vAlign w:val="bottom"/>
          </w:tcPr>
          <w:p>
            <w:pPr>
              <w:spacing w:after="0"/>
              <w:rPr>
                <w:sz w:val="21"/>
                <w:szCs w:val="21"/>
                <w:color w:val="auto"/>
              </w:rPr>
            </w:pPr>
          </w:p>
        </w:tc>
        <w:tc>
          <w:tcPr>
            <w:tcW w:w="10240" w:type="dxa"/>
            <w:vAlign w:val="bottom"/>
            <w:gridSpan w:val="3"/>
          </w:tcPr>
          <w:p>
            <w:pPr>
              <w:ind w:left="5840"/>
              <w:spacing w:after="0" w:line="243" w:lineRule="exact"/>
              <w:rPr>
                <w:sz w:val="20"/>
                <w:szCs w:val="20"/>
                <w:color w:val="auto"/>
              </w:rPr>
            </w:pPr>
            <w:r>
              <w:rPr>
                <w:rFonts w:ascii="Arial" w:cs="Arial" w:eastAsia="Arial" w:hAnsi="Arial"/>
                <w:sz w:val="22"/>
                <w:szCs w:val="22"/>
                <w:color w:val="auto"/>
                <w:w w:val="92"/>
              </w:rPr>
              <w:t>Association Multiple Common Trust Funds Trust,</w:t>
            </w:r>
          </w:p>
        </w:tc>
      </w:tr>
      <w:tr>
        <w:trPr>
          <w:trHeight w:val="275"/>
        </w:trPr>
        <w:tc>
          <w:tcPr>
            <w:tcW w:w="940" w:type="dxa"/>
            <w:vAlign w:val="bottom"/>
          </w:tcPr>
          <w:p>
            <w:pPr>
              <w:spacing w:after="0"/>
              <w:rPr>
                <w:sz w:val="23"/>
                <w:szCs w:val="23"/>
                <w:color w:val="auto"/>
              </w:rPr>
            </w:pPr>
          </w:p>
        </w:tc>
        <w:tc>
          <w:tcPr>
            <w:tcW w:w="10240" w:type="dxa"/>
            <w:vAlign w:val="bottom"/>
            <w:gridSpan w:val="3"/>
          </w:tcPr>
          <w:p>
            <w:pPr>
              <w:ind w:left="5840"/>
              <w:spacing w:after="0"/>
              <w:rPr>
                <w:sz w:val="20"/>
                <w:szCs w:val="20"/>
                <w:color w:val="auto"/>
              </w:rPr>
            </w:pPr>
            <w:r>
              <w:rPr>
                <w:rFonts w:ascii="Arial" w:cs="Arial" w:eastAsia="Arial" w:hAnsi="Arial"/>
                <w:sz w:val="22"/>
                <w:szCs w:val="22"/>
                <w:color w:val="auto"/>
              </w:rPr>
              <w:t>Micro Cap Equity Portfolio</w:t>
            </w:r>
          </w:p>
        </w:tc>
      </w:tr>
      <w:tr>
        <w:trPr>
          <w:trHeight w:val="594"/>
        </w:trPr>
        <w:tc>
          <w:tcPr>
            <w:tcW w:w="940" w:type="dxa"/>
            <w:vAlign w:val="bottom"/>
          </w:tcPr>
          <w:p>
            <w:pPr>
              <w:spacing w:after="0"/>
              <w:rPr>
                <w:sz w:val="24"/>
                <w:szCs w:val="24"/>
                <w:color w:val="auto"/>
              </w:rPr>
            </w:pPr>
          </w:p>
        </w:tc>
        <w:tc>
          <w:tcPr>
            <w:tcW w:w="10240" w:type="dxa"/>
            <w:vAlign w:val="bottom"/>
            <w:gridSpan w:val="3"/>
          </w:tcPr>
          <w:p>
            <w:pPr>
              <w:ind w:left="5840"/>
              <w:spacing w:after="0"/>
              <w:rPr>
                <w:sz w:val="20"/>
                <w:szCs w:val="20"/>
                <w:color w:val="auto"/>
              </w:rPr>
            </w:pPr>
            <w:r>
              <w:rPr>
                <w:rFonts w:ascii="Arial" w:cs="Arial" w:eastAsia="Arial" w:hAnsi="Arial"/>
                <w:sz w:val="22"/>
                <w:szCs w:val="22"/>
                <w:color w:val="auto"/>
              </w:rPr>
              <w:t>By:</w:t>
            </w:r>
          </w:p>
        </w:tc>
      </w:tr>
      <w:tr>
        <w:trPr>
          <w:trHeight w:val="490"/>
        </w:trPr>
        <w:tc>
          <w:tcPr>
            <w:tcW w:w="940" w:type="dxa"/>
            <w:vAlign w:val="bottom"/>
          </w:tcPr>
          <w:p>
            <w:pPr>
              <w:spacing w:after="0"/>
              <w:rPr>
                <w:sz w:val="24"/>
                <w:szCs w:val="24"/>
                <w:color w:val="auto"/>
              </w:rPr>
            </w:pPr>
          </w:p>
        </w:tc>
        <w:tc>
          <w:tcPr>
            <w:tcW w:w="10240" w:type="dxa"/>
            <w:vAlign w:val="bottom"/>
            <w:gridSpan w:val="3"/>
          </w:tcPr>
          <w:p>
            <w:pPr>
              <w:ind w:left="5840"/>
              <w:spacing w:after="0"/>
              <w:rPr>
                <w:sz w:val="20"/>
                <w:szCs w:val="20"/>
                <w:color w:val="auto"/>
              </w:rPr>
            </w:pPr>
            <w:r>
              <w:rPr>
                <w:rFonts w:ascii="Arial" w:cs="Arial" w:eastAsia="Arial" w:hAnsi="Arial"/>
                <w:sz w:val="22"/>
                <w:szCs w:val="22"/>
                <w:color w:val="auto"/>
              </w:rPr>
              <w:t>By: /s/ Silvestre A. Fontes</w:t>
            </w:r>
          </w:p>
        </w:tc>
      </w:tr>
      <w:tr>
        <w:trPr>
          <w:trHeight w:val="20"/>
        </w:trPr>
        <w:tc>
          <w:tcPr>
            <w:tcW w:w="94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328"/>
        </w:trPr>
        <w:tc>
          <w:tcPr>
            <w:tcW w:w="940" w:type="dxa"/>
            <w:vAlign w:val="bottom"/>
          </w:tcPr>
          <w:p>
            <w:pPr>
              <w:spacing w:after="0"/>
              <w:rPr>
                <w:sz w:val="24"/>
                <w:szCs w:val="24"/>
                <w:color w:val="auto"/>
              </w:rPr>
            </w:pPr>
          </w:p>
        </w:tc>
        <w:tc>
          <w:tcPr>
            <w:tcW w:w="10240" w:type="dxa"/>
            <w:vAlign w:val="bottom"/>
            <w:gridSpan w:val="3"/>
          </w:tcPr>
          <w:p>
            <w:pPr>
              <w:ind w:left="5840"/>
              <w:spacing w:after="0"/>
              <w:rPr>
                <w:sz w:val="20"/>
                <w:szCs w:val="20"/>
                <w:color w:val="auto"/>
              </w:rPr>
            </w:pPr>
            <w:r>
              <w:rPr>
                <w:rFonts w:ascii="Arial" w:cs="Arial" w:eastAsia="Arial" w:hAnsi="Arial"/>
                <w:sz w:val="22"/>
                <w:szCs w:val="22"/>
                <w:color w:val="auto"/>
              </w:rPr>
              <w:t>Name: Silvestre A. Fontes</w:t>
            </w:r>
          </w:p>
        </w:tc>
      </w:tr>
      <w:tr>
        <w:trPr>
          <w:trHeight w:val="297"/>
        </w:trPr>
        <w:tc>
          <w:tcPr>
            <w:tcW w:w="940" w:type="dxa"/>
            <w:vAlign w:val="bottom"/>
          </w:tcPr>
          <w:p>
            <w:pPr>
              <w:spacing w:after="0"/>
              <w:rPr>
                <w:sz w:val="24"/>
                <w:szCs w:val="24"/>
                <w:color w:val="auto"/>
              </w:rPr>
            </w:pPr>
          </w:p>
        </w:tc>
        <w:tc>
          <w:tcPr>
            <w:tcW w:w="10240" w:type="dxa"/>
            <w:vAlign w:val="bottom"/>
            <w:gridSpan w:val="3"/>
          </w:tcPr>
          <w:p>
            <w:pPr>
              <w:ind w:left="5840"/>
              <w:spacing w:after="0"/>
              <w:rPr>
                <w:sz w:val="20"/>
                <w:szCs w:val="20"/>
                <w:color w:val="auto"/>
              </w:rPr>
            </w:pPr>
            <w:r>
              <w:rPr>
                <w:rFonts w:ascii="Arial" w:cs="Arial" w:eastAsia="Arial" w:hAnsi="Arial"/>
                <w:sz w:val="22"/>
                <w:szCs w:val="22"/>
                <w:color w:val="auto"/>
              </w:rPr>
              <w:t>Title: Authorized Signor</w:t>
            </w:r>
          </w:p>
        </w:tc>
      </w:tr>
      <w:tr>
        <w:trPr>
          <w:trHeight w:val="297"/>
        </w:trPr>
        <w:tc>
          <w:tcPr>
            <w:tcW w:w="940" w:type="dxa"/>
            <w:vAlign w:val="bottom"/>
          </w:tcPr>
          <w:p>
            <w:pPr>
              <w:spacing w:after="0"/>
              <w:rPr>
                <w:sz w:val="24"/>
                <w:szCs w:val="24"/>
                <w:color w:val="auto"/>
              </w:rPr>
            </w:pPr>
          </w:p>
        </w:tc>
        <w:tc>
          <w:tcPr>
            <w:tcW w:w="10240" w:type="dxa"/>
            <w:vAlign w:val="bottom"/>
            <w:gridSpan w:val="3"/>
          </w:tcPr>
          <w:p>
            <w:pPr>
              <w:ind w:left="5840"/>
              <w:spacing w:after="0"/>
              <w:rPr>
                <w:sz w:val="20"/>
                <w:szCs w:val="20"/>
                <w:color w:val="auto"/>
              </w:rPr>
            </w:pPr>
            <w:r>
              <w:rPr>
                <w:rFonts w:ascii="Arial" w:cs="Arial" w:eastAsia="Arial" w:hAnsi="Arial"/>
                <w:sz w:val="22"/>
                <w:szCs w:val="22"/>
                <w:color w:val="auto"/>
              </w:rPr>
              <w:t>Date: February 14, 2018</w:t>
            </w:r>
          </w:p>
        </w:tc>
      </w:tr>
    </w:tbl>
    <w:p>
      <w:pPr>
        <w:spacing w:after="0" w:line="1" w:lineRule="exact"/>
        <w:rPr>
          <w:sz w:val="20"/>
          <w:szCs w:val="20"/>
          <w:color w:val="auto"/>
        </w:rPr>
      </w:pPr>
    </w:p>
    <w:sectPr>
      <w:pgSz w:w="11900" w:h="16838" w:orient="portrait"/>
      <w:cols w:equalWidth="0" w:num="1">
        <w:col w:w="11180"/>
      </w:cols>
      <w:pgMar w:left="320" w:top="20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
      <w:numFmt w:val="bullet"/>
      <w:start w:val="1"/>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2019-12-16T05:11:50Z</dcterms:created>
  <dcterms:modified xsi:type="dcterms:W3CDTF">2019-12-16T05:11:50Z</dcterms:modified>
</cp:coreProperties>
</file>