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16"/>
          <w:szCs w:val="16"/>
          <w:b w:val="1"/>
          <w:bCs w:val="1"/>
          <w:color w:val="auto"/>
        </w:rPr>
        <w:t>UNITED STATES</w:t>
      </w:r>
    </w:p>
    <w:p>
      <w:pPr>
        <w:spacing w:after="0" w:line="24" w:lineRule="exact"/>
        <w:rPr>
          <w:sz w:val="24"/>
          <w:szCs w:val="24"/>
          <w:color w:val="auto"/>
        </w:rPr>
      </w:pPr>
    </w:p>
    <w:p>
      <w:pPr>
        <w:jc w:val="center"/>
        <w:ind w:right="-4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4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43"/>
        <w:spacing w:after="0"/>
        <w:rPr>
          <w:sz w:val="20"/>
          <w:szCs w:val="20"/>
          <w:color w:val="auto"/>
        </w:rPr>
      </w:pPr>
      <w:r>
        <w:rPr>
          <w:rFonts w:ascii="Arial" w:cs="Arial" w:eastAsia="Arial" w:hAnsi="Arial"/>
          <w:sz w:val="16"/>
          <w:szCs w:val="16"/>
          <w:b w:val="1"/>
          <w:bCs w:val="1"/>
          <w:color w:val="auto"/>
        </w:rPr>
        <w:t>SCHEDULE 14A</w:t>
      </w:r>
    </w:p>
    <w:p>
      <w:pPr>
        <w:spacing w:after="0" w:line="24" w:lineRule="exact"/>
        <w:rPr>
          <w:sz w:val="24"/>
          <w:szCs w:val="24"/>
          <w:color w:val="auto"/>
        </w:rPr>
      </w:pPr>
    </w:p>
    <w:p>
      <w:pPr>
        <w:jc w:val="center"/>
        <w:ind w:right="-43"/>
        <w:spacing w:after="0"/>
        <w:rPr>
          <w:sz w:val="20"/>
          <w:szCs w:val="20"/>
          <w:color w:val="auto"/>
        </w:rPr>
      </w:pPr>
      <w:r>
        <w:rPr>
          <w:rFonts w:ascii="Arial" w:cs="Arial" w:eastAsia="Arial" w:hAnsi="Arial"/>
          <w:sz w:val="16"/>
          <w:szCs w:val="16"/>
          <w:b w:val="1"/>
          <w:bCs w:val="1"/>
          <w:color w:val="auto"/>
        </w:rPr>
        <w:t>(Rule 14a-101)</w:t>
      </w:r>
    </w:p>
    <w:p>
      <w:pPr>
        <w:spacing w:after="0" w:line="182" w:lineRule="exact"/>
        <w:rPr>
          <w:sz w:val="24"/>
          <w:szCs w:val="24"/>
          <w:color w:val="auto"/>
        </w:rPr>
      </w:pPr>
    </w:p>
    <w:p>
      <w:pPr>
        <w:jc w:val="center"/>
        <w:ind w:right="-43"/>
        <w:spacing w:after="0"/>
        <w:rPr>
          <w:sz w:val="20"/>
          <w:szCs w:val="20"/>
          <w:color w:val="auto"/>
        </w:rPr>
      </w:pPr>
      <w:r>
        <w:rPr>
          <w:rFonts w:ascii="Arial" w:cs="Arial" w:eastAsia="Arial" w:hAnsi="Arial"/>
          <w:sz w:val="16"/>
          <w:szCs w:val="16"/>
          <w:b w:val="1"/>
          <w:bCs w:val="1"/>
          <w:color w:val="auto"/>
        </w:rPr>
        <w:t>SCHEDULE 14A INFORMATION</w:t>
      </w:r>
    </w:p>
    <w:p>
      <w:pPr>
        <w:spacing w:after="0" w:line="24" w:lineRule="exact"/>
        <w:rPr>
          <w:sz w:val="24"/>
          <w:szCs w:val="24"/>
          <w:color w:val="auto"/>
        </w:rPr>
      </w:pPr>
    </w:p>
    <w:p>
      <w:pPr>
        <w:jc w:val="center"/>
        <w:ind w:right="-43"/>
        <w:spacing w:after="0"/>
        <w:rPr>
          <w:sz w:val="20"/>
          <w:szCs w:val="20"/>
          <w:color w:val="auto"/>
        </w:rPr>
      </w:pPr>
      <w:r>
        <w:rPr>
          <w:rFonts w:ascii="Arial" w:cs="Arial" w:eastAsia="Arial" w:hAnsi="Arial"/>
          <w:sz w:val="16"/>
          <w:szCs w:val="16"/>
          <w:color w:val="auto"/>
        </w:rPr>
        <w:t>Proxy Statement Pursuant to Section 14(a) of</w:t>
      </w:r>
    </w:p>
    <w:p>
      <w:pPr>
        <w:spacing w:after="0" w:line="7" w:lineRule="exact"/>
        <w:rPr>
          <w:sz w:val="24"/>
          <w:szCs w:val="24"/>
          <w:color w:val="auto"/>
        </w:rPr>
      </w:pPr>
    </w:p>
    <w:p>
      <w:pPr>
        <w:jc w:val="center"/>
        <w:ind w:right="-43"/>
        <w:spacing w:after="0"/>
        <w:rPr>
          <w:sz w:val="20"/>
          <w:szCs w:val="20"/>
          <w:color w:val="auto"/>
        </w:rPr>
      </w:pPr>
      <w:r>
        <w:rPr>
          <w:rFonts w:ascii="Arial" w:cs="Arial" w:eastAsia="Arial" w:hAnsi="Arial"/>
          <w:sz w:val="16"/>
          <w:szCs w:val="16"/>
          <w:color w:val="auto"/>
        </w:rPr>
        <w:t>the Securities Exchange Act of 1934</w:t>
      </w:r>
    </w:p>
    <w:p>
      <w:pPr>
        <w:spacing w:after="0" w:line="156"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8"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98"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1" w:lineRule="exact"/>
        <w:rPr>
          <w:rFonts w:ascii="MS PGothic" w:cs="MS PGothic" w:eastAsia="MS PGothic" w:hAnsi="MS PGothic"/>
          <w:sz w:val="16"/>
          <w:szCs w:val="16"/>
          <w:color w:val="auto"/>
        </w:rPr>
      </w:pPr>
    </w:p>
    <w:p>
      <w:pPr>
        <w:ind w:left="4" w:right="5600" w:hanging="4"/>
        <w:spacing w:after="0" w:line="191" w:lineRule="exact"/>
        <w:tabs>
          <w:tab w:leader="none" w:pos="57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7"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372" w:lineRule="exact"/>
        <w:rPr>
          <w:sz w:val="24"/>
          <w:szCs w:val="24"/>
          <w:color w:val="auto"/>
        </w:rPr>
      </w:pPr>
    </w:p>
    <w:p>
      <w:pPr>
        <w:jc w:val="center"/>
        <w:ind w:right="-43"/>
        <w:spacing w:after="0"/>
        <w:rPr>
          <w:sz w:val="20"/>
          <w:szCs w:val="20"/>
          <w:color w:val="auto"/>
        </w:rPr>
      </w:pPr>
      <w:r>
        <w:rPr>
          <w:rFonts w:ascii="Arial" w:cs="Arial" w:eastAsia="Arial" w:hAnsi="Arial"/>
          <w:sz w:val="16"/>
          <w:szCs w:val="16"/>
          <w:b w:val="1"/>
          <w:bCs w:val="1"/>
          <w:u w:val="single" w:color="auto"/>
          <w:color w:val="auto"/>
        </w:rPr>
        <w:t>ClearOne, Inc.</w:t>
      </w:r>
    </w:p>
    <w:p>
      <w:pPr>
        <w:spacing w:after="0" w:line="24" w:lineRule="exact"/>
        <w:rPr>
          <w:sz w:val="24"/>
          <w:szCs w:val="24"/>
          <w:color w:val="auto"/>
        </w:rPr>
      </w:pPr>
    </w:p>
    <w:p>
      <w:pPr>
        <w:jc w:val="center"/>
        <w:ind w:right="-43"/>
        <w:spacing w:after="0"/>
        <w:rPr>
          <w:sz w:val="20"/>
          <w:szCs w:val="20"/>
          <w:color w:val="auto"/>
        </w:rPr>
      </w:pPr>
      <w:r>
        <w:rPr>
          <w:rFonts w:ascii="Arial" w:cs="Arial" w:eastAsia="Arial" w:hAnsi="Arial"/>
          <w:sz w:val="16"/>
          <w:szCs w:val="16"/>
          <w:color w:val="auto"/>
        </w:rPr>
        <w:t>(Name of Registrant as Specified in its Charter)</w:t>
      </w:r>
    </w:p>
    <w:p>
      <w:pPr>
        <w:spacing w:after="0" w:line="7" w:lineRule="exact"/>
        <w:rPr>
          <w:sz w:val="24"/>
          <w:szCs w:val="24"/>
          <w:color w:val="auto"/>
        </w:rPr>
      </w:pPr>
    </w:p>
    <w:p>
      <w:pPr>
        <w:jc w:val="center"/>
        <w:ind w:right="-43"/>
        <w:spacing w:after="0"/>
        <w:rPr>
          <w:sz w:val="20"/>
          <w:szCs w:val="20"/>
          <w:color w:val="auto"/>
        </w:rPr>
      </w:pPr>
      <w:r>
        <w:rPr>
          <w:rFonts w:ascii="Arial" w:cs="Arial" w:eastAsia="Arial" w:hAnsi="Arial"/>
          <w:sz w:val="16"/>
          <w:szCs w:val="16"/>
          <w:color w:val="auto"/>
        </w:rPr>
        <w:t>(Name of Person(s) Filing Proxy Statement, if other than Registrant)</w:t>
      </w:r>
    </w:p>
    <w:p>
      <w:pPr>
        <w:spacing w:after="0" w:line="186" w:lineRule="exact"/>
        <w:rPr>
          <w:sz w:val="24"/>
          <w:szCs w:val="24"/>
          <w:color w:val="auto"/>
        </w:rPr>
      </w:pPr>
    </w:p>
    <w:p>
      <w:pPr>
        <w:ind w:left="124"/>
        <w:spacing w:after="0"/>
        <w:rPr>
          <w:sz w:val="20"/>
          <w:szCs w:val="20"/>
          <w:color w:val="auto"/>
        </w:rPr>
      </w:pPr>
      <w:r>
        <w:rPr>
          <w:rFonts w:ascii="Arial" w:cs="Arial" w:eastAsia="Arial" w:hAnsi="Arial"/>
          <w:sz w:val="16"/>
          <w:szCs w:val="16"/>
          <w:color w:val="auto"/>
        </w:rPr>
        <w:t>Payment of Filing Fee (Check the appropriate box):</w:t>
      </w:r>
    </w:p>
    <w:p>
      <w:pPr>
        <w:spacing w:after="0" w:line="198"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14a-6(i)(4) and 0-11.</w:t>
      </w:r>
    </w:p>
    <w:p>
      <w:pPr>
        <w:spacing w:after="0" w:line="13" w:lineRule="exact"/>
        <w:rPr>
          <w:rFonts w:ascii="MS PGothic" w:cs="MS PGothic" w:eastAsia="MS PGothic" w:hAnsi="MS PGothic"/>
          <w:sz w:val="16"/>
          <w:szCs w:val="16"/>
          <w:color w:val="auto"/>
        </w:rPr>
      </w:pPr>
    </w:p>
    <w:p>
      <w:pPr>
        <w:ind w:left="1144" w:hanging="571"/>
        <w:spacing w:after="0"/>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7" w:lineRule="exact"/>
        <w:rPr>
          <w:rFonts w:ascii="Arial" w:cs="Arial" w:eastAsia="Arial" w:hAnsi="Arial"/>
          <w:sz w:val="16"/>
          <w:szCs w:val="16"/>
          <w:color w:val="auto"/>
        </w:rPr>
      </w:pPr>
    </w:p>
    <w:p>
      <w:pPr>
        <w:ind w:left="1144" w:hanging="571"/>
        <w:spacing w:after="0"/>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w:t>
      </w:r>
    </w:p>
    <w:p>
      <w:pPr>
        <w:spacing w:after="0" w:line="31" w:lineRule="exact"/>
        <w:rPr>
          <w:rFonts w:ascii="Arial" w:cs="Arial" w:eastAsia="Arial" w:hAnsi="Arial"/>
          <w:sz w:val="16"/>
          <w:szCs w:val="16"/>
          <w:color w:val="auto"/>
        </w:rPr>
      </w:pPr>
    </w:p>
    <w:p>
      <w:pPr>
        <w:ind w:left="1144" w:right="120" w:hanging="571"/>
        <w:spacing w:after="0" w:line="257" w:lineRule="auto"/>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6"/>
          <w:szCs w:val="16"/>
          <w:color w:val="auto"/>
        </w:rPr>
      </w:pPr>
    </w:p>
    <w:p>
      <w:pPr>
        <w:ind w:left="1144" w:hanging="571"/>
        <w:spacing w:after="0"/>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8" w:lineRule="exact"/>
        <w:rPr>
          <w:rFonts w:ascii="Arial" w:cs="Arial" w:eastAsia="Arial" w:hAnsi="Arial"/>
          <w:sz w:val="16"/>
          <w:szCs w:val="16"/>
          <w:color w:val="auto"/>
        </w:rPr>
      </w:pPr>
    </w:p>
    <w:p>
      <w:pPr>
        <w:ind w:left="1144" w:hanging="571"/>
        <w:spacing w:after="0"/>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1" w:lineRule="exact"/>
        <w:rPr>
          <w:rFonts w:ascii="Arial" w:cs="Arial" w:eastAsia="Arial" w:hAnsi="Arial"/>
          <w:sz w:val="16"/>
          <w:szCs w:val="16"/>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1" w:lineRule="exact"/>
        <w:rPr>
          <w:rFonts w:ascii="MS PGothic" w:cs="MS PGothic" w:eastAsia="MS PGothic" w:hAnsi="MS PGothic"/>
          <w:sz w:val="16"/>
          <w:szCs w:val="16"/>
          <w:color w:val="auto"/>
        </w:rPr>
      </w:pPr>
    </w:p>
    <w:p>
      <w:pPr>
        <w:ind w:left="564" w:hanging="564"/>
        <w:spacing w:after="0" w:line="248" w:lineRule="auto"/>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44" w:hanging="571"/>
        <w:spacing w:after="0"/>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8" w:lineRule="exact"/>
        <w:rPr>
          <w:rFonts w:ascii="Arial" w:cs="Arial" w:eastAsia="Arial" w:hAnsi="Arial"/>
          <w:sz w:val="16"/>
          <w:szCs w:val="16"/>
          <w:color w:val="auto"/>
        </w:rPr>
      </w:pPr>
    </w:p>
    <w:p>
      <w:pPr>
        <w:ind w:left="1144" w:hanging="571"/>
        <w:spacing w:after="0"/>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 w:lineRule="exact"/>
        <w:rPr>
          <w:rFonts w:ascii="Arial" w:cs="Arial" w:eastAsia="Arial" w:hAnsi="Arial"/>
          <w:sz w:val="16"/>
          <w:szCs w:val="16"/>
          <w:color w:val="auto"/>
        </w:rPr>
      </w:pPr>
    </w:p>
    <w:p>
      <w:pPr>
        <w:ind w:left="1144" w:hanging="571"/>
        <w:spacing w:after="0"/>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 w:lineRule="exact"/>
        <w:rPr>
          <w:rFonts w:ascii="Arial" w:cs="Arial" w:eastAsia="Arial" w:hAnsi="Arial"/>
          <w:sz w:val="16"/>
          <w:szCs w:val="16"/>
          <w:color w:val="auto"/>
        </w:rPr>
      </w:pPr>
    </w:p>
    <w:p>
      <w:pPr>
        <w:ind w:left="1144" w:hanging="571"/>
        <w:spacing w:after="0"/>
        <w:tabs>
          <w:tab w:leader="none" w:pos="1144"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22" w:lineRule="exact"/>
        <w:rPr>
          <w:sz w:val="24"/>
          <w:szCs w:val="24"/>
          <w:color w:val="auto"/>
        </w:rPr>
      </w:pPr>
    </w:p>
    <w:p>
      <w:pPr>
        <w:jc w:val="center"/>
        <w:ind w:right="-43"/>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624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04"/>
          </w:cols>
          <w:pgMar w:left="236" w:top="410"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1"/>
        </w:trPr>
        <w:tc>
          <w:tcPr>
            <w:tcW w:w="1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60" w:type="dxa"/>
            <w:vAlign w:val="bottom"/>
          </w:tcPr>
          <w:p>
            <w:pPr>
              <w:ind w:left="2680"/>
              <w:spacing w:after="0"/>
              <w:rPr>
                <w:sz w:val="20"/>
                <w:szCs w:val="20"/>
                <w:color w:val="auto"/>
              </w:rPr>
            </w:pPr>
            <w:r>
              <w:rPr>
                <w:rFonts w:ascii="Arial" w:cs="Arial" w:eastAsia="Arial" w:hAnsi="Arial"/>
                <w:sz w:val="16"/>
                <w:szCs w:val="16"/>
                <w:b w:val="1"/>
                <w:bCs w:val="1"/>
                <w:color w:val="auto"/>
              </w:rPr>
              <w:t>CLEARONE, INC.</w:t>
            </w:r>
          </w:p>
        </w:tc>
      </w:tr>
      <w:tr>
        <w:trPr>
          <w:trHeight w:val="208"/>
        </w:trPr>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60" w:type="dxa"/>
            <w:vAlign w:val="bottom"/>
          </w:tcPr>
          <w:p>
            <w:pPr>
              <w:ind w:left="1720"/>
              <w:spacing w:after="0"/>
              <w:rPr>
                <w:sz w:val="20"/>
                <w:szCs w:val="20"/>
                <w:color w:val="auto"/>
              </w:rPr>
            </w:pPr>
            <w:r>
              <w:rPr>
                <w:rFonts w:ascii="Arial" w:cs="Arial" w:eastAsia="Arial" w:hAnsi="Arial"/>
                <w:sz w:val="16"/>
                <w:szCs w:val="16"/>
                <w:b w:val="1"/>
                <w:bCs w:val="1"/>
                <w:color w:val="auto"/>
              </w:rPr>
              <w:t>Notice of 2019 Annual Meeting of Shareholders</w:t>
            </w:r>
          </w:p>
        </w:tc>
      </w:tr>
      <w:tr>
        <w:trPr>
          <w:trHeight w:val="382"/>
        </w:trPr>
        <w:tc>
          <w:tcPr>
            <w:tcW w:w="1660" w:type="dxa"/>
            <w:vAlign w:val="bottom"/>
          </w:tcPr>
          <w:p>
            <w:pPr>
              <w:spacing w:after="0"/>
              <w:rPr>
                <w:sz w:val="20"/>
                <w:szCs w:val="20"/>
                <w:color w:val="auto"/>
              </w:rPr>
            </w:pPr>
            <w:r>
              <w:rPr>
                <w:rFonts w:ascii="Arial" w:cs="Arial" w:eastAsia="Arial" w:hAnsi="Arial"/>
                <w:sz w:val="16"/>
                <w:szCs w:val="16"/>
                <w:b w:val="1"/>
                <w:bCs w:val="1"/>
                <w:color w:val="auto"/>
              </w:rPr>
              <w:t>Date</w:t>
            </w:r>
          </w:p>
        </w:tc>
        <w:tc>
          <w:tcPr>
            <w:tcW w:w="9780" w:type="dxa"/>
            <w:vAlign w:val="bottom"/>
            <w:gridSpan w:val="2"/>
          </w:tcPr>
          <w:p>
            <w:pPr>
              <w:ind w:left="540"/>
              <w:spacing w:after="0"/>
              <w:rPr>
                <w:sz w:val="20"/>
                <w:szCs w:val="20"/>
                <w:color w:val="auto"/>
              </w:rPr>
            </w:pPr>
            <w:r>
              <w:rPr>
                <w:rFonts w:ascii="Arial" w:cs="Arial" w:eastAsia="Arial" w:hAnsi="Arial"/>
                <w:sz w:val="16"/>
                <w:szCs w:val="16"/>
                <w:color w:val="auto"/>
              </w:rPr>
              <w:t>December 30, 2019</w:t>
            </w:r>
          </w:p>
        </w:tc>
      </w:tr>
      <w:tr>
        <w:trPr>
          <w:trHeight w:val="382"/>
        </w:trPr>
        <w:tc>
          <w:tcPr>
            <w:tcW w:w="1660" w:type="dxa"/>
            <w:vAlign w:val="bottom"/>
          </w:tcPr>
          <w:p>
            <w:pPr>
              <w:spacing w:after="0"/>
              <w:rPr>
                <w:sz w:val="20"/>
                <w:szCs w:val="20"/>
                <w:color w:val="auto"/>
              </w:rPr>
            </w:pPr>
            <w:r>
              <w:rPr>
                <w:rFonts w:ascii="Arial" w:cs="Arial" w:eastAsia="Arial" w:hAnsi="Arial"/>
                <w:sz w:val="16"/>
                <w:szCs w:val="16"/>
                <w:b w:val="1"/>
                <w:bCs w:val="1"/>
                <w:color w:val="auto"/>
              </w:rPr>
              <w:t>Time</w:t>
            </w:r>
          </w:p>
        </w:tc>
        <w:tc>
          <w:tcPr>
            <w:tcW w:w="9780" w:type="dxa"/>
            <w:vAlign w:val="bottom"/>
            <w:gridSpan w:val="2"/>
          </w:tcPr>
          <w:p>
            <w:pPr>
              <w:ind w:left="540"/>
              <w:spacing w:after="0"/>
              <w:rPr>
                <w:sz w:val="20"/>
                <w:szCs w:val="20"/>
                <w:color w:val="auto"/>
              </w:rPr>
            </w:pPr>
            <w:r>
              <w:rPr>
                <w:rFonts w:ascii="Arial" w:cs="Arial" w:eastAsia="Arial" w:hAnsi="Arial"/>
                <w:sz w:val="16"/>
                <w:szCs w:val="16"/>
                <w:color w:val="auto"/>
              </w:rPr>
              <w:t>9:30 a.m. Mountain time</w:t>
            </w:r>
          </w:p>
        </w:tc>
      </w:tr>
      <w:tr>
        <w:trPr>
          <w:trHeight w:val="382"/>
        </w:trPr>
        <w:tc>
          <w:tcPr>
            <w:tcW w:w="1660" w:type="dxa"/>
            <w:vAlign w:val="bottom"/>
          </w:tcPr>
          <w:p>
            <w:pPr>
              <w:spacing w:after="0"/>
              <w:rPr>
                <w:sz w:val="20"/>
                <w:szCs w:val="20"/>
                <w:color w:val="auto"/>
              </w:rPr>
            </w:pPr>
            <w:r>
              <w:rPr>
                <w:rFonts w:ascii="Arial" w:cs="Arial" w:eastAsia="Arial" w:hAnsi="Arial"/>
                <w:sz w:val="16"/>
                <w:szCs w:val="16"/>
                <w:b w:val="1"/>
                <w:bCs w:val="1"/>
                <w:color w:val="auto"/>
              </w:rPr>
              <w:t>Place</w:t>
            </w:r>
          </w:p>
        </w:tc>
        <w:tc>
          <w:tcPr>
            <w:tcW w:w="9780" w:type="dxa"/>
            <w:vAlign w:val="bottom"/>
            <w:gridSpan w:val="2"/>
          </w:tcPr>
          <w:p>
            <w:pPr>
              <w:ind w:left="540"/>
              <w:spacing w:after="0"/>
              <w:rPr>
                <w:sz w:val="20"/>
                <w:szCs w:val="20"/>
                <w:color w:val="auto"/>
              </w:rPr>
            </w:pPr>
            <w:r>
              <w:rPr>
                <w:rFonts w:ascii="Arial" w:cs="Arial" w:eastAsia="Arial" w:hAnsi="Arial"/>
                <w:sz w:val="16"/>
                <w:szCs w:val="16"/>
                <w:color w:val="auto"/>
              </w:rPr>
              <w:t>5225 Wiley Post Way, Suite 500, Salt Lake City, UT 84116</w:t>
            </w:r>
          </w:p>
        </w:tc>
      </w:tr>
      <w:tr>
        <w:trPr>
          <w:trHeight w:val="370"/>
        </w:trPr>
        <w:tc>
          <w:tcPr>
            <w:tcW w:w="1660" w:type="dxa"/>
            <w:vAlign w:val="bottom"/>
          </w:tcPr>
          <w:p>
            <w:pPr>
              <w:spacing w:after="0"/>
              <w:rPr>
                <w:sz w:val="20"/>
                <w:szCs w:val="20"/>
                <w:color w:val="auto"/>
              </w:rPr>
            </w:pPr>
            <w:r>
              <w:rPr>
                <w:rFonts w:ascii="Arial" w:cs="Arial" w:eastAsia="Arial" w:hAnsi="Arial"/>
                <w:sz w:val="16"/>
                <w:szCs w:val="16"/>
                <w:b w:val="1"/>
                <w:bCs w:val="1"/>
                <w:color w:val="auto"/>
              </w:rPr>
              <w:t>Record date</w:t>
            </w:r>
          </w:p>
        </w:tc>
        <w:tc>
          <w:tcPr>
            <w:tcW w:w="9780" w:type="dxa"/>
            <w:vAlign w:val="bottom"/>
            <w:gridSpan w:val="2"/>
          </w:tcPr>
          <w:p>
            <w:pPr>
              <w:ind w:left="540"/>
              <w:spacing w:after="0"/>
              <w:rPr>
                <w:sz w:val="20"/>
                <w:szCs w:val="20"/>
                <w:color w:val="auto"/>
              </w:rPr>
            </w:pPr>
            <w:r>
              <w:rPr>
                <w:rFonts w:ascii="Arial" w:cs="Arial" w:eastAsia="Arial" w:hAnsi="Arial"/>
                <w:sz w:val="16"/>
                <w:szCs w:val="16"/>
                <w:color w:val="auto"/>
                <w:w w:val="91"/>
              </w:rPr>
              <w:t>December 10, 2019. Only shareholders of record at the close of business on the record date are entitled to receive notice of, and to vote at, the</w:t>
            </w:r>
          </w:p>
        </w:tc>
      </w:tr>
      <w:tr>
        <w:trPr>
          <w:trHeight w:val="204"/>
        </w:trPr>
        <w:tc>
          <w:tcPr>
            <w:tcW w:w="1660" w:type="dxa"/>
            <w:vAlign w:val="bottom"/>
          </w:tcPr>
          <w:p>
            <w:pPr>
              <w:spacing w:after="0"/>
              <w:rPr>
                <w:sz w:val="17"/>
                <w:szCs w:val="17"/>
                <w:color w:val="auto"/>
              </w:rPr>
            </w:pPr>
          </w:p>
        </w:tc>
        <w:tc>
          <w:tcPr>
            <w:tcW w:w="9780" w:type="dxa"/>
            <w:vAlign w:val="bottom"/>
            <w:gridSpan w:val="2"/>
          </w:tcPr>
          <w:p>
            <w:pPr>
              <w:ind w:left="540"/>
              <w:spacing w:after="0"/>
              <w:rPr>
                <w:sz w:val="20"/>
                <w:szCs w:val="20"/>
                <w:color w:val="auto"/>
              </w:rPr>
            </w:pPr>
            <w:r>
              <w:rPr>
                <w:rFonts w:ascii="Arial" w:cs="Arial" w:eastAsia="Arial" w:hAnsi="Arial"/>
                <w:sz w:val="16"/>
                <w:szCs w:val="16"/>
                <w:color w:val="auto"/>
              </w:rPr>
              <w:t>Annual Meeting.</w:t>
            </w:r>
          </w:p>
        </w:tc>
      </w:tr>
      <w:tr>
        <w:trPr>
          <w:trHeight w:val="370"/>
        </w:trPr>
        <w:tc>
          <w:tcPr>
            <w:tcW w:w="1660" w:type="dxa"/>
            <w:vAlign w:val="bottom"/>
          </w:tcPr>
          <w:p>
            <w:pPr>
              <w:spacing w:after="0"/>
              <w:rPr>
                <w:sz w:val="20"/>
                <w:szCs w:val="20"/>
                <w:color w:val="auto"/>
              </w:rPr>
            </w:pPr>
            <w:r>
              <w:rPr>
                <w:rFonts w:ascii="Arial" w:cs="Arial" w:eastAsia="Arial" w:hAnsi="Arial"/>
                <w:sz w:val="16"/>
                <w:szCs w:val="16"/>
                <w:b w:val="1"/>
                <w:bCs w:val="1"/>
                <w:color w:val="auto"/>
              </w:rPr>
              <w:t>Proxy voting</w:t>
            </w:r>
          </w:p>
        </w:tc>
        <w:tc>
          <w:tcPr>
            <w:tcW w:w="9780" w:type="dxa"/>
            <w:vAlign w:val="bottom"/>
            <w:gridSpan w:val="2"/>
          </w:tcPr>
          <w:p>
            <w:pPr>
              <w:ind w:left="520"/>
              <w:spacing w:after="0"/>
              <w:rPr>
                <w:sz w:val="20"/>
                <w:szCs w:val="20"/>
                <w:color w:val="auto"/>
              </w:rPr>
            </w:pPr>
            <w:r>
              <w:rPr>
                <w:rFonts w:ascii="Arial" w:cs="Arial" w:eastAsia="Arial" w:hAnsi="Arial"/>
                <w:sz w:val="16"/>
                <w:szCs w:val="16"/>
                <w:color w:val="auto"/>
                <w:w w:val="91"/>
              </w:rPr>
              <w:t>All shareholders are cordially invited to attend the meeting and vote in person. However, to ensure your representation at the meeting, you are</w:t>
            </w:r>
          </w:p>
        </w:tc>
      </w:tr>
      <w:tr>
        <w:trPr>
          <w:trHeight w:val="191"/>
        </w:trPr>
        <w:tc>
          <w:tcPr>
            <w:tcW w:w="1660" w:type="dxa"/>
            <w:vAlign w:val="bottom"/>
          </w:tcPr>
          <w:p>
            <w:pPr>
              <w:spacing w:after="0"/>
              <w:rPr>
                <w:sz w:val="16"/>
                <w:szCs w:val="16"/>
                <w:color w:val="auto"/>
              </w:rPr>
            </w:pPr>
          </w:p>
        </w:tc>
        <w:tc>
          <w:tcPr>
            <w:tcW w:w="9780" w:type="dxa"/>
            <w:vAlign w:val="bottom"/>
            <w:gridSpan w:val="2"/>
          </w:tcPr>
          <w:p>
            <w:pPr>
              <w:ind w:left="520"/>
              <w:spacing w:after="0"/>
              <w:rPr>
                <w:sz w:val="20"/>
                <w:szCs w:val="20"/>
                <w:color w:val="auto"/>
              </w:rPr>
            </w:pPr>
            <w:r>
              <w:rPr>
                <w:rFonts w:ascii="Arial" w:cs="Arial" w:eastAsia="Arial" w:hAnsi="Arial"/>
                <w:sz w:val="16"/>
                <w:szCs w:val="16"/>
                <w:color w:val="auto"/>
                <w:w w:val="91"/>
              </w:rPr>
              <w:t>urged to vote as promptly as possible, whether via the Internet, by telephone, or, by marking, signing, dating, and returning the enclosed proxy</w:t>
            </w:r>
          </w:p>
        </w:tc>
      </w:tr>
      <w:tr>
        <w:trPr>
          <w:trHeight w:val="191"/>
        </w:trPr>
        <w:tc>
          <w:tcPr>
            <w:tcW w:w="1660" w:type="dxa"/>
            <w:vAlign w:val="bottom"/>
          </w:tcPr>
          <w:p>
            <w:pPr>
              <w:spacing w:after="0"/>
              <w:rPr>
                <w:sz w:val="16"/>
                <w:szCs w:val="16"/>
                <w:color w:val="auto"/>
              </w:rPr>
            </w:pPr>
          </w:p>
        </w:tc>
        <w:tc>
          <w:tcPr>
            <w:tcW w:w="9780" w:type="dxa"/>
            <w:vAlign w:val="bottom"/>
            <w:gridSpan w:val="2"/>
          </w:tcPr>
          <w:p>
            <w:pPr>
              <w:ind w:left="520"/>
              <w:spacing w:after="0"/>
              <w:rPr>
                <w:sz w:val="20"/>
                <w:szCs w:val="20"/>
                <w:color w:val="auto"/>
              </w:rPr>
            </w:pPr>
            <w:r>
              <w:rPr>
                <w:rFonts w:ascii="Arial" w:cs="Arial" w:eastAsia="Arial" w:hAnsi="Arial"/>
                <w:sz w:val="16"/>
                <w:szCs w:val="16"/>
                <w:color w:val="auto"/>
                <w:w w:val="90"/>
              </w:rPr>
              <w:t>in the postage-prepaid envelope enclosed for that purpose. Any shareholder attending the meeting may vote in person even if such shareholder</w:t>
            </w:r>
          </w:p>
        </w:tc>
      </w:tr>
      <w:tr>
        <w:trPr>
          <w:trHeight w:val="191"/>
        </w:trPr>
        <w:tc>
          <w:tcPr>
            <w:tcW w:w="1660" w:type="dxa"/>
            <w:vAlign w:val="bottom"/>
          </w:tcPr>
          <w:p>
            <w:pPr>
              <w:spacing w:after="0"/>
              <w:rPr>
                <w:sz w:val="16"/>
                <w:szCs w:val="16"/>
                <w:color w:val="auto"/>
              </w:rPr>
            </w:pPr>
          </w:p>
        </w:tc>
        <w:tc>
          <w:tcPr>
            <w:tcW w:w="9780" w:type="dxa"/>
            <w:vAlign w:val="bottom"/>
            <w:gridSpan w:val="2"/>
          </w:tcPr>
          <w:p>
            <w:pPr>
              <w:ind w:left="520"/>
              <w:spacing w:after="0"/>
              <w:rPr>
                <w:sz w:val="20"/>
                <w:szCs w:val="20"/>
                <w:color w:val="auto"/>
              </w:rPr>
            </w:pPr>
            <w:r>
              <w:rPr>
                <w:rFonts w:ascii="Arial" w:cs="Arial" w:eastAsia="Arial" w:hAnsi="Arial"/>
                <w:sz w:val="16"/>
                <w:szCs w:val="16"/>
                <w:color w:val="auto"/>
                <w:w w:val="92"/>
              </w:rPr>
              <w:t>has previously submitted a proxy. If you need to obtain directions on how to attend the Annual Meeting and vote in person, please contact our</w:t>
            </w:r>
          </w:p>
        </w:tc>
      </w:tr>
      <w:tr>
        <w:trPr>
          <w:trHeight w:val="204"/>
        </w:trPr>
        <w:tc>
          <w:tcPr>
            <w:tcW w:w="1660" w:type="dxa"/>
            <w:vAlign w:val="bottom"/>
          </w:tcPr>
          <w:p>
            <w:pPr>
              <w:spacing w:after="0"/>
              <w:rPr>
                <w:sz w:val="17"/>
                <w:szCs w:val="17"/>
                <w:color w:val="auto"/>
              </w:rPr>
            </w:pPr>
          </w:p>
        </w:tc>
        <w:tc>
          <w:tcPr>
            <w:tcW w:w="9780" w:type="dxa"/>
            <w:vAlign w:val="bottom"/>
            <w:gridSpan w:val="2"/>
          </w:tcPr>
          <w:p>
            <w:pPr>
              <w:ind w:left="520"/>
              <w:spacing w:after="0"/>
              <w:rPr>
                <w:sz w:val="20"/>
                <w:szCs w:val="20"/>
                <w:color w:val="auto"/>
              </w:rPr>
            </w:pPr>
            <w:r>
              <w:rPr>
                <w:rFonts w:ascii="Arial" w:cs="Arial" w:eastAsia="Arial" w:hAnsi="Arial"/>
                <w:sz w:val="16"/>
                <w:szCs w:val="16"/>
                <w:color w:val="auto"/>
              </w:rPr>
              <w:t>corporate offices at +1 (801) 975-7200.</w:t>
            </w:r>
          </w:p>
        </w:tc>
      </w:tr>
      <w:tr>
        <w:trPr>
          <w:trHeight w:val="382"/>
        </w:trPr>
        <w:tc>
          <w:tcPr>
            <w:tcW w:w="1660" w:type="dxa"/>
            <w:vAlign w:val="bottom"/>
          </w:tcPr>
          <w:p>
            <w:pPr>
              <w:spacing w:after="0"/>
              <w:rPr>
                <w:sz w:val="20"/>
                <w:szCs w:val="20"/>
                <w:color w:val="auto"/>
              </w:rPr>
            </w:pPr>
            <w:r>
              <w:rPr>
                <w:rFonts w:ascii="Arial" w:cs="Arial" w:eastAsia="Arial" w:hAnsi="Arial"/>
                <w:sz w:val="16"/>
                <w:szCs w:val="16"/>
                <w:b w:val="1"/>
                <w:bCs w:val="1"/>
                <w:color w:val="auto"/>
              </w:rPr>
              <w:t>Items of business</w:t>
            </w:r>
          </w:p>
        </w:tc>
        <w:tc>
          <w:tcPr>
            <w:tcW w:w="720" w:type="dxa"/>
            <w:vAlign w:val="bottom"/>
          </w:tcPr>
          <w:p>
            <w:pPr>
              <w:ind w:left="520"/>
              <w:spacing w:after="0"/>
              <w:rPr>
                <w:sz w:val="20"/>
                <w:szCs w:val="20"/>
                <w:color w:val="auto"/>
              </w:rPr>
            </w:pPr>
            <w:r>
              <w:rPr>
                <w:rFonts w:ascii="Arial" w:cs="Arial" w:eastAsia="Arial" w:hAnsi="Arial"/>
                <w:sz w:val="16"/>
                <w:szCs w:val="16"/>
                <w:color w:val="auto"/>
              </w:rPr>
              <w:t>1.</w:t>
            </w:r>
          </w:p>
        </w:tc>
        <w:tc>
          <w:tcPr>
            <w:tcW w:w="9060" w:type="dxa"/>
            <w:vAlign w:val="bottom"/>
          </w:tcPr>
          <w:p>
            <w:pPr>
              <w:ind w:left="80"/>
              <w:spacing w:after="0"/>
              <w:rPr>
                <w:sz w:val="20"/>
                <w:szCs w:val="20"/>
                <w:color w:val="auto"/>
              </w:rPr>
            </w:pPr>
            <w:r>
              <w:rPr>
                <w:rFonts w:ascii="Arial" w:cs="Arial" w:eastAsia="Arial" w:hAnsi="Arial"/>
                <w:sz w:val="16"/>
                <w:szCs w:val="16"/>
                <w:color w:val="auto"/>
              </w:rPr>
              <w:t>To elect four members of our Board of Directors;</w:t>
            </w:r>
          </w:p>
        </w:tc>
      </w:tr>
      <w:tr>
        <w:trPr>
          <w:trHeight w:val="370"/>
        </w:trPr>
        <w:tc>
          <w:tcPr>
            <w:tcW w:w="166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6"/>
                <w:szCs w:val="16"/>
                <w:color w:val="auto"/>
              </w:rPr>
              <w:t>2.</w:t>
            </w:r>
          </w:p>
        </w:tc>
        <w:tc>
          <w:tcPr>
            <w:tcW w:w="9060" w:type="dxa"/>
            <w:vAlign w:val="bottom"/>
          </w:tcPr>
          <w:p>
            <w:pPr>
              <w:ind w:left="240"/>
              <w:spacing w:after="0"/>
              <w:rPr>
                <w:sz w:val="20"/>
                <w:szCs w:val="20"/>
                <w:color w:val="auto"/>
              </w:rPr>
            </w:pPr>
            <w:r>
              <w:rPr>
                <w:rFonts w:ascii="Arial" w:cs="Arial" w:eastAsia="Arial" w:hAnsi="Arial"/>
                <w:sz w:val="16"/>
                <w:szCs w:val="16"/>
                <w:color w:val="auto"/>
                <w:w w:val="97"/>
              </w:rPr>
              <w:t>To approve, by non-binding advisory vote, the compensation of our named executive officers as described under the “Executive</w:t>
            </w:r>
          </w:p>
        </w:tc>
      </w:tr>
      <w:tr>
        <w:trPr>
          <w:trHeight w:val="204"/>
        </w:trPr>
        <w:tc>
          <w:tcPr>
            <w:tcW w:w="1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60" w:type="dxa"/>
            <w:vAlign w:val="bottom"/>
          </w:tcPr>
          <w:p>
            <w:pPr>
              <w:ind w:left="100"/>
              <w:spacing w:after="0"/>
              <w:rPr>
                <w:sz w:val="20"/>
                <w:szCs w:val="20"/>
                <w:color w:val="auto"/>
              </w:rPr>
            </w:pPr>
            <w:r>
              <w:rPr>
                <w:rFonts w:ascii="Arial" w:cs="Arial" w:eastAsia="Arial" w:hAnsi="Arial"/>
                <w:sz w:val="16"/>
                <w:szCs w:val="16"/>
                <w:color w:val="auto"/>
              </w:rPr>
              <w:t>Compensation” heading of this Proxy Statement accompanying this Notice of 2019 Annual Meeting of Shareholders;</w:t>
            </w:r>
          </w:p>
        </w:tc>
      </w:tr>
      <w:tr>
        <w:trPr>
          <w:trHeight w:val="382"/>
        </w:trPr>
        <w:tc>
          <w:tcPr>
            <w:tcW w:w="166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6"/>
                <w:szCs w:val="16"/>
                <w:color w:val="auto"/>
              </w:rPr>
              <w:t>4.</w:t>
            </w:r>
          </w:p>
        </w:tc>
        <w:tc>
          <w:tcPr>
            <w:tcW w:w="9060" w:type="dxa"/>
            <w:vAlign w:val="bottom"/>
          </w:tcPr>
          <w:p>
            <w:pPr>
              <w:ind w:left="80"/>
              <w:spacing w:after="0"/>
              <w:rPr>
                <w:sz w:val="20"/>
                <w:szCs w:val="20"/>
                <w:color w:val="auto"/>
              </w:rPr>
            </w:pPr>
            <w:r>
              <w:rPr>
                <w:rFonts w:ascii="Arial" w:cs="Arial" w:eastAsia="Arial" w:hAnsi="Arial"/>
                <w:sz w:val="16"/>
                <w:szCs w:val="16"/>
                <w:color w:val="auto"/>
              </w:rPr>
              <w:t>To recommend, by non-binding vote, the frequency of advisory vote on compensation of named executive officers;</w:t>
            </w:r>
          </w:p>
        </w:tc>
      </w:tr>
      <w:tr>
        <w:trPr>
          <w:trHeight w:val="382"/>
        </w:trPr>
        <w:tc>
          <w:tcPr>
            <w:tcW w:w="166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6"/>
                <w:szCs w:val="16"/>
                <w:color w:val="auto"/>
              </w:rPr>
              <w:t>5.</w:t>
            </w:r>
          </w:p>
        </w:tc>
        <w:tc>
          <w:tcPr>
            <w:tcW w:w="9060" w:type="dxa"/>
            <w:vAlign w:val="bottom"/>
          </w:tcPr>
          <w:p>
            <w:pPr>
              <w:ind w:left="80"/>
              <w:spacing w:after="0"/>
              <w:rPr>
                <w:sz w:val="20"/>
                <w:szCs w:val="20"/>
                <w:color w:val="auto"/>
              </w:rPr>
            </w:pPr>
            <w:r>
              <w:rPr>
                <w:rFonts w:ascii="Arial" w:cs="Arial" w:eastAsia="Arial" w:hAnsi="Arial"/>
                <w:sz w:val="16"/>
                <w:szCs w:val="16"/>
                <w:color w:val="auto"/>
              </w:rPr>
              <w:t>To transact such other business as may properly come before the meeting or any adjournment thereof.</w:t>
            </w:r>
          </w:p>
        </w:tc>
      </w:tr>
    </w:tbl>
    <w:p>
      <w:pPr>
        <w:spacing w:after="0" w:line="178"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The items of business are more fully described in the proxy statement accompanying this notice.</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2019 Annual Meeting of Shareholders to be held on December 30, 2019. </w:t>
      </w:r>
      <w:r>
        <w:rPr>
          <w:rFonts w:ascii="Arial" w:cs="Arial" w:eastAsia="Arial" w:hAnsi="Arial"/>
          <w:sz w:val="16"/>
          <w:szCs w:val="16"/>
          <w:color w:val="auto"/>
        </w:rPr>
        <w:t>Because we have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2018 are available on our corporate website and may be accessed at </w:t>
      </w:r>
      <w:r>
        <w:rPr>
          <w:rFonts w:ascii="Arial" w:cs="Arial" w:eastAsia="Arial" w:hAnsi="Arial"/>
          <w:sz w:val="16"/>
          <w:szCs w:val="16"/>
          <w:i w:val="1"/>
          <w:iCs w:val="1"/>
          <w:color w:val="auto"/>
        </w:rPr>
        <w:t>www.clearone.com</w:t>
      </w:r>
      <w:r>
        <w:rPr>
          <w:rFonts w:ascii="Arial" w:cs="Arial" w:eastAsia="Arial" w:hAnsi="Arial"/>
          <w:sz w:val="16"/>
          <w:szCs w:val="16"/>
          <w:color w:val="auto"/>
        </w:rPr>
        <w:t xml:space="preserve"> under “Investor Relations”</w:t>
      </w:r>
      <w:r>
        <w:rPr>
          <w:rFonts w:ascii="Arial" w:cs="Arial" w:eastAsia="Arial" w:hAnsi="Arial"/>
          <w:sz w:val="16"/>
          <w:szCs w:val="16"/>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880110" cy="447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0110"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Narsi Narayanan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Salt Lake City, Utah</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December 10,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3093720</wp:posOffset>
            </wp:positionH>
            <wp:positionV relativeFrom="page">
              <wp:posOffset>468630</wp:posOffset>
            </wp:positionV>
            <wp:extent cx="1373505" cy="212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73505" cy="212725"/>
                    </a:xfrm>
                    <a:prstGeom prst="rect">
                      <a:avLst/>
                    </a:prstGeom>
                    <a:noFill/>
                  </pic:spPr>
                </pic:pic>
              </a:graphicData>
            </a:graphic>
          </wp:anchor>
        </w:drawing>
        <w:t>2019 Proxy Statement</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This proxy statement is solicited by and on behalf of the Board of Directors of ClearOne, Inc., a Delaware corporation (hereinafter referred to as the “Company,” “ClearOne,” “we,” “us” or “our”), for use at the Annual Meeting of Shareholders (the “Annual Meeting”), to be held on December 30, 2019 at 5225 Wiley Post Way, Suite 500, Salt Lake City, UT 84116, at 9:30 A.M. local time, or at any continuations thereof.</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proxy solicitation materials will be distributed on or about December 18, 2019 to all shareholders entitled to vote at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QUESTIONS AND ANSWERS REGARDING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purpose of this Proxy Statement and accompanying Proxy?</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Zeynep Hakimoglu and Narsi Narayanan.</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purpose of the Annual Meeting?</w:t>
      </w:r>
    </w:p>
    <w:p>
      <w:pPr>
        <w:spacing w:after="0" w:line="202" w:lineRule="exact"/>
        <w:rPr>
          <w:sz w:val="20"/>
          <w:szCs w:val="20"/>
          <w:color w:val="auto"/>
        </w:rPr>
      </w:pPr>
    </w:p>
    <w:p>
      <w:pPr>
        <w:jc w:val="both"/>
        <w:ind w:firstLine="574"/>
        <w:spacing w:after="0" w:line="277" w:lineRule="auto"/>
        <w:rPr>
          <w:sz w:val="20"/>
          <w:szCs w:val="20"/>
          <w:color w:val="auto"/>
        </w:rPr>
      </w:pPr>
      <w:r>
        <w:rPr>
          <w:rFonts w:ascii="Arial" w:cs="Arial" w:eastAsia="Arial" w:hAnsi="Arial"/>
          <w:sz w:val="15"/>
          <w:szCs w:val="15"/>
          <w:color w:val="auto"/>
        </w:rPr>
        <w:t>The purpose of the Annual Meeting is to: (i) elect four directors; (ii) approve, by non-binding advisory vote, the compensation of our named executive officers as described under the heading “Executive Compensation;” (iii) to recommend, by non-binding vote, the frequency of advisory vote on compensation of named executive officers; and (iv)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record date for voting at the Annual Meeting?</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record date for purposes of determining the number of outstanding shares of our common stock eligible to vote at the Annual Meeting, and for determining the shareholders entitled to vote at the Annual Meeting, is the close of business on December 10, 2019 (the “Record Date”). As of the Record Date, 16,646,323 shares of common stock were issued and outstanding. No other series of stock is outstanding. Holders of the shares of common stock have no preemptive rights. The transfer agent for the common stock is: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Broadridge Corporate Issuer Solutions</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P.O. Box 1342</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Brentwood, NY 11717</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 (877) 830-4936.</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quorum requirement for the Annual Meeting?</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 quorum must be present at the meeting in order for the shareholders to take official action. Under Delaware law and our Certificate of Incorporation and Bylaws, a quorum will exist if a majority of the total number of shares entitled to vote are present, in person or by proxy. Abstentions, which are described below, will be counted as “represented” for the purpose of determining the presence or absence of a quorum.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1246" w:right="219" w:bottom="1440" w:gutter="0" w:footer="0" w:header="0"/>
        </w:sectPr>
      </w:pPr>
    </w:p>
    <w:bookmarkStart w:id="3" w:name="page4"/>
    <w:bookmarkEnd w:id="3"/>
    <w:p>
      <w:pPr>
        <w:ind w:left="40"/>
        <w:spacing w:after="0"/>
        <w:rPr>
          <w:sz w:val="20"/>
          <w:szCs w:val="20"/>
          <w:color w:val="auto"/>
        </w:rPr>
      </w:pPr>
      <w:r>
        <w:rPr>
          <w:rFonts w:ascii="Arial" w:cs="Arial" w:eastAsia="Arial" w:hAnsi="Arial"/>
          <w:sz w:val="16"/>
          <w:szCs w:val="16"/>
          <w:b w:val="1"/>
          <w:bCs w:val="1"/>
          <w:color w:val="auto"/>
        </w:rPr>
        <w:t>What is a broker non-vote and how is it counted?</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routine matters will be voted on at the Annual Meeting?</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There are no routine matters on which brokers may vote in their discretion on behalf of customers who have not provided voting instructions. Accordingly, there will be no broker non-votes at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non-routine matters will be voted on at the Annual Meeting?</w:t>
      </w:r>
    </w:p>
    <w:p>
      <w:pPr>
        <w:spacing w:after="0" w:line="20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election of directors, the advisory vote on the compensation of our named executive officers and the advisory vote on the frequency of the advisory vote on the compensation of named executive officers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needed to approve each Proposal?</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all matters, except as otherwise provided by Delaware law, each holder of common stock will be entitled to one vote for each share of common stock held on the Record Date. Assuming that a quorum is present, the votes needed to approve each Proposal are set forth below.</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 xml:space="preserve">Proposal one: </w:t>
      </w:r>
      <w:r>
        <w:rPr>
          <w:rFonts w:ascii="Arial" w:cs="Arial" w:eastAsia="Arial" w:hAnsi="Arial"/>
          <w:sz w:val="15"/>
          <w:szCs w:val="15"/>
          <w:color w:val="auto"/>
        </w:rPr>
        <w:t>In the election of directors, shareholders will not be allowed to cumulate their votes. The election of directors will be determined by plurality vote.</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Proposal two: </w:t>
      </w:r>
      <w:r>
        <w:rPr>
          <w:rFonts w:ascii="Arial" w:cs="Arial" w:eastAsia="Arial" w:hAnsi="Arial"/>
          <w:sz w:val="16"/>
          <w:szCs w:val="16"/>
          <w:color w:val="auto"/>
        </w:rPr>
        <w:t>The Proposal to approve, by non-binding advisory vote, the compensation of our named executive officers requires that the votes cast in favor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must exceed the votes cast against the Proposal.</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Proposal three: </w:t>
      </w:r>
      <w:r>
        <w:rPr>
          <w:rFonts w:ascii="Arial" w:cs="Arial" w:eastAsia="Arial" w:hAnsi="Arial"/>
          <w:sz w:val="16"/>
          <w:szCs w:val="16"/>
          <w:color w:val="auto"/>
        </w:rPr>
        <w:t>The option that receives the highest number of votes cast by shareholders for the frequency of the advisory vote on compensation of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will be considered to be the shareholders’ preferred frequency for such advisory vote.</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Abstentions will not affect the outcome of the election of directors, the advisory vote on the compensation of our named executive officers and the advisory vote on the frequency of advisory vote on the compensation of named executive officers.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Any other matter properly presented for approval by the shareholders at the Annual Meeting will generally be approved if the number of votes cast in</w:t>
      </w:r>
      <w:r>
        <w:rPr>
          <w:rFonts w:ascii="Arial" w:cs="Arial" w:eastAsia="Arial" w:hAnsi="Arial"/>
          <w:sz w:val="16"/>
          <w:szCs w:val="16"/>
          <w:i w:val="1"/>
          <w:iCs w:val="1"/>
          <w:color w:val="auto"/>
        </w:rPr>
        <w:t xml:space="preserve"> </w:t>
      </w:r>
      <w:r>
        <w:rPr>
          <w:rFonts w:ascii="Arial" w:cs="Arial" w:eastAsia="Arial" w:hAnsi="Arial"/>
          <w:sz w:val="16"/>
          <w:szCs w:val="16"/>
          <w:color w:val="auto"/>
        </w:rPr>
        <w:t>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Board of Director’s recommendations on the Proposals?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of Directors recommends that shareholders cast their votes on the Proposals as follows:</w:t>
      </w:r>
    </w:p>
    <w:p>
      <w:pPr>
        <w:spacing w:after="0" w:line="198" w:lineRule="exact"/>
        <w:rPr>
          <w:sz w:val="20"/>
          <w:szCs w:val="20"/>
          <w:color w:val="auto"/>
        </w:rPr>
      </w:pPr>
    </w:p>
    <w:p>
      <w:pPr>
        <w:ind w:left="860" w:hanging="291"/>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all director nominees listed in the proxy statement,</w:t>
      </w:r>
    </w:p>
    <w:p>
      <w:pPr>
        <w:spacing w:after="0" w:line="222" w:lineRule="exact"/>
        <w:rPr>
          <w:rFonts w:ascii="Arial" w:cs="Arial" w:eastAsia="Arial" w:hAnsi="Arial"/>
          <w:sz w:val="16"/>
          <w:szCs w:val="16"/>
          <w:color w:val="auto"/>
        </w:rPr>
      </w:pPr>
    </w:p>
    <w:p>
      <w:pPr>
        <w:ind w:left="860" w:hanging="291"/>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by non-binding advisory vote, the approval of the compensation of our named executive officers, and</w:t>
      </w:r>
    </w:p>
    <w:p>
      <w:pPr>
        <w:spacing w:after="0" w:line="222" w:lineRule="exact"/>
        <w:rPr>
          <w:rFonts w:ascii="Arial" w:cs="Arial" w:eastAsia="Arial" w:hAnsi="Arial"/>
          <w:sz w:val="16"/>
          <w:szCs w:val="16"/>
          <w:color w:val="auto"/>
        </w:rPr>
      </w:pPr>
    </w:p>
    <w:p>
      <w:pPr>
        <w:ind w:left="860" w:right="20" w:hanging="291"/>
        <w:spacing w:after="0" w:line="275"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 frequency of every three years for the non-binding, advisory vote on the frequency of the advisory vote on the compensation of our named executive officers.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4" w:name="page5"/>
    <w:bookmarkEnd w:id="4"/>
    <w:p>
      <w:pPr>
        <w:ind w:left="40"/>
        <w:spacing w:after="0"/>
        <w:rPr>
          <w:sz w:val="20"/>
          <w:szCs w:val="20"/>
          <w:color w:val="auto"/>
        </w:rPr>
      </w:pPr>
      <w:r>
        <w:rPr>
          <w:rFonts w:ascii="Arial" w:cs="Arial" w:eastAsia="Arial" w:hAnsi="Arial"/>
          <w:sz w:val="16"/>
          <w:szCs w:val="16"/>
          <w:b w:val="1"/>
          <w:bCs w:val="1"/>
          <w:color w:val="auto"/>
        </w:rPr>
        <w:t>What is the effect of an “advisory” vote?</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Because your votes with respect to approval of our named executive officer compensation and the frequency of future advisory votes on the approval of compensation of named executive officers are advisory, they will not be binding upon the Board. However, our Compensation Committee and the Board will take the outcomes of the votes into account when considering future executive compensation arrangements of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difference between a “shareholder of record” and a “street name” holder?</w:t>
      </w:r>
    </w:p>
    <w:p>
      <w:pPr>
        <w:spacing w:after="0" w:line="20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I get more than one copy of the proxy statement, annual report or Notice of Internet Availability if there are multiple shareholders at my address?</w:t>
      </w:r>
    </w:p>
    <w:p>
      <w:pPr>
        <w:spacing w:after="0" w:line="20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+1 (801) 975-7200, or by contacting our transfer agent, Broadridge Corporate Issuer Solutions P.O. Box 1342, Brentwood, NY 11717 or calling +1 (877) 830-4936.</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5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0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Broadridge.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revoke my proxy?</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may revoke your proxy before the vote is taken at the Annual Meeting by:</w:t>
      </w:r>
    </w:p>
    <w:p>
      <w:pPr>
        <w:spacing w:after="0" w:line="198" w:lineRule="exact"/>
        <w:rPr>
          <w:sz w:val="20"/>
          <w:szCs w:val="20"/>
          <w:color w:val="auto"/>
        </w:rPr>
      </w:pPr>
    </w:p>
    <w:p>
      <w:pPr>
        <w:ind w:left="860" w:hanging="291"/>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completing, signing and submitting a new proxy with a later date;</w:t>
      </w:r>
    </w:p>
    <w:p>
      <w:pPr>
        <w:spacing w:after="0" w:line="222" w:lineRule="exact"/>
        <w:rPr>
          <w:rFonts w:ascii="Arial" w:cs="Arial" w:eastAsia="Arial" w:hAnsi="Arial"/>
          <w:sz w:val="16"/>
          <w:szCs w:val="16"/>
          <w:color w:val="auto"/>
        </w:rPr>
      </w:pPr>
    </w:p>
    <w:p>
      <w:pPr>
        <w:ind w:left="860" w:hanging="291"/>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attending the Annual Meeting and voting in person; or</w:t>
      </w:r>
    </w:p>
    <w:p>
      <w:pPr>
        <w:spacing w:after="0" w:line="222" w:lineRule="exact"/>
        <w:rPr>
          <w:rFonts w:ascii="Arial" w:cs="Arial" w:eastAsia="Arial" w:hAnsi="Arial"/>
          <w:sz w:val="16"/>
          <w:szCs w:val="16"/>
          <w:color w:val="auto"/>
        </w:rPr>
      </w:pPr>
    </w:p>
    <w:p>
      <w:pPr>
        <w:ind w:left="560" w:right="4860" w:firstLine="9"/>
        <w:spacing w:after="0" w:line="548" w:lineRule="auto"/>
        <w:tabs>
          <w:tab w:leader="none" w:pos="847" w:val="left"/>
        </w:tabs>
        <w:numPr>
          <w:ilvl w:val="0"/>
          <w:numId w:val="5"/>
        </w:numPr>
        <w:rPr>
          <w:rFonts w:ascii="Arial" w:cs="Arial" w:eastAsia="Arial" w:hAnsi="Arial"/>
          <w:sz w:val="15"/>
          <w:szCs w:val="15"/>
          <w:color w:val="auto"/>
        </w:rPr>
      </w:pPr>
      <w:r>
        <w:rPr>
          <w:rFonts w:ascii="Arial" w:cs="Arial" w:eastAsia="Arial" w:hAnsi="Arial"/>
          <w:sz w:val="15"/>
          <w:szCs w:val="15"/>
          <w:color w:val="auto"/>
        </w:rPr>
        <w:t>filing a signed, written notice of revocation with the Corporate Secretary of the Company. Your attendance at the Annual Meeting will not automatically revoke your proxy.</w:t>
      </w:r>
    </w:p>
    <w:p>
      <w:pPr>
        <w:spacing w:after="0" w:line="1"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If the common stock you own is held on your behalf by a broker, bank or other nominee, you must contact the nominee to receive instructions as to how you can revoke your proxy.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may obtain an additional proxy card by writing to Corporate Secretary, ClearOne, Inc., 5225 Wiley Post Way, Suite 500, Salt Lake City, Utah 84116.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5" w:name="page6"/>
    <w:bookmarkEnd w:id="5"/>
    <w:p>
      <w:pPr>
        <w:ind w:left="44"/>
        <w:spacing w:after="0"/>
        <w:rPr>
          <w:sz w:val="20"/>
          <w:szCs w:val="20"/>
          <w:color w:val="auto"/>
        </w:rPr>
      </w:pPr>
      <w:r>
        <w:rPr>
          <w:rFonts w:ascii="Arial" w:cs="Arial" w:eastAsia="Arial" w:hAnsi="Arial"/>
          <w:sz w:val="16"/>
          <w:szCs w:val="16"/>
          <w:b w:val="1"/>
          <w:bCs w:val="1"/>
          <w:color w:val="auto"/>
        </w:rPr>
        <w:t>Where can I find the voting results of the Annual Meeting?</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4"/>
          <w:szCs w:val="14"/>
          <w:color w:val="auto"/>
        </w:rPr>
        <w:t>We will announce the preliminary voting results at the Annual Meeting and disclose the final voting results in a current report on Form 8-K filed with the SEC within four</w:t>
      </w:r>
    </w:p>
    <w:p>
      <w:pPr>
        <w:spacing w:after="0" w:line="43" w:lineRule="exact"/>
        <w:rPr>
          <w:sz w:val="20"/>
          <w:szCs w:val="20"/>
          <w:color w:val="auto"/>
        </w:rPr>
      </w:pPr>
    </w:p>
    <w:p>
      <w:pPr>
        <w:jc w:val="both"/>
        <w:ind w:left="4" w:hanging="4"/>
        <w:spacing w:after="0" w:line="252" w:lineRule="auto"/>
        <w:tabs>
          <w:tab w:leader="none" w:pos="237"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Also, such Form 8-K, any amendments thereto and other reports we file with the SEC are available to you over the Internet at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How can I view the shareholder list?</w:t>
      </w:r>
    </w:p>
    <w:p>
      <w:pPr>
        <w:spacing w:after="0" w:line="202"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Who pays for the proxy solicitation related to the Annual Meeting?</w:t>
      </w:r>
    </w:p>
    <w:p>
      <w:pPr>
        <w:spacing w:after="0" w:line="202"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How can I obtain a copy of the Annual Report?</w:t>
      </w:r>
    </w:p>
    <w:p>
      <w:pPr>
        <w:spacing w:after="0" w:line="20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Our 2018 Annual Report has been made available to shareholders with this proxy statement. You may also access or obtain a copy of our 2018 Annual Report, Form 10-K, Form 10-K/A and other reports filed with the SEC free of charge on our web site at http://www.clearone.com, or at the SEC's web site at http://www.sec.gov. The 2018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70"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b w:val="1"/>
          <w:bCs w:val="1"/>
          <w:i w:val="1"/>
          <w:iCs w:val="1"/>
          <w:color w:val="auto"/>
        </w:rPr>
        <w:t>We will provide, without charge, a printed copy of our 2018 Annual Report to each shareholder of record as of the record date that requests a copy in writing. Any such requests should be directed to our Corporate Secretary at our corporate offices set forth in this proxy statement.</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PROPOSAL ONE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ELECTION OF DIRECTORS</w:t>
      </w:r>
    </w:p>
    <w:p>
      <w:pPr>
        <w:spacing w:after="0" w:line="202" w:lineRule="exact"/>
        <w:rPr>
          <w:sz w:val="20"/>
          <w:szCs w:val="20"/>
          <w:color w:val="auto"/>
        </w:rPr>
      </w:pPr>
    </w:p>
    <w:p>
      <w:pPr>
        <w:jc w:val="both"/>
        <w:ind w:left="4" w:firstLine="574"/>
        <w:spacing w:after="0" w:line="301" w:lineRule="auto"/>
        <w:rPr>
          <w:sz w:val="20"/>
          <w:szCs w:val="20"/>
          <w:color w:val="auto"/>
        </w:rPr>
      </w:pPr>
      <w:r>
        <w:rPr>
          <w:rFonts w:ascii="Arial" w:cs="Arial" w:eastAsia="Arial" w:hAnsi="Arial"/>
          <w:sz w:val="14"/>
          <w:szCs w:val="14"/>
          <w:color w:val="auto"/>
        </w:rPr>
        <w:t>Our Certificate of Incorporation and bylaws provide that our Board of Directors shall consist of not less than three or more than nine members as determined by the Board of Directors or our shareholders from time to time. The Board of Directors has currently fixed the number of directors at four. The term of each of our directors expires at the 2019 Annual Meeting. We have nominated current directors Ms. Hakimoglu, Mr. Hendricks, Mr. Robinson and Mr. Whaley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THE BOARD OF DIRECTORS UNANIMOUSLY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ELECTION OF THE DIRECTOR NOMINEES NAMED HEREIN.</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624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4"/>
          </w:cols>
          <w:pgMar w:left="236" w:top="529" w:right="219" w:bottom="1440" w:gutter="0" w:footer="0" w:header="0"/>
        </w:sectPr>
      </w:pPr>
    </w:p>
    <w:bookmarkStart w:id="6" w:name="page7"/>
    <w:bookmarkEnd w:id="6"/>
    <w:p>
      <w:pPr>
        <w:ind w:left="44"/>
        <w:spacing w:after="0"/>
        <w:rPr>
          <w:sz w:val="20"/>
          <w:szCs w:val="20"/>
          <w:color w:val="auto"/>
        </w:rPr>
      </w:pPr>
      <w:r>
        <w:rPr>
          <w:rFonts w:ascii="Arial" w:cs="Arial" w:eastAsia="Arial" w:hAnsi="Arial"/>
          <w:sz w:val="16"/>
          <w:szCs w:val="16"/>
          <w:b w:val="1"/>
          <w:bCs w:val="1"/>
          <w:color w:val="auto"/>
        </w:rPr>
        <w:t>Directors and Nominees for Director</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certain information regarding our current directors, including the three nominees for re-election as directors at the Annual Meeting.</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26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Age</w:t>
            </w:r>
          </w:p>
        </w:tc>
        <w:tc>
          <w:tcPr>
            <w:tcW w:w="1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2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6"/>
                <w:szCs w:val="16"/>
                <w:b w:val="1"/>
                <w:bCs w:val="1"/>
                <w:color w:val="auto"/>
              </w:rPr>
              <w:t>Director Since</w:t>
            </w:r>
          </w:p>
        </w:tc>
      </w:tr>
      <w:tr>
        <w:trPr>
          <w:trHeight w:val="20"/>
        </w:trPr>
        <w:tc>
          <w:tcPr>
            <w:tcW w:w="2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1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Zeynep “Zee” Hakimoglu</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line="218" w:lineRule="exact"/>
              <w:rPr>
                <w:sz w:val="20"/>
                <w:szCs w:val="20"/>
                <w:color w:val="auto"/>
              </w:rPr>
            </w:pPr>
            <w:r>
              <w:rPr>
                <w:rFonts w:ascii="Arial" w:cs="Arial" w:eastAsia="Arial" w:hAnsi="Arial"/>
                <w:sz w:val="15"/>
                <w:szCs w:val="15"/>
                <w:color w:val="auto"/>
              </w:rPr>
              <w:t xml:space="preserve">Chairman, Chief Executive Officer, and President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6"/>
                <w:szCs w:val="16"/>
                <w:color w:val="auto"/>
              </w:rPr>
              <w:t>See Note 4</w:t>
            </w:r>
          </w:p>
        </w:tc>
      </w:tr>
      <w:tr>
        <w:trPr>
          <w:trHeight w:val="227"/>
        </w:trPr>
        <w:tc>
          <w:tcPr>
            <w:tcW w:w="2660" w:type="dxa"/>
            <w:vAlign w:val="bottom"/>
          </w:tcPr>
          <w:p>
            <w:pPr>
              <w:spacing w:after="0"/>
              <w:rPr>
                <w:sz w:val="20"/>
                <w:szCs w:val="20"/>
                <w:color w:val="auto"/>
              </w:rPr>
            </w:pPr>
            <w:r>
              <w:rPr>
                <w:rFonts w:ascii="Arial" w:cs="Arial" w:eastAsia="Arial" w:hAnsi="Arial"/>
                <w:sz w:val="16"/>
                <w:szCs w:val="16"/>
                <w:color w:val="auto"/>
              </w:rPr>
              <w:t>Larry R. Hendricks</w:t>
            </w:r>
          </w:p>
        </w:tc>
        <w:tc>
          <w:tcPr>
            <w:tcW w:w="1080" w:type="dxa"/>
            <w:vAlign w:val="bottom"/>
            <w:gridSpan w:val="2"/>
          </w:tcPr>
          <w:p>
            <w:pPr>
              <w:ind w:left="20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9"/>
                <w:szCs w:val="19"/>
                <w:color w:val="auto"/>
              </w:rPr>
            </w:pPr>
          </w:p>
        </w:tc>
        <w:tc>
          <w:tcPr>
            <w:tcW w:w="5780" w:type="dxa"/>
            <w:vAlign w:val="bottom"/>
          </w:tcPr>
          <w:p>
            <w:pPr>
              <w:spacing w:after="0" w:line="227" w:lineRule="exact"/>
              <w:rPr>
                <w:sz w:val="20"/>
                <w:szCs w:val="20"/>
                <w:color w:val="auto"/>
              </w:rPr>
            </w:pPr>
            <w:r>
              <w:rPr>
                <w:rFonts w:ascii="Arial" w:cs="Arial" w:eastAsia="Arial" w:hAnsi="Arial"/>
                <w:sz w:val="26"/>
                <w:szCs w:val="26"/>
                <w:color w:val="auto"/>
                <w:vertAlign w:val="subscript"/>
              </w:rPr>
              <w:t>Director</w:t>
            </w:r>
            <w:r>
              <w:rPr>
                <w:rFonts w:ascii="Arial" w:cs="Arial" w:eastAsia="Arial" w:hAnsi="Arial"/>
                <w:sz w:val="12"/>
                <w:szCs w:val="12"/>
                <w:color w:val="auto"/>
              </w:rPr>
              <w:t xml:space="preserve"> (1)(2)(3)</w:t>
            </w:r>
          </w:p>
        </w:tc>
        <w:tc>
          <w:tcPr>
            <w:tcW w:w="1740" w:type="dxa"/>
            <w:vAlign w:val="bottom"/>
            <w:gridSpan w:val="2"/>
          </w:tcPr>
          <w:p>
            <w:pPr>
              <w:ind w:left="200"/>
              <w:spacing w:after="0"/>
              <w:rPr>
                <w:sz w:val="20"/>
                <w:szCs w:val="20"/>
                <w:color w:val="auto"/>
              </w:rPr>
            </w:pPr>
            <w:r>
              <w:rPr>
                <w:rFonts w:ascii="Arial" w:cs="Arial" w:eastAsia="Arial" w:hAnsi="Arial"/>
                <w:sz w:val="16"/>
                <w:szCs w:val="16"/>
                <w:color w:val="auto"/>
              </w:rPr>
              <w:t>2003</w:t>
            </w:r>
          </w:p>
        </w:tc>
      </w:tr>
      <w:tr>
        <w:trPr>
          <w:trHeight w:val="227"/>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Eric. L Robinson</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52</w:t>
            </w:r>
          </w:p>
        </w:tc>
        <w:tc>
          <w:tcPr>
            <w:tcW w:w="18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line="227" w:lineRule="exact"/>
              <w:rPr>
                <w:sz w:val="20"/>
                <w:szCs w:val="20"/>
                <w:color w:val="auto"/>
              </w:rPr>
            </w:pPr>
            <w:r>
              <w:rPr>
                <w:rFonts w:ascii="Arial" w:cs="Arial" w:eastAsia="Arial" w:hAnsi="Arial"/>
                <w:sz w:val="26"/>
                <w:szCs w:val="26"/>
                <w:color w:val="auto"/>
                <w:vertAlign w:val="subscript"/>
              </w:rPr>
              <w:t>Director</w:t>
            </w:r>
            <w:r>
              <w:rPr>
                <w:rFonts w:ascii="Arial" w:cs="Arial" w:eastAsia="Arial" w:hAnsi="Arial"/>
                <w:sz w:val="12"/>
                <w:szCs w:val="12"/>
                <w:color w:val="auto"/>
              </w:rPr>
              <w:t xml:space="preserve"> (1)(2)(3)</w:t>
            </w:r>
          </w:p>
        </w:tc>
        <w:tc>
          <w:tcPr>
            <w:tcW w:w="1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2015</w:t>
            </w:r>
          </w:p>
        </w:tc>
      </w:tr>
      <w:tr>
        <w:trPr>
          <w:trHeight w:val="227"/>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Bruce Whaley</w:t>
            </w: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68</w:t>
            </w:r>
          </w:p>
        </w:tc>
        <w:tc>
          <w:tcPr>
            <w:tcW w:w="18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tcPr>
          <w:p>
            <w:pPr>
              <w:spacing w:after="0" w:line="227" w:lineRule="exact"/>
              <w:rPr>
                <w:sz w:val="20"/>
                <w:szCs w:val="20"/>
                <w:color w:val="auto"/>
              </w:rPr>
            </w:pPr>
            <w:r>
              <w:rPr>
                <w:rFonts w:ascii="Arial" w:cs="Arial" w:eastAsia="Arial" w:hAnsi="Arial"/>
                <w:sz w:val="26"/>
                <w:szCs w:val="26"/>
                <w:color w:val="auto"/>
                <w:vertAlign w:val="subscript"/>
              </w:rPr>
              <w:t>Director</w:t>
            </w:r>
            <w:r>
              <w:rPr>
                <w:rFonts w:ascii="Arial" w:cs="Arial" w:eastAsia="Arial" w:hAnsi="Arial"/>
                <w:sz w:val="12"/>
                <w:szCs w:val="12"/>
                <w:color w:val="auto"/>
              </w:rPr>
              <w:t xml:space="preserve"> (1)(2)(3)</w:t>
            </w: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2019</w:t>
            </w:r>
          </w:p>
        </w:tc>
      </w:tr>
    </w:tbl>
    <w:p>
      <w:pPr>
        <w:spacing w:after="0" w:line="179" w:lineRule="exact"/>
        <w:rPr>
          <w:sz w:val="20"/>
          <w:szCs w:val="20"/>
          <w:color w:val="auto"/>
        </w:rPr>
      </w:pPr>
    </w:p>
    <w:p>
      <w:pPr>
        <w:ind w:left="284" w:hanging="284"/>
        <w:spacing w:after="0"/>
        <w:tabs>
          <w:tab w:leader="none" w:pos="284"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Audit and Compliance Committee</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Nominating Committee</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7"/>
        </w:numPr>
        <w:rPr>
          <w:rFonts w:ascii="Arial" w:cs="Arial" w:eastAsia="Arial" w:hAnsi="Arial"/>
          <w:sz w:val="16"/>
          <w:szCs w:val="16"/>
          <w:color w:val="auto"/>
        </w:rPr>
      </w:pPr>
      <w:r>
        <w:rPr>
          <w:rFonts w:ascii="Arial" w:cs="Arial" w:eastAsia="Arial" w:hAnsi="Arial"/>
          <w:sz w:val="16"/>
          <w:szCs w:val="16"/>
          <w:color w:val="auto"/>
        </w:rPr>
        <w:t>Officer since July 2004; Director since April 2006; Chairman of the Board since July 2007.</w:t>
      </w:r>
    </w:p>
    <w:p>
      <w:pPr>
        <w:spacing w:after="0" w:line="182" w:lineRule="exact"/>
        <w:rPr>
          <w:sz w:val="20"/>
          <w:szCs w:val="20"/>
          <w:color w:val="auto"/>
        </w:rPr>
      </w:pPr>
    </w:p>
    <w:p>
      <w:pPr>
        <w:jc w:val="both"/>
        <w:ind w:left="4" w:firstLine="574"/>
        <w:spacing w:after="0" w:line="270" w:lineRule="auto"/>
        <w:rPr>
          <w:sz w:val="20"/>
          <w:szCs w:val="20"/>
          <w:color w:val="auto"/>
        </w:rPr>
      </w:pPr>
      <w:r>
        <w:rPr>
          <w:rFonts w:ascii="Arial" w:cs="Arial" w:eastAsia="Arial" w:hAnsi="Arial"/>
          <w:sz w:val="15"/>
          <w:szCs w:val="15"/>
          <w:b w:val="1"/>
          <w:bCs w:val="1"/>
          <w:color w:val="auto"/>
        </w:rPr>
        <w:t xml:space="preserve">Zee Hakimoglu </w:t>
      </w:r>
      <w:r>
        <w:rPr>
          <w:rFonts w:ascii="Arial" w:cs="Arial" w:eastAsia="Arial" w:hAnsi="Arial"/>
          <w:sz w:val="15"/>
          <w:szCs w:val="15"/>
          <w:color w:val="auto"/>
        </w:rPr>
        <w:t>is our President, Chief Executive Officer and Chairman. She joined our company in December 2003 as Vice President of Product Line Management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Oplink Communications, a publicly traded developer of fiber optic subsystems and components, from December 2001 to December 2002; and, President of OZ Optics USA,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57"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b w:val="1"/>
          <w:bCs w:val="1"/>
          <w:color w:val="auto"/>
        </w:rPr>
        <w:t xml:space="preserve">Larry R. Hendricks </w:t>
      </w:r>
      <w:r>
        <w:rPr>
          <w:rFonts w:ascii="Arial" w:cs="Arial" w:eastAsia="Arial" w:hAnsi="Arial"/>
          <w:sz w:val="16"/>
          <w:szCs w:val="16"/>
          <w:color w:val="auto"/>
        </w:rPr>
        <w:t>has served as a director of our company since June 2003. Mr. Hendricks is a Certified Public Accountant who retired in December 2002 after</w:t>
      </w:r>
      <w:r>
        <w:rPr>
          <w:rFonts w:ascii="Arial" w:cs="Arial" w:eastAsia="Arial" w:hAnsi="Arial"/>
          <w:sz w:val="16"/>
          <w:szCs w:val="16"/>
          <w:b w:val="1"/>
          <w:bCs w:val="1"/>
          <w:color w:val="auto"/>
        </w:rPr>
        <w:t xml:space="preserve"> </w:t>
      </w:r>
      <w:r>
        <w:rPr>
          <w:rFonts w:ascii="Arial" w:cs="Arial" w:eastAsia="Arial" w:hAnsi="Arial"/>
          <w:sz w:val="16"/>
          <w:szCs w:val="16"/>
          <w:color w:val="auto"/>
        </w:rPr>
        <w:t>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67" w:lineRule="exact"/>
        <w:rPr>
          <w:sz w:val="20"/>
          <w:szCs w:val="20"/>
          <w:color w:val="auto"/>
        </w:rPr>
      </w:pPr>
    </w:p>
    <w:p>
      <w:pPr>
        <w:jc w:val="both"/>
        <w:ind w:left="4" w:firstLine="574"/>
        <w:spacing w:after="0" w:line="290" w:lineRule="auto"/>
        <w:rPr>
          <w:sz w:val="20"/>
          <w:szCs w:val="20"/>
          <w:color w:val="auto"/>
        </w:rPr>
      </w:pPr>
      <w:r>
        <w:rPr>
          <w:rFonts w:ascii="Arial" w:cs="Arial" w:eastAsia="Arial" w:hAnsi="Arial"/>
          <w:sz w:val="14"/>
          <w:szCs w:val="14"/>
          <w:b w:val="1"/>
          <w:bCs w:val="1"/>
          <w:color w:val="auto"/>
        </w:rPr>
        <w:t xml:space="preserve">Eric. L Robinson </w:t>
      </w:r>
      <w:r>
        <w:rPr>
          <w:rFonts w:ascii="Arial" w:cs="Arial" w:eastAsia="Arial" w:hAnsi="Arial"/>
          <w:sz w:val="14"/>
          <w:szCs w:val="14"/>
          <w:color w:val="auto"/>
        </w:rPr>
        <w:t>has served as a director of our company since July 2015. Mr. Robinson spent fourteen years in private practice as a corporate attorney, including eleven</w:t>
      </w:r>
      <w:r>
        <w:rPr>
          <w:rFonts w:ascii="Arial" w:cs="Arial" w:eastAsia="Arial" w:hAnsi="Arial"/>
          <w:sz w:val="14"/>
          <w:szCs w:val="14"/>
          <w:b w:val="1"/>
          <w:bCs w:val="1"/>
          <w:color w:val="auto"/>
        </w:rPr>
        <w:t xml:space="preserve"> </w:t>
      </w:r>
      <w:r>
        <w:rPr>
          <w:rFonts w:ascii="Arial" w:cs="Arial" w:eastAsia="Arial" w:hAnsi="Arial"/>
          <w:sz w:val="14"/>
          <w:szCs w:val="14"/>
          <w:color w:val="auto"/>
        </w:rPr>
        <w:t>years as a partner in the Salt Lake City, Utah law firm of Blackburn &amp; Stoll, LC. Mr. Robinson's law practice focused on securities, corporate and other business transactions. Since 2009, Mr. Robinson has been principally employed by MicroPower Global Limited, a company in the semiconductor business. At MicroPower, Mr. Robinson has acted as General Counsel, Chief Financial Officer and a director.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624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4"/>
          </w:cols>
          <w:pgMar w:left="236" w:top="529" w:right="219" w:bottom="1440" w:gutter="0" w:footer="0" w:header="0"/>
        </w:sectPr>
      </w:pPr>
    </w:p>
    <w:bookmarkStart w:id="7" w:name="page8"/>
    <w:bookmarkEnd w:id="7"/>
    <w:p>
      <w:pPr>
        <w:jc w:val="both"/>
        <w:ind w:firstLine="574"/>
        <w:spacing w:after="0" w:line="257" w:lineRule="auto"/>
        <w:rPr>
          <w:sz w:val="20"/>
          <w:szCs w:val="20"/>
          <w:color w:val="auto"/>
        </w:rPr>
      </w:pPr>
      <w:r>
        <w:rPr>
          <w:rFonts w:ascii="Arial" w:cs="Arial" w:eastAsia="Arial" w:hAnsi="Arial"/>
          <w:sz w:val="16"/>
          <w:szCs w:val="16"/>
          <w:b w:val="1"/>
          <w:bCs w:val="1"/>
          <w:color w:val="auto"/>
        </w:rPr>
        <w:t xml:space="preserve">Bruce Whaley </w:t>
      </w:r>
      <w:r>
        <w:rPr>
          <w:rFonts w:ascii="Arial" w:cs="Arial" w:eastAsia="Arial" w:hAnsi="Arial"/>
          <w:sz w:val="16"/>
          <w:szCs w:val="16"/>
          <w:color w:val="auto"/>
        </w:rPr>
        <w:t>was appointed a director of our company effective April 16, 2019. Mr. Whaley has extensive experience as a stock broker for nearly five decades. Mr.</w:t>
      </w:r>
      <w:r>
        <w:rPr>
          <w:rFonts w:ascii="Arial" w:cs="Arial" w:eastAsia="Arial" w:hAnsi="Arial"/>
          <w:sz w:val="16"/>
          <w:szCs w:val="16"/>
          <w:b w:val="1"/>
          <w:bCs w:val="1"/>
          <w:color w:val="auto"/>
        </w:rPr>
        <w:t xml:space="preserve"> </w:t>
      </w:r>
      <w:r>
        <w:rPr>
          <w:rFonts w:ascii="Arial" w:cs="Arial" w:eastAsia="Arial" w:hAnsi="Arial"/>
          <w:sz w:val="16"/>
          <w:szCs w:val="16"/>
          <w:color w:val="auto"/>
        </w:rPr>
        <w:t>Whaley is currently a broker trading at Wilson &amp; Davis, a regional brokerage firm based in Salt Lake City, Utah. He has been with Wilson &amp; Davis since 1988. Mr Whaley also holds a real estate license and works as a real estate agent for Coldwell Banker. Mr. Whaley attended University of Utah between 1968 and 1971 and studied business administration, accounting and finance. He did not graduate with a degree. In light of Mr. Whaley's background in finance and capital markets, the Board concluded it was appropriate that Mr. Whaley be appointed and continue to serve as a director.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Relating to Corporate Governance and the Board of Directors</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Board of Directors has determined, after considering all the relevant facts and circumstances, that Messrs. Hendricks, Robinson and Whaley are independent directors, as “independence” is defined by the listing standards of NASDAQ. This determination was made because Messrs. Hendricks, Robinson and Whaley have no relationship with us that would interfere with their exercise of independent judgment.</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Our Board of Directors has an Audit and Compliance Committee, a Compensation Committee, and a Nominating Committee, each consisting entirely of independent directors.</w:t>
      </w:r>
    </w:p>
    <w:p>
      <w:pPr>
        <w:spacing w:after="0" w:line="152"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4"/>
          <w:szCs w:val="14"/>
          <w:i w:val="1"/>
          <w:iCs w:val="1"/>
          <w:color w:val="auto"/>
        </w:rPr>
        <w:t>www.clearone.com</w:t>
      </w:r>
      <w:r>
        <w:rPr>
          <w:rFonts w:ascii="Arial" w:cs="Arial" w:eastAsia="Arial" w:hAnsi="Arial"/>
          <w:sz w:val="14"/>
          <w:szCs w:val="14"/>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 Lead Independent Director</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Zee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69"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and the current Lead Independent Director, provides the appropriate balance between independent oversight of management and the development of strategy.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Role in Risk Oversight</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8" w:name="page9"/>
    <w:bookmarkEnd w:id="8"/>
    <w:p>
      <w:pPr>
        <w:ind w:left="40"/>
        <w:spacing w:after="0"/>
        <w:rPr>
          <w:sz w:val="20"/>
          <w:szCs w:val="20"/>
          <w:color w:val="auto"/>
        </w:rPr>
      </w:pPr>
      <w:r>
        <w:rPr>
          <w:rFonts w:ascii="Arial" w:cs="Arial" w:eastAsia="Arial" w:hAnsi="Arial"/>
          <w:sz w:val="16"/>
          <w:szCs w:val="16"/>
          <w:b w:val="1"/>
          <w:bCs w:val="1"/>
          <w:color w:val="auto"/>
        </w:rPr>
        <w:t>Committees of the Board of Directors</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Audit and Compliance Committee. </w:t>
      </w:r>
      <w:r>
        <w:rPr>
          <w:rFonts w:ascii="Arial" w:cs="Arial" w:eastAsia="Arial" w:hAnsi="Arial"/>
          <w:sz w:val="16"/>
          <w:szCs w:val="16"/>
          <w:color w:val="auto"/>
        </w:rPr>
        <w:t>The Audit and Compliance Committee meets to review and discuss our accounting practices and procedures with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71"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members of the Audit and Compliance Committee are Eric L. Robinson (Chairman), Larry R. Hendricks and Bruce Whaley.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61" w:lineRule="exact"/>
        <w:rPr>
          <w:sz w:val="20"/>
          <w:szCs w:val="20"/>
          <w:color w:val="auto"/>
        </w:rPr>
      </w:pPr>
    </w:p>
    <w:p>
      <w:pPr>
        <w:jc w:val="both"/>
        <w:ind w:right="20" w:firstLine="574"/>
        <w:spacing w:after="0" w:line="282" w:lineRule="auto"/>
        <w:rPr>
          <w:sz w:val="20"/>
          <w:szCs w:val="20"/>
          <w:color w:val="auto"/>
        </w:rPr>
      </w:pPr>
      <w:r>
        <w:rPr>
          <w:rFonts w:ascii="Arial" w:cs="Arial" w:eastAsia="Arial" w:hAnsi="Arial"/>
          <w:sz w:val="15"/>
          <w:szCs w:val="15"/>
          <w:b w:val="1"/>
          <w:bCs w:val="1"/>
          <w:color w:val="auto"/>
        </w:rPr>
        <w:t xml:space="preserve">Compensation Committee. </w:t>
      </w:r>
      <w:r>
        <w:rPr>
          <w:rFonts w:ascii="Arial" w:cs="Arial" w:eastAsia="Arial" w:hAnsi="Arial"/>
          <w:sz w:val="15"/>
          <w:szCs w:val="15"/>
          <w:color w:val="auto"/>
        </w:rPr>
        <w:t>The Compensation Committee is responsible for overseeing, reviewing, and approving our executive compensation and benefit programs</w:t>
      </w:r>
      <w:r>
        <w:rPr>
          <w:rFonts w:ascii="Arial" w:cs="Arial" w:eastAsia="Arial" w:hAnsi="Arial"/>
          <w:sz w:val="15"/>
          <w:szCs w:val="15"/>
          <w:b w:val="1"/>
          <w:bCs w:val="1"/>
          <w:color w:val="auto"/>
        </w:rPr>
        <w:t xml:space="preserve"> </w:t>
      </w:r>
      <w:r>
        <w:rPr>
          <w:rFonts w:ascii="Arial" w:cs="Arial" w:eastAsia="Arial" w:hAnsi="Arial"/>
          <w:sz w:val="15"/>
          <w:szCs w:val="15"/>
          <w:color w:val="auto"/>
        </w:rPr>
        <w:t>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Bruce Whaley (Chairman), Larry R. Hendricks and Eric L. Robinson.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compensation objectives for executive officers are as follows:</w:t>
      </w:r>
    </w:p>
    <w:p>
      <w:pPr>
        <w:spacing w:after="0" w:line="198" w:lineRule="exact"/>
        <w:rPr>
          <w:sz w:val="20"/>
          <w:szCs w:val="20"/>
          <w:color w:val="auto"/>
        </w:rPr>
      </w:pPr>
    </w:p>
    <w:p>
      <w:pPr>
        <w:ind w:left="860" w:hanging="291"/>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attract and retain highly qualified individuals capable of making significant contributions to the long-term success of our company;</w:t>
      </w:r>
    </w:p>
    <w:p>
      <w:pPr>
        <w:spacing w:after="0" w:line="222" w:lineRule="exact"/>
        <w:rPr>
          <w:rFonts w:ascii="Arial" w:cs="Arial" w:eastAsia="Arial" w:hAnsi="Arial"/>
          <w:sz w:val="16"/>
          <w:szCs w:val="16"/>
          <w:color w:val="auto"/>
        </w:rPr>
      </w:pPr>
    </w:p>
    <w:p>
      <w:pPr>
        <w:ind w:left="860" w:hanging="291"/>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use incentive compensation to reinforce strategic performance objectives;</w:t>
      </w:r>
    </w:p>
    <w:p>
      <w:pPr>
        <w:spacing w:after="0" w:line="222" w:lineRule="exact"/>
        <w:rPr>
          <w:rFonts w:ascii="Arial" w:cs="Arial" w:eastAsia="Arial" w:hAnsi="Arial"/>
          <w:sz w:val="16"/>
          <w:szCs w:val="16"/>
          <w:color w:val="auto"/>
        </w:rPr>
      </w:pPr>
    </w:p>
    <w:p>
      <w:pPr>
        <w:ind w:left="860" w:hanging="291"/>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align the interest of our executives with the interests of our shareholders such that the risks and rewards of strategic decisions are shared; and</w:t>
      </w:r>
    </w:p>
    <w:p>
      <w:pPr>
        <w:spacing w:after="0" w:line="222" w:lineRule="exact"/>
        <w:rPr>
          <w:rFonts w:ascii="Arial" w:cs="Arial" w:eastAsia="Arial" w:hAnsi="Arial"/>
          <w:sz w:val="16"/>
          <w:szCs w:val="16"/>
          <w:color w:val="auto"/>
        </w:rPr>
      </w:pPr>
    </w:p>
    <w:p>
      <w:pPr>
        <w:ind w:left="860" w:hanging="291"/>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reflect the value of each officer’s position in the marketplace and within our company.</w:t>
      </w:r>
    </w:p>
    <w:p>
      <w:pPr>
        <w:spacing w:after="0" w:line="222"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i w:val="1"/>
          <w:iCs w:val="1"/>
          <w:color w:val="auto"/>
        </w:rPr>
        <w:t>Policies and Practices Related to ClearOne’s Compensation Program</w:t>
      </w:r>
      <w:r>
        <w:rPr>
          <w:rFonts w:ascii="Arial" w:cs="Arial" w:eastAsia="Arial" w:hAnsi="Arial"/>
          <w:sz w:val="14"/>
          <w:szCs w:val="14"/>
          <w:color w:val="auto"/>
        </w:rPr>
        <w:t>. We strive to create an overall compensation package for each executive officer that satisfies the</w:t>
      </w:r>
      <w:r>
        <w:rPr>
          <w:rFonts w:ascii="Arial" w:cs="Arial" w:eastAsia="Arial" w:hAnsi="Arial"/>
          <w:sz w:val="14"/>
          <w:szCs w:val="14"/>
          <w:i w:val="1"/>
          <w:iCs w:val="1"/>
          <w:color w:val="auto"/>
        </w:rPr>
        <w:t xml:space="preserve"> </w:t>
      </w:r>
      <w:r>
        <w:rPr>
          <w:rFonts w:ascii="Arial" w:cs="Arial" w:eastAsia="Arial" w:hAnsi="Arial"/>
          <w:sz w:val="14"/>
          <w:szCs w:val="14"/>
          <w:color w:val="auto"/>
        </w:rPr>
        <w:t>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4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i w:val="1"/>
          <w:iCs w:val="1"/>
          <w:color w:val="auto"/>
        </w:rPr>
        <w:t>Comparable Companies</w:t>
      </w:r>
      <w:r>
        <w:rPr>
          <w:rFonts w:ascii="Arial" w:cs="Arial" w:eastAsia="Arial" w:hAnsi="Arial"/>
          <w:sz w:val="15"/>
          <w:szCs w:val="15"/>
          <w:color w:val="auto"/>
        </w:rPr>
        <w:t>. In making compensation decisions, including assessing the competitiveness of the total compensation structure for each named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9" w:name="page10"/>
    <w:bookmarkEnd w:id="9"/>
    <w:p>
      <w:pPr>
        <w:jc w:val="both"/>
        <w:ind w:firstLine="812"/>
        <w:spacing w:after="0" w:line="258" w:lineRule="auto"/>
        <w:rPr>
          <w:sz w:val="20"/>
          <w:szCs w:val="20"/>
          <w:color w:val="auto"/>
        </w:rPr>
      </w:pPr>
      <w:r>
        <w:rPr>
          <w:rFonts w:ascii="Arial" w:cs="Arial" w:eastAsia="Arial" w:hAnsi="Arial"/>
          <w:sz w:val="16"/>
          <w:szCs w:val="16"/>
          <w:i w:val="1"/>
          <w:iCs w:val="1"/>
          <w:color w:val="auto"/>
        </w:rPr>
        <w:t>Equity Grant Practices</w:t>
      </w:r>
      <w:r>
        <w:rPr>
          <w:rFonts w:ascii="Arial" w:cs="Arial" w:eastAsia="Arial" w:hAnsi="Arial"/>
          <w:sz w:val="16"/>
          <w:szCs w:val="16"/>
          <w:color w:val="auto"/>
        </w:rPr>
        <w:t>. The Compensation Committee recognizes the importance of equity ownership in the alignment of shareholder and management interests.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6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non-equity-based incentive plans for other executive officers. The Compensation Committee did not employ any compensation consultants during the year ended December 31, 2018.</w:t>
      </w:r>
    </w:p>
    <w:p>
      <w:pPr>
        <w:spacing w:after="0" w:line="152"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 xml:space="preserve">Nominating Committee. </w:t>
      </w:r>
      <w:r>
        <w:rPr>
          <w:rFonts w:ascii="Arial" w:cs="Arial" w:eastAsia="Arial" w:hAnsi="Arial"/>
          <w:sz w:val="16"/>
          <w:szCs w:val="16"/>
          <w:color w:val="auto"/>
        </w:rPr>
        <w:t>The Nominating Committee is responsible for overseeing the nomination of our directors. The Nominating Committee selects, evaluates,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recommends to the full Board of Directors qualified candidates for election to the Board of Directors. The members of the Nominating Committee are Larry R. Hendricks (Chairman), Eric L. Robinson, and Bruce Whaley.</w:t>
      </w:r>
    </w:p>
    <w:p>
      <w:pPr>
        <w:spacing w:after="0" w:line="159"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 Meetings</w:t>
      </w:r>
    </w:p>
    <w:p>
      <w:pPr>
        <w:spacing w:after="0" w:line="202"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Our Board of Directors held a total of eleven meetings in 2018.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except Bruce Whaley, who was not a director at that time, attended the 2018 Annual Meeting of Shareholders.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2018, the Audit and Compliance Committee held nine meetings, the Compensation Committee held no meetings, and the Nominating Committee held two meetings.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6"/>
          <w:szCs w:val="16"/>
          <w:u w:val="single" w:color="auto"/>
          <w:color w:val="auto"/>
        </w:rPr>
        <w:t>www.clearone.com</w:t>
      </w:r>
      <w:r>
        <w:rPr>
          <w:rFonts w:ascii="Arial" w:cs="Arial" w:eastAsia="Arial" w:hAnsi="Arial"/>
          <w:sz w:val="16"/>
          <w:szCs w:val="16"/>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0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2018, we believe that each person who, at any time during such fiscal year was a director, officer, or beneficial owner of more than 10% of our common stock complied with all Section 16(a) filing requirements during such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33" w:right="21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08"/>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82"/>
        </w:trPr>
        <w:tc>
          <w:tcPr>
            <w:tcW w:w="20" w:type="dxa"/>
            <w:vAlign w:val="bottom"/>
          </w:tcPr>
          <w:p>
            <w:pPr>
              <w:spacing w:after="0"/>
              <w:rPr>
                <w:sz w:val="24"/>
                <w:szCs w:val="24"/>
                <w:color w:val="auto"/>
              </w:rPr>
            </w:pPr>
          </w:p>
        </w:tc>
        <w:tc>
          <w:tcPr>
            <w:tcW w:w="9840" w:type="dxa"/>
            <w:vAlign w:val="bottom"/>
            <w:gridSpan w:val="5"/>
          </w:tcPr>
          <w:p>
            <w:pPr>
              <w:ind w:left="540"/>
              <w:spacing w:after="0"/>
              <w:rPr>
                <w:sz w:val="20"/>
                <w:szCs w:val="20"/>
                <w:color w:val="auto"/>
              </w:rPr>
            </w:pPr>
            <w:r>
              <w:rPr>
                <w:rFonts w:ascii="Arial" w:cs="Arial" w:eastAsia="Arial" w:hAnsi="Arial"/>
                <w:sz w:val="16"/>
                <w:szCs w:val="16"/>
                <w:color w:val="auto"/>
              </w:rPr>
              <w:t>The following table sets forth certain information regarding our executive officers.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Officer</w:t>
            </w:r>
          </w:p>
        </w:tc>
      </w:tr>
      <w:tr>
        <w:trPr>
          <w:trHeight w:val="208"/>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940" w:type="dxa"/>
            <w:vAlign w:val="bottom"/>
          </w:tcPr>
          <w:p>
            <w:pPr>
              <w:jc w:val="right"/>
              <w:ind w:right="600"/>
              <w:spacing w:after="0"/>
              <w:rPr>
                <w:sz w:val="20"/>
                <w:szCs w:val="20"/>
                <w:color w:val="auto"/>
              </w:rPr>
            </w:pPr>
            <w:r>
              <w:rPr>
                <w:rFonts w:ascii="Arial" w:cs="Arial" w:eastAsia="Arial" w:hAnsi="Arial"/>
                <w:sz w:val="16"/>
                <w:szCs w:val="16"/>
                <w:b w:val="1"/>
                <w:bCs w:val="1"/>
                <w:color w:val="auto"/>
                <w:w w:val="79"/>
              </w:rPr>
              <w:t>Age</w:t>
            </w:r>
          </w:p>
        </w:tc>
        <w:tc>
          <w:tcPr>
            <w:tcW w:w="1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Since</w:t>
            </w:r>
          </w:p>
        </w:tc>
      </w:tr>
      <w:tr>
        <w:trPr>
          <w:trHeight w:val="183"/>
        </w:trPr>
        <w:tc>
          <w:tcPr>
            <w:tcW w:w="20" w:type="dxa"/>
            <w:vAlign w:val="bottom"/>
          </w:tcPr>
          <w:p>
            <w:pPr>
              <w:spacing w:after="0"/>
              <w:rPr>
                <w:sz w:val="15"/>
                <w:szCs w:val="15"/>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Zeynep Hakimoglu</w:t>
            </w:r>
          </w:p>
        </w:tc>
        <w:tc>
          <w:tcPr>
            <w:tcW w:w="14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5"/>
                <w:szCs w:val="15"/>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Chairman, Chief Executive Officer, and President</w:t>
            </w:r>
          </w:p>
        </w:tc>
        <w:tc>
          <w:tcPr>
            <w:tcW w:w="16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2004</w:t>
            </w:r>
          </w:p>
        </w:tc>
      </w:tr>
      <w:tr>
        <w:trPr>
          <w:trHeight w:val="191"/>
        </w:trPr>
        <w:tc>
          <w:tcPr>
            <w:tcW w:w="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Narsi Narayanan</w:t>
            </w:r>
          </w:p>
        </w:tc>
        <w:tc>
          <w:tcPr>
            <w:tcW w:w="10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auto"/>
            </w:tcBorders>
          </w:tcPr>
          <w:p>
            <w:pPr>
              <w:spacing w:after="0"/>
              <w:rPr>
                <w:sz w:val="16"/>
                <w:szCs w:val="16"/>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Senior Vice President of Finance and Corporate Secretary</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2009</w:t>
            </w:r>
          </w:p>
        </w:tc>
      </w:tr>
    </w:tbl>
    <w:p>
      <w:pPr>
        <w:spacing w:after="0" w:line="17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For the biography of Ms. Hakimoglu, see “Directors and Nominees for Director.”</w:t>
      </w:r>
    </w:p>
    <w:p>
      <w:pPr>
        <w:spacing w:after="0" w:line="194"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b w:val="1"/>
          <w:bCs w:val="1"/>
          <w:color w:val="auto"/>
        </w:rPr>
        <w:t xml:space="preserve">Narsi Narayanan </w:t>
      </w:r>
      <w:r>
        <w:rPr>
          <w:rFonts w:ascii="Arial" w:cs="Arial" w:eastAsia="Arial" w:hAnsi="Arial"/>
          <w:sz w:val="16"/>
          <w:szCs w:val="16"/>
          <w:color w:val="auto"/>
        </w:rPr>
        <w:t>(now serving as Senior Vice President of Finance) has served as our Vice President of Finance since July 2009 and has more than two decades of</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EXECUTIVE COMPENSATION</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2018 and 2017.</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40" w:type="dxa"/>
            <w:vAlign w:val="bottom"/>
            <w:gridSpan w:val="9"/>
          </w:tcPr>
          <w:p>
            <w:pPr>
              <w:jc w:val="right"/>
              <w:ind w:right="260"/>
              <w:spacing w:after="0"/>
              <w:rPr>
                <w:sz w:val="20"/>
                <w:szCs w:val="20"/>
                <w:color w:val="auto"/>
              </w:rPr>
            </w:pPr>
            <w:r>
              <w:rPr>
                <w:rFonts w:ascii="Arial" w:cs="Arial" w:eastAsia="Arial" w:hAnsi="Arial"/>
                <w:sz w:val="16"/>
                <w:szCs w:val="16"/>
                <w:b w:val="1"/>
                <w:bCs w:val="1"/>
                <w:color w:val="auto"/>
              </w:rPr>
              <w:t>SUMMARY COMPENSATION TABLE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Non-Equity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Option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9"/>
              </w:rPr>
              <w:t>Incentive Plan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All Other</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0"/>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Name and Principal Position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Salary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60"/>
              <w:spacing w:after="0" w:line="240" w:lineRule="exact"/>
              <w:rPr>
                <w:sz w:val="20"/>
                <w:szCs w:val="20"/>
                <w:color w:val="auto"/>
              </w:rPr>
            </w:pPr>
            <w:r>
              <w:rPr>
                <w:rFonts w:ascii="Arial" w:cs="Arial" w:eastAsia="Arial" w:hAnsi="Arial"/>
                <w:sz w:val="16"/>
                <w:szCs w:val="16"/>
                <w:b w:val="1"/>
                <w:bCs w:val="1"/>
                <w:color w:val="auto"/>
                <w:w w:val="91"/>
              </w:rPr>
              <w:t>Awards</w:t>
            </w:r>
            <w:r>
              <w:rPr>
                <w:rFonts w:ascii="Arial" w:cs="Arial" w:eastAsia="Arial" w:hAnsi="Arial"/>
                <w:sz w:val="26"/>
                <w:szCs w:val="26"/>
                <w:b w:val="1"/>
                <w:bCs w:val="1"/>
                <w:color w:val="auto"/>
                <w:w w:val="91"/>
                <w:vertAlign w:val="superscript"/>
              </w:rPr>
              <w:t>(1)</w:t>
            </w:r>
          </w:p>
        </w:tc>
        <w:tc>
          <w:tcPr>
            <w:tcW w:w="1380" w:type="dxa"/>
            <w:vAlign w:val="bottom"/>
            <w:gridSpan w:val="4"/>
          </w:tcPr>
          <w:p>
            <w:pPr>
              <w:ind w:left="120"/>
              <w:spacing w:after="0" w:line="240" w:lineRule="exact"/>
              <w:rPr>
                <w:sz w:val="20"/>
                <w:szCs w:val="20"/>
                <w:color w:val="auto"/>
              </w:rPr>
            </w:pPr>
            <w:r>
              <w:rPr>
                <w:rFonts w:ascii="Arial" w:cs="Arial" w:eastAsia="Arial" w:hAnsi="Arial"/>
                <w:sz w:val="16"/>
                <w:szCs w:val="16"/>
                <w:b w:val="1"/>
                <w:bCs w:val="1"/>
                <w:color w:val="auto"/>
                <w:w w:val="93"/>
              </w:rPr>
              <w:t>Compensation</w:t>
            </w:r>
            <w:r>
              <w:rPr>
                <w:rFonts w:ascii="Arial" w:cs="Arial" w:eastAsia="Arial" w:hAnsi="Arial"/>
                <w:sz w:val="26"/>
                <w:szCs w:val="26"/>
                <w:b w:val="1"/>
                <w:bCs w:val="1"/>
                <w:color w:val="auto"/>
                <w:w w:val="93"/>
                <w:vertAlign w:val="superscript"/>
              </w:rPr>
              <w:t>(2)</w:t>
            </w:r>
          </w:p>
        </w:tc>
        <w:tc>
          <w:tcPr>
            <w:tcW w:w="1440" w:type="dxa"/>
            <w:vAlign w:val="bottom"/>
            <w:gridSpan w:val="4"/>
          </w:tcPr>
          <w:p>
            <w:pPr>
              <w:ind w:left="100"/>
              <w:spacing w:after="0" w:line="240" w:lineRule="exact"/>
              <w:rPr>
                <w:sz w:val="20"/>
                <w:szCs w:val="20"/>
                <w:color w:val="auto"/>
              </w:rPr>
            </w:pPr>
            <w:r>
              <w:rPr>
                <w:rFonts w:ascii="Arial" w:cs="Arial" w:eastAsia="Arial" w:hAnsi="Arial"/>
                <w:sz w:val="16"/>
                <w:szCs w:val="16"/>
                <w:b w:val="1"/>
                <w:bCs w:val="1"/>
                <w:color w:val="auto"/>
                <w:w w:val="99"/>
              </w:rPr>
              <w:t>Compensation</w:t>
            </w:r>
            <w:r>
              <w:rPr>
                <w:rFonts w:ascii="Arial" w:cs="Arial" w:eastAsia="Arial" w:hAnsi="Arial"/>
                <w:sz w:val="26"/>
                <w:szCs w:val="26"/>
                <w:b w:val="1"/>
                <w:bCs w:val="1"/>
                <w:color w:val="auto"/>
                <w:w w:val="99"/>
                <w:vertAlign w:val="superscript"/>
              </w:rPr>
              <w:t>(3)</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83"/>
        </w:trPr>
        <w:tc>
          <w:tcPr>
            <w:tcW w:w="20" w:type="dxa"/>
            <w:vAlign w:val="bottom"/>
          </w:tcPr>
          <w:p>
            <w:pPr>
              <w:spacing w:after="0"/>
              <w:rPr>
                <w:sz w:val="15"/>
                <w:szCs w:val="15"/>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Zeynep Hakimoglu - </w:t>
            </w:r>
            <w:r>
              <w:rPr>
                <w:rFonts w:ascii="Arial" w:cs="Arial" w:eastAsia="Arial" w:hAnsi="Arial"/>
                <w:sz w:val="16"/>
                <w:szCs w:val="16"/>
                <w:color w:val="auto"/>
              </w:rPr>
              <w:t>Chief Executive Officer and President</w:t>
            </w: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Year ended December 31, 2018</w:t>
            </w:r>
          </w:p>
        </w:tc>
        <w:tc>
          <w:tcPr>
            <w:tcW w:w="6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355,000</w:t>
            </w:r>
          </w:p>
        </w:tc>
        <w:tc>
          <w:tcPr>
            <w:tcW w:w="12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355,000</w:t>
            </w:r>
          </w:p>
        </w:tc>
        <w:tc>
          <w:tcPr>
            <w:tcW w:w="1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132,700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39,118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524,895</w:t>
            </w:r>
          </w:p>
        </w:tc>
        <w:tc>
          <w:tcPr>
            <w:tcW w:w="1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Narsi Narayanan - </w:t>
            </w:r>
            <w:r>
              <w:rPr>
                <w:rFonts w:ascii="Arial" w:cs="Arial" w:eastAsia="Arial" w:hAnsi="Arial"/>
                <w:sz w:val="16"/>
                <w:szCs w:val="16"/>
                <w:color w:val="auto"/>
              </w:rPr>
              <w:t>Senior Vice President of Finance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2018</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196,500</w:t>
            </w: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196,500</w:t>
            </w:r>
          </w:p>
        </w:tc>
        <w:tc>
          <w:tcPr>
            <w:tcW w:w="1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Year ended December 31, 2017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66,350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16,544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278,913</w:t>
            </w:r>
          </w:p>
        </w:tc>
        <w:tc>
          <w:tcPr>
            <w:tcW w:w="1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430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w w:val="91"/>
              </w:rPr>
              <w:t xml:space="preserve">Michael Braithwaite - </w:t>
            </w:r>
            <w:r>
              <w:rPr>
                <w:rFonts w:ascii="Arial" w:cs="Arial" w:eastAsia="Arial" w:hAnsi="Arial"/>
                <w:sz w:val="16"/>
                <w:szCs w:val="16"/>
                <w:color w:val="auto"/>
                <w:w w:val="91"/>
              </w:rPr>
              <w:t>Senior Vice President - Network Streaming</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6"/>
        </w:trPr>
        <w:tc>
          <w:tcPr>
            <w:tcW w:w="20" w:type="dxa"/>
            <w:vAlign w:val="bottom"/>
          </w:tcPr>
          <w:p>
            <w:pPr>
              <w:spacing w:after="0"/>
              <w:rPr>
                <w:sz w:val="20"/>
                <w:szCs w:val="20"/>
                <w:color w:val="auto"/>
              </w:rPr>
            </w:pPr>
          </w:p>
        </w:tc>
        <w:tc>
          <w:tcPr>
            <w:tcW w:w="430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 xml:space="preserve">Business </w:t>
            </w:r>
            <w:r>
              <w:rPr>
                <w:rFonts w:ascii="Arial" w:cs="Arial" w:eastAsia="Arial" w:hAnsi="Arial"/>
                <w:sz w:val="26"/>
                <w:szCs w:val="26"/>
                <w:color w:val="auto"/>
                <w:vertAlign w:val="superscript"/>
              </w:rPr>
              <w:t>(3)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Year ended December 31, 2018</w:t>
            </w:r>
          </w:p>
        </w:tc>
        <w:tc>
          <w:tcPr>
            <w:tcW w:w="6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13,263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52,356</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65,619</w:t>
            </w: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16,588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202,992</w:t>
            </w:r>
          </w:p>
        </w:tc>
        <w:tc>
          <w:tcPr>
            <w:tcW w:w="12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ind w:left="284" w:right="20" w:hanging="284"/>
        <w:spacing w:after="0" w:line="258" w:lineRule="auto"/>
        <w:tabs>
          <w:tab w:leader="none" w:pos="28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The assumptions made in the valuation of our stock option awards and the material terms of the stock option awards are disclosed in Note 9 - Share Based Payments in our Notes to Consolidated Financial Statements included in Part IV of the Form 10-K for the year ended December 31, 2017. No stock options were granted in 2018.</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624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4"/>
          </w:cols>
          <w:pgMar w:left="236" w:top="529" w:right="219" w:bottom="1440" w:gutter="0" w:footer="0" w:header="0"/>
        </w:sectPr>
      </w:pPr>
    </w:p>
    <w:bookmarkStart w:id="11" w:name="page12"/>
    <w:bookmarkEnd w:id="11"/>
    <w:p>
      <w:pPr>
        <w:ind w:left="284" w:right="20" w:hanging="284"/>
        <w:spacing w:after="0" w:line="270" w:lineRule="auto"/>
        <w:tabs>
          <w:tab w:leader="none" w:pos="284"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Non-Equity Incentive Plan Compensation for Ms. Hakimoglu and Mr. Narayanan is based upon the achievement of pre-determined quarterly goals, namely, financial goals comprising of revenue, gross margin, operating income and meeting reporting deadlines, and non-quantitative performance goals. Mr. Braithwaite’s compensation plan is based upon attainment of revenue of a certain product group.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which is then determined by the Compensation Committee. Compensation under the non-equity incentive plan for Ms. Hakimoglu and Mr. Narayanan is calculated by assigning 70% weight to financial goals and 30% to non-quantitative goals. Neither Ms. Hakimoglu nor Mr. Narayanan met their goals for the year ended December 31, 2018, and consequently did not receive any incentive bonuses or discretionary bonuses for 2018. Ms. Hakimoglu’s compensation for the year ended December 31, 2017 included a $22,324 bonus for achieving certain of her financial goals, a $10,294 bonus for achieving certain of her non-quantitative goals, and $6,500 paid as discretionary bonus. Mr. Narayanan’s compensation for the year ended December 31, 2017 included a $12,887 bonus for achieving certain of his financial goals, and a $3,657 bonus for achieving certain of his non-quantitative goals.</w:t>
      </w:r>
    </w:p>
    <w:p>
      <w:pPr>
        <w:spacing w:after="0" w:line="160" w:lineRule="exact"/>
        <w:rPr>
          <w:rFonts w:ascii="Arial" w:cs="Arial" w:eastAsia="Arial" w:hAnsi="Arial"/>
          <w:sz w:val="15"/>
          <w:szCs w:val="15"/>
          <w:color w:val="auto"/>
        </w:rPr>
      </w:pPr>
    </w:p>
    <w:p>
      <w:pPr>
        <w:jc w:val="both"/>
        <w:ind w:left="284" w:hanging="284"/>
        <w:spacing w:after="0" w:line="262" w:lineRule="auto"/>
        <w:tabs>
          <w:tab w:leader="none" w:pos="2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January 4, 2018, the Company terminated Michael Braithwaite’s employment. In connection with Mr. Braithwaite’s separation from the Company, on January 9, 2018 Mr. Braithwaite entered into a Confidential Separation Agreement and General Release with the Company (the “Separation Agreement”). Under the terms of the Separation Agreement, Mr. Braithwaite was paid cash severance of $52,356 for a customary general release of claims.</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table provides information on the holdings of stock options by the named executive officers as of December 31, 2018.</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160" w:type="dxa"/>
            <w:vAlign w:val="bottom"/>
          </w:tcPr>
          <w:p>
            <w:pPr>
              <w:jc w:val="center"/>
              <w:ind w:left="380"/>
              <w:spacing w:after="0"/>
              <w:rPr>
                <w:sz w:val="20"/>
                <w:szCs w:val="20"/>
                <w:color w:val="auto"/>
              </w:rPr>
            </w:pPr>
            <w:r>
              <w:rPr>
                <w:rFonts w:ascii="Arial" w:cs="Arial" w:eastAsia="Arial" w:hAnsi="Arial"/>
                <w:sz w:val="16"/>
                <w:szCs w:val="16"/>
                <w:b w:val="1"/>
                <w:bCs w:val="1"/>
                <w:color w:val="auto"/>
                <w:w w:val="92"/>
              </w:rPr>
              <w:t>Number of</w:t>
            </w:r>
          </w:p>
        </w:tc>
        <w:tc>
          <w:tcPr>
            <w:tcW w:w="1760" w:type="dxa"/>
            <w:vAlign w:val="bottom"/>
          </w:tcPr>
          <w:p>
            <w:pPr>
              <w:jc w:val="center"/>
              <w:ind w:right="180"/>
              <w:spacing w:after="0"/>
              <w:rPr>
                <w:sz w:val="20"/>
                <w:szCs w:val="20"/>
                <w:color w:val="auto"/>
              </w:rPr>
            </w:pPr>
            <w:r>
              <w:rPr>
                <w:rFonts w:ascii="Arial" w:cs="Arial" w:eastAsia="Arial" w:hAnsi="Arial"/>
                <w:sz w:val="16"/>
                <w:szCs w:val="16"/>
                <w:b w:val="1"/>
                <w:bCs w:val="1"/>
                <w:color w:val="auto"/>
                <w:w w:val="92"/>
              </w:rPr>
              <w:t>Number of</w:t>
            </w:r>
          </w:p>
        </w:tc>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center"/>
              <w:ind w:left="380"/>
              <w:spacing w:after="0"/>
              <w:rPr>
                <w:sz w:val="20"/>
                <w:szCs w:val="20"/>
                <w:color w:val="auto"/>
              </w:rPr>
            </w:pPr>
            <w:r>
              <w:rPr>
                <w:rFonts w:ascii="Arial" w:cs="Arial" w:eastAsia="Arial" w:hAnsi="Arial"/>
                <w:sz w:val="16"/>
                <w:szCs w:val="16"/>
                <w:b w:val="1"/>
                <w:bCs w:val="1"/>
                <w:color w:val="auto"/>
                <w:w w:val="86"/>
              </w:rPr>
              <w:t>Securities</w:t>
            </w:r>
          </w:p>
        </w:tc>
        <w:tc>
          <w:tcPr>
            <w:tcW w:w="1760" w:type="dxa"/>
            <w:vAlign w:val="bottom"/>
          </w:tcPr>
          <w:p>
            <w:pPr>
              <w:jc w:val="center"/>
              <w:ind w:right="180"/>
              <w:spacing w:after="0"/>
              <w:rPr>
                <w:sz w:val="20"/>
                <w:szCs w:val="20"/>
                <w:color w:val="auto"/>
              </w:rPr>
            </w:pPr>
            <w:r>
              <w:rPr>
                <w:rFonts w:ascii="Arial" w:cs="Arial" w:eastAsia="Arial" w:hAnsi="Arial"/>
                <w:sz w:val="16"/>
                <w:szCs w:val="16"/>
                <w:b w:val="1"/>
                <w:bCs w:val="1"/>
                <w:color w:val="auto"/>
                <w:w w:val="86"/>
              </w:rPr>
              <w:t>Securities</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center"/>
              <w:ind w:left="380"/>
              <w:spacing w:after="0"/>
              <w:rPr>
                <w:sz w:val="20"/>
                <w:szCs w:val="20"/>
                <w:color w:val="auto"/>
              </w:rPr>
            </w:pPr>
            <w:r>
              <w:rPr>
                <w:rFonts w:ascii="Arial" w:cs="Arial" w:eastAsia="Arial" w:hAnsi="Arial"/>
                <w:sz w:val="16"/>
                <w:szCs w:val="16"/>
                <w:b w:val="1"/>
                <w:bCs w:val="1"/>
                <w:color w:val="auto"/>
                <w:w w:val="93"/>
              </w:rPr>
              <w:t>Underlying</w:t>
            </w:r>
          </w:p>
        </w:tc>
        <w:tc>
          <w:tcPr>
            <w:tcW w:w="1760" w:type="dxa"/>
            <w:vAlign w:val="bottom"/>
          </w:tcPr>
          <w:p>
            <w:pPr>
              <w:jc w:val="center"/>
              <w:ind w:right="180"/>
              <w:spacing w:after="0"/>
              <w:rPr>
                <w:sz w:val="20"/>
                <w:szCs w:val="20"/>
                <w:color w:val="auto"/>
              </w:rPr>
            </w:pPr>
            <w:r>
              <w:rPr>
                <w:rFonts w:ascii="Arial" w:cs="Arial" w:eastAsia="Arial" w:hAnsi="Arial"/>
                <w:sz w:val="16"/>
                <w:szCs w:val="16"/>
                <w:b w:val="1"/>
                <w:bCs w:val="1"/>
                <w:color w:val="auto"/>
                <w:w w:val="93"/>
              </w:rPr>
              <w:t>Underlying</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center"/>
              <w:ind w:left="380"/>
              <w:spacing w:after="0"/>
              <w:rPr>
                <w:sz w:val="20"/>
                <w:szCs w:val="20"/>
                <w:color w:val="auto"/>
              </w:rPr>
            </w:pPr>
            <w:r>
              <w:rPr>
                <w:rFonts w:ascii="Arial" w:cs="Arial" w:eastAsia="Arial" w:hAnsi="Arial"/>
                <w:sz w:val="16"/>
                <w:szCs w:val="16"/>
                <w:b w:val="1"/>
                <w:bCs w:val="1"/>
                <w:color w:val="auto"/>
                <w:w w:val="86"/>
              </w:rPr>
              <w:t>Unexercised</w:t>
            </w:r>
          </w:p>
        </w:tc>
        <w:tc>
          <w:tcPr>
            <w:tcW w:w="1760" w:type="dxa"/>
            <w:vAlign w:val="bottom"/>
          </w:tcPr>
          <w:p>
            <w:pPr>
              <w:jc w:val="center"/>
              <w:ind w:right="180"/>
              <w:spacing w:after="0"/>
              <w:rPr>
                <w:sz w:val="20"/>
                <w:szCs w:val="20"/>
                <w:color w:val="auto"/>
              </w:rPr>
            </w:pPr>
            <w:r>
              <w:rPr>
                <w:rFonts w:ascii="Arial" w:cs="Arial" w:eastAsia="Arial" w:hAnsi="Arial"/>
                <w:sz w:val="16"/>
                <w:szCs w:val="16"/>
                <w:b w:val="1"/>
                <w:bCs w:val="1"/>
                <w:color w:val="auto"/>
                <w:w w:val="86"/>
              </w:rPr>
              <w:t>Unexercised</w:t>
            </w:r>
          </w:p>
        </w:tc>
        <w:tc>
          <w:tcPr>
            <w:tcW w:w="1500" w:type="dxa"/>
            <w:vAlign w:val="bottom"/>
          </w:tcPr>
          <w:p>
            <w:pPr>
              <w:jc w:val="right"/>
              <w:ind w:right="620"/>
              <w:spacing w:after="0"/>
              <w:rPr>
                <w:sz w:val="20"/>
                <w:szCs w:val="20"/>
                <w:color w:val="auto"/>
              </w:rPr>
            </w:pPr>
            <w:r>
              <w:rPr>
                <w:rFonts w:ascii="Arial" w:cs="Arial" w:eastAsia="Arial" w:hAnsi="Arial"/>
                <w:sz w:val="16"/>
                <w:szCs w:val="16"/>
                <w:b w:val="1"/>
                <w:bCs w:val="1"/>
                <w:color w:val="auto"/>
              </w:rPr>
              <w:t>Option</w:t>
            </w:r>
          </w:p>
        </w:tc>
        <w:tc>
          <w:tcPr>
            <w:tcW w:w="1400" w:type="dxa"/>
            <w:vAlign w:val="bottom"/>
          </w:tcPr>
          <w:p>
            <w:pPr>
              <w:jc w:val="center"/>
              <w:ind w:right="240"/>
              <w:spacing w:after="0"/>
              <w:rPr>
                <w:sz w:val="20"/>
                <w:szCs w:val="20"/>
                <w:color w:val="auto"/>
              </w:rPr>
            </w:pPr>
            <w:r>
              <w:rPr>
                <w:rFonts w:ascii="Arial" w:cs="Arial" w:eastAsia="Arial" w:hAnsi="Arial"/>
                <w:sz w:val="16"/>
                <w:szCs w:val="16"/>
                <w:b w:val="1"/>
                <w:bCs w:val="1"/>
                <w:color w:val="auto"/>
                <w:w w:val="93"/>
              </w:rPr>
              <w:t>Option</w:t>
            </w:r>
          </w:p>
        </w:tc>
        <w:tc>
          <w:tcPr>
            <w:tcW w:w="1340" w:type="dxa"/>
            <w:vAlign w:val="bottom"/>
          </w:tcPr>
          <w:p>
            <w:pPr>
              <w:jc w:val="center"/>
              <w:ind w:right="60"/>
              <w:spacing w:after="0"/>
              <w:rPr>
                <w:sz w:val="20"/>
                <w:szCs w:val="20"/>
                <w:color w:val="auto"/>
              </w:rPr>
            </w:pPr>
            <w:r>
              <w:rPr>
                <w:rFonts w:ascii="Arial" w:cs="Arial" w:eastAsia="Arial" w:hAnsi="Arial"/>
                <w:sz w:val="16"/>
                <w:szCs w:val="16"/>
                <w:b w:val="1"/>
                <w:bCs w:val="1"/>
                <w:color w:val="auto"/>
                <w:w w:val="93"/>
              </w:rPr>
              <w:t>Option</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center"/>
              <w:ind w:left="380"/>
              <w:spacing w:after="0"/>
              <w:rPr>
                <w:sz w:val="20"/>
                <w:szCs w:val="20"/>
                <w:color w:val="auto"/>
              </w:rPr>
            </w:pPr>
            <w:r>
              <w:rPr>
                <w:rFonts w:ascii="Arial" w:cs="Arial" w:eastAsia="Arial" w:hAnsi="Arial"/>
                <w:sz w:val="16"/>
                <w:szCs w:val="16"/>
                <w:b w:val="1"/>
                <w:bCs w:val="1"/>
                <w:color w:val="auto"/>
                <w:w w:val="89"/>
              </w:rPr>
              <w:t>Options</w:t>
            </w:r>
          </w:p>
        </w:tc>
        <w:tc>
          <w:tcPr>
            <w:tcW w:w="1760" w:type="dxa"/>
            <w:vAlign w:val="bottom"/>
          </w:tcPr>
          <w:p>
            <w:pPr>
              <w:jc w:val="center"/>
              <w:ind w:right="180"/>
              <w:spacing w:after="0"/>
              <w:rPr>
                <w:sz w:val="20"/>
                <w:szCs w:val="20"/>
                <w:color w:val="auto"/>
              </w:rPr>
            </w:pPr>
            <w:r>
              <w:rPr>
                <w:rFonts w:ascii="Arial" w:cs="Arial" w:eastAsia="Arial" w:hAnsi="Arial"/>
                <w:sz w:val="16"/>
                <w:szCs w:val="16"/>
                <w:b w:val="1"/>
                <w:bCs w:val="1"/>
                <w:color w:val="auto"/>
                <w:w w:val="89"/>
              </w:rPr>
              <w:t>Options</w:t>
            </w:r>
          </w:p>
        </w:tc>
        <w:tc>
          <w:tcPr>
            <w:tcW w:w="1500" w:type="dxa"/>
            <w:vAlign w:val="bottom"/>
          </w:tcPr>
          <w:p>
            <w:pPr>
              <w:jc w:val="right"/>
              <w:ind w:right="560"/>
              <w:spacing w:after="0"/>
              <w:rPr>
                <w:sz w:val="20"/>
                <w:szCs w:val="20"/>
                <w:color w:val="auto"/>
              </w:rPr>
            </w:pPr>
            <w:r>
              <w:rPr>
                <w:rFonts w:ascii="Arial" w:cs="Arial" w:eastAsia="Arial" w:hAnsi="Arial"/>
                <w:sz w:val="16"/>
                <w:szCs w:val="16"/>
                <w:b w:val="1"/>
                <w:bCs w:val="1"/>
                <w:color w:val="auto"/>
              </w:rPr>
              <w:t>Exercise</w:t>
            </w:r>
          </w:p>
        </w:tc>
        <w:tc>
          <w:tcPr>
            <w:tcW w:w="1400" w:type="dxa"/>
            <w:vAlign w:val="bottom"/>
          </w:tcPr>
          <w:p>
            <w:pPr>
              <w:jc w:val="center"/>
              <w:ind w:right="260"/>
              <w:spacing w:after="0"/>
              <w:rPr>
                <w:sz w:val="20"/>
                <w:szCs w:val="20"/>
                <w:color w:val="auto"/>
              </w:rPr>
            </w:pPr>
            <w:r>
              <w:rPr>
                <w:rFonts w:ascii="Arial" w:cs="Arial" w:eastAsia="Arial" w:hAnsi="Arial"/>
                <w:sz w:val="16"/>
                <w:szCs w:val="16"/>
                <w:b w:val="1"/>
                <w:bCs w:val="1"/>
                <w:color w:val="auto"/>
                <w:w w:val="98"/>
              </w:rPr>
              <w:t>Grant</w:t>
            </w:r>
          </w:p>
        </w:tc>
        <w:tc>
          <w:tcPr>
            <w:tcW w:w="1340" w:type="dxa"/>
            <w:vAlign w:val="bottom"/>
          </w:tcPr>
          <w:p>
            <w:pPr>
              <w:jc w:val="center"/>
              <w:ind w:right="40"/>
              <w:spacing w:after="0"/>
              <w:rPr>
                <w:sz w:val="20"/>
                <w:szCs w:val="20"/>
                <w:color w:val="auto"/>
              </w:rPr>
            </w:pPr>
            <w:r>
              <w:rPr>
                <w:rFonts w:ascii="Arial" w:cs="Arial" w:eastAsia="Arial" w:hAnsi="Arial"/>
                <w:sz w:val="16"/>
                <w:szCs w:val="16"/>
                <w:b w:val="1"/>
                <w:bCs w:val="1"/>
                <w:color w:val="auto"/>
                <w:w w:val="94"/>
              </w:rPr>
              <w:t>Expiration</w:t>
            </w:r>
          </w:p>
        </w:tc>
      </w:tr>
      <w:tr>
        <w:trPr>
          <w:trHeight w:val="239"/>
        </w:trPr>
        <w:tc>
          <w:tcPr>
            <w:tcW w:w="20" w:type="dxa"/>
            <w:vAlign w:val="bottom"/>
          </w:tcPr>
          <w:p>
            <w:pPr>
              <w:spacing w:after="0"/>
              <w:rPr>
                <w:sz w:val="20"/>
                <w:szCs w:val="20"/>
                <w:color w:val="auto"/>
              </w:rPr>
            </w:pPr>
          </w:p>
        </w:tc>
        <w:tc>
          <w:tcPr>
            <w:tcW w:w="2680" w:type="dxa"/>
            <w:vAlign w:val="bottom"/>
            <w:tcBorders>
              <w:bottom w:val="single" w:sz="8" w:color="auto"/>
            </w:tcBorders>
          </w:tcPr>
          <w:p>
            <w:pPr>
              <w:ind w:left="1400"/>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b w:val="1"/>
                <w:bCs w:val="1"/>
                <w:color w:val="auto"/>
                <w:w w:val="87"/>
              </w:rPr>
              <w:t>Exercisable</w:t>
            </w:r>
          </w:p>
        </w:tc>
        <w:tc>
          <w:tcPr>
            <w:tcW w:w="1760" w:type="dxa"/>
            <w:vAlign w:val="bottom"/>
            <w:tcBorders>
              <w:bottom w:val="single" w:sz="8" w:color="auto"/>
            </w:tcBorders>
          </w:tcPr>
          <w:p>
            <w:pPr>
              <w:jc w:val="center"/>
              <w:ind w:right="180"/>
              <w:spacing w:after="0" w:line="238" w:lineRule="exact"/>
              <w:rPr>
                <w:sz w:val="20"/>
                <w:szCs w:val="20"/>
                <w:color w:val="auto"/>
              </w:rPr>
            </w:pPr>
            <w:r>
              <w:rPr>
                <w:rFonts w:ascii="Arial" w:cs="Arial" w:eastAsia="Arial" w:hAnsi="Arial"/>
                <w:sz w:val="16"/>
                <w:szCs w:val="16"/>
                <w:b w:val="1"/>
                <w:bCs w:val="1"/>
                <w:color w:val="auto"/>
                <w:w w:val="84"/>
              </w:rPr>
              <w:t>Unexercisable</w:t>
            </w:r>
            <w:r>
              <w:rPr>
                <w:rFonts w:ascii="Arial" w:cs="Arial" w:eastAsia="Arial" w:hAnsi="Arial"/>
                <w:sz w:val="26"/>
                <w:szCs w:val="26"/>
                <w:b w:val="1"/>
                <w:bCs w:val="1"/>
                <w:color w:val="auto"/>
                <w:w w:val="84"/>
                <w:vertAlign w:val="superscript"/>
              </w:rPr>
              <w:t>(1)</w:t>
            </w:r>
          </w:p>
        </w:tc>
        <w:tc>
          <w:tcPr>
            <w:tcW w:w="15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Price ($)</w:t>
            </w:r>
          </w:p>
        </w:tc>
        <w:tc>
          <w:tcPr>
            <w:tcW w:w="1400" w:type="dxa"/>
            <w:vAlign w:val="bottom"/>
            <w:tcBorders>
              <w:bottom w:val="single" w:sz="8" w:color="auto"/>
            </w:tcBorders>
          </w:tcPr>
          <w:p>
            <w:pPr>
              <w:jc w:val="center"/>
              <w:ind w:right="240"/>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Date</w:t>
            </w: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Zeynep Hakimoglu</w:t>
            </w:r>
          </w:p>
        </w:tc>
        <w:tc>
          <w:tcPr>
            <w:tcW w:w="2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10,000</w:t>
            </w: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3.004</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05-26-2010</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05-26-2020</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right"/>
              <w:ind w:right="120"/>
              <w:spacing w:after="0"/>
              <w:rPr>
                <w:sz w:val="20"/>
                <w:szCs w:val="20"/>
                <w:color w:val="auto"/>
              </w:rPr>
            </w:pPr>
            <w:r>
              <w:rPr>
                <w:rFonts w:ascii="Arial" w:cs="Arial" w:eastAsia="Arial" w:hAnsi="Arial"/>
                <w:sz w:val="16"/>
                <w:szCs w:val="16"/>
                <w:color w:val="auto"/>
              </w:rPr>
              <w:t>10,000</w:t>
            </w:r>
          </w:p>
        </w:tc>
        <w:tc>
          <w:tcPr>
            <w:tcW w:w="17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5.480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08-05-2011</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08-05-2021</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25,000</w:t>
            </w: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3.920</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05-11-2012</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05-11-2022</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right"/>
              <w:ind w:right="120"/>
              <w:spacing w:after="0"/>
              <w:rPr>
                <w:sz w:val="20"/>
                <w:szCs w:val="20"/>
                <w:color w:val="auto"/>
              </w:rPr>
            </w:pPr>
            <w:r>
              <w:rPr>
                <w:rFonts w:ascii="Arial" w:cs="Arial" w:eastAsia="Arial" w:hAnsi="Arial"/>
                <w:sz w:val="16"/>
                <w:szCs w:val="16"/>
                <w:color w:val="auto"/>
              </w:rPr>
              <w:t>25,000</w:t>
            </w:r>
          </w:p>
        </w:tc>
        <w:tc>
          <w:tcPr>
            <w:tcW w:w="17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8.220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08-22-2013</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08-22-2023</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40,000</w:t>
            </w:r>
          </w:p>
        </w:tc>
        <w:tc>
          <w:tcPr>
            <w:tcW w:w="17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8.340</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09-12-2014</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09-12-2024</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right"/>
              <w:ind w:right="120"/>
              <w:spacing w:after="0"/>
              <w:rPr>
                <w:sz w:val="20"/>
                <w:szCs w:val="20"/>
                <w:color w:val="auto"/>
              </w:rPr>
            </w:pPr>
            <w:r>
              <w:rPr>
                <w:rFonts w:ascii="Arial" w:cs="Arial" w:eastAsia="Arial" w:hAnsi="Arial"/>
                <w:sz w:val="16"/>
                <w:szCs w:val="16"/>
                <w:color w:val="auto"/>
              </w:rPr>
              <w:t>45,833</w:t>
            </w:r>
          </w:p>
        </w:tc>
        <w:tc>
          <w:tcPr>
            <w:tcW w:w="1760" w:type="dxa"/>
            <w:vAlign w:val="bottom"/>
          </w:tcPr>
          <w:p>
            <w:pPr>
              <w:jc w:val="right"/>
              <w:ind w:right="180"/>
              <w:spacing w:after="0"/>
              <w:rPr>
                <w:sz w:val="20"/>
                <w:szCs w:val="20"/>
                <w:color w:val="auto"/>
              </w:rPr>
            </w:pPr>
            <w:r>
              <w:rPr>
                <w:rFonts w:ascii="Arial" w:cs="Arial" w:eastAsia="Arial" w:hAnsi="Arial"/>
                <w:sz w:val="16"/>
                <w:szCs w:val="16"/>
                <w:color w:val="auto"/>
              </w:rPr>
              <w:t>4,167</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11.960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03-11-2016</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03-11-2026</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6,666</w:t>
            </w: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3,334</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11.000</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12-14-2016</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12-14-2026</w:t>
            </w:r>
          </w:p>
        </w:tc>
      </w:tr>
      <w:tr>
        <w:trPr>
          <w:trHeight w:val="191"/>
        </w:trPr>
        <w:tc>
          <w:tcPr>
            <w:tcW w:w="20" w:type="dxa"/>
            <w:vAlign w:val="bottom"/>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20,000</w:t>
            </w:r>
          </w:p>
        </w:tc>
        <w:tc>
          <w:tcPr>
            <w:tcW w:w="17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20,000</w:t>
            </w:r>
          </w:p>
        </w:tc>
        <w:tc>
          <w:tcPr>
            <w:tcW w:w="15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9.900</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06-01-2017</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06-01-2027</w:t>
            </w: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Narsi Narayanan</w:t>
            </w:r>
          </w:p>
        </w:tc>
        <w:tc>
          <w:tcPr>
            <w:tcW w:w="2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20,000</w:t>
            </w: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2.780</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08-27-2009</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08-27-2019</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right"/>
              <w:ind w:right="120"/>
              <w:spacing w:after="0"/>
              <w:rPr>
                <w:sz w:val="20"/>
                <w:szCs w:val="20"/>
                <w:color w:val="auto"/>
              </w:rPr>
            </w:pPr>
            <w:r>
              <w:rPr>
                <w:rFonts w:ascii="Arial" w:cs="Arial" w:eastAsia="Arial" w:hAnsi="Arial"/>
                <w:sz w:val="16"/>
                <w:szCs w:val="16"/>
                <w:color w:val="auto"/>
              </w:rPr>
              <w:t>10,000</w:t>
            </w:r>
          </w:p>
        </w:tc>
        <w:tc>
          <w:tcPr>
            <w:tcW w:w="17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3.004</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05-26-2010</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05-26-2020</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10,000</w:t>
            </w: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5.480</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08-05-2011</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08-05-2021</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right"/>
              <w:ind w:right="120"/>
              <w:spacing w:after="0"/>
              <w:rPr>
                <w:sz w:val="20"/>
                <w:szCs w:val="20"/>
                <w:color w:val="auto"/>
              </w:rPr>
            </w:pPr>
            <w:r>
              <w:rPr>
                <w:rFonts w:ascii="Arial" w:cs="Arial" w:eastAsia="Arial" w:hAnsi="Arial"/>
                <w:sz w:val="16"/>
                <w:szCs w:val="16"/>
                <w:color w:val="auto"/>
              </w:rPr>
              <w:t>20,000</w:t>
            </w:r>
          </w:p>
        </w:tc>
        <w:tc>
          <w:tcPr>
            <w:tcW w:w="17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3.920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05-11-2012</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05-11-2022</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8.220</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08-22-2013</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08-22-2023</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right"/>
              <w:ind w:right="120"/>
              <w:spacing w:after="0"/>
              <w:rPr>
                <w:sz w:val="20"/>
                <w:szCs w:val="20"/>
                <w:color w:val="auto"/>
              </w:rPr>
            </w:pPr>
            <w:r>
              <w:rPr>
                <w:rFonts w:ascii="Arial" w:cs="Arial" w:eastAsia="Arial" w:hAnsi="Arial"/>
                <w:sz w:val="16"/>
                <w:szCs w:val="16"/>
                <w:color w:val="auto"/>
              </w:rPr>
              <w:t>20,000</w:t>
            </w:r>
          </w:p>
        </w:tc>
        <w:tc>
          <w:tcPr>
            <w:tcW w:w="17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8.340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09-12-2014</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09-12-2024</w:t>
            </w: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22,916</w:t>
            </w: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2,084</w:t>
            </w:r>
          </w:p>
        </w:tc>
        <w:tc>
          <w:tcPr>
            <w:tcW w:w="1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11.960</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03-11-2016</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03-11-2026</w:t>
            </w: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60" w:type="dxa"/>
            <w:vAlign w:val="bottom"/>
          </w:tcPr>
          <w:p>
            <w:pPr>
              <w:jc w:val="right"/>
              <w:ind w:right="120"/>
              <w:spacing w:after="0"/>
              <w:rPr>
                <w:sz w:val="20"/>
                <w:szCs w:val="20"/>
                <w:color w:val="auto"/>
              </w:rPr>
            </w:pPr>
            <w:r>
              <w:rPr>
                <w:rFonts w:ascii="Arial" w:cs="Arial" w:eastAsia="Arial" w:hAnsi="Arial"/>
                <w:sz w:val="16"/>
                <w:szCs w:val="16"/>
                <w:color w:val="auto"/>
              </w:rPr>
              <w:t>1,666</w:t>
            </w:r>
          </w:p>
        </w:tc>
        <w:tc>
          <w:tcPr>
            <w:tcW w:w="1760" w:type="dxa"/>
            <w:vAlign w:val="bottom"/>
          </w:tcPr>
          <w:p>
            <w:pPr>
              <w:jc w:val="right"/>
              <w:ind w:right="180"/>
              <w:spacing w:after="0"/>
              <w:rPr>
                <w:sz w:val="20"/>
                <w:szCs w:val="20"/>
                <w:color w:val="auto"/>
              </w:rPr>
            </w:pPr>
            <w:r>
              <w:rPr>
                <w:rFonts w:ascii="Arial" w:cs="Arial" w:eastAsia="Arial" w:hAnsi="Arial"/>
                <w:sz w:val="16"/>
                <w:szCs w:val="16"/>
                <w:color w:val="auto"/>
              </w:rPr>
              <w:t>834</w:t>
            </w:r>
          </w:p>
        </w:tc>
        <w:tc>
          <w:tcPr>
            <w:tcW w:w="1500" w:type="dxa"/>
            <w:vAlign w:val="bottom"/>
          </w:tcPr>
          <w:p>
            <w:pPr>
              <w:jc w:val="right"/>
              <w:ind w:right="220"/>
              <w:spacing w:after="0"/>
              <w:rPr>
                <w:sz w:val="20"/>
                <w:szCs w:val="20"/>
                <w:color w:val="auto"/>
              </w:rPr>
            </w:pPr>
            <w:r>
              <w:rPr>
                <w:rFonts w:ascii="Arial" w:cs="Arial" w:eastAsia="Arial" w:hAnsi="Arial"/>
                <w:sz w:val="16"/>
                <w:szCs w:val="16"/>
                <w:color w:val="auto"/>
              </w:rPr>
              <w:t>11.000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12-14-2016</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12-14-2026</w:t>
            </w:r>
          </w:p>
        </w:tc>
      </w:tr>
      <w:tr>
        <w:trPr>
          <w:trHeight w:val="191"/>
        </w:trPr>
        <w:tc>
          <w:tcPr>
            <w:tcW w:w="20" w:type="dxa"/>
            <w:vAlign w:val="bottom"/>
          </w:tcPr>
          <w:p>
            <w:pPr>
              <w:spacing w:after="0"/>
              <w:rPr>
                <w:sz w:val="16"/>
                <w:szCs w:val="16"/>
                <w:color w:val="auto"/>
              </w:rPr>
            </w:pPr>
          </w:p>
        </w:tc>
        <w:tc>
          <w:tcPr>
            <w:tcW w:w="268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10,000</w:t>
            </w:r>
          </w:p>
        </w:tc>
        <w:tc>
          <w:tcPr>
            <w:tcW w:w="17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10,000</w:t>
            </w:r>
          </w:p>
        </w:tc>
        <w:tc>
          <w:tcPr>
            <w:tcW w:w="15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9.900</w:t>
            </w: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06-01-2017</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06-01-2027</w:t>
            </w:r>
          </w:p>
        </w:tc>
      </w:tr>
    </w:tbl>
    <w:p>
      <w:pPr>
        <w:spacing w:after="0" w:line="179" w:lineRule="exact"/>
        <w:rPr>
          <w:sz w:val="20"/>
          <w:szCs w:val="20"/>
          <w:color w:val="auto"/>
        </w:rPr>
      </w:pPr>
    </w:p>
    <w:p>
      <w:pPr>
        <w:ind w:left="284" w:right="60" w:hanging="284"/>
        <w:spacing w:after="0" w:line="275" w:lineRule="auto"/>
        <w:tabs>
          <w:tab w:leader="none" w:pos="2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One-third of the shares underlying each stock option vest on the first anniversary of the grant date and the remaining shares vest equally over a period of 24 months following the first anniversary of the grant date.</w:t>
      </w:r>
    </w:p>
    <w:p>
      <w:pPr>
        <w:spacing w:after="0" w:line="339" w:lineRule="exact"/>
        <w:rPr>
          <w:sz w:val="20"/>
          <w:szCs w:val="20"/>
          <w:color w:val="auto"/>
        </w:rPr>
      </w:pPr>
    </w:p>
    <w:p>
      <w:pPr>
        <w:ind w:left="4364"/>
        <w:spacing w:after="0"/>
        <w:rPr>
          <w:sz w:val="20"/>
          <w:szCs w:val="20"/>
          <w:color w:val="auto"/>
        </w:rPr>
      </w:pPr>
      <w:r>
        <w:rPr>
          <w:rFonts w:ascii="Arial" w:cs="Arial" w:eastAsia="Arial" w:hAnsi="Arial"/>
          <w:sz w:val="16"/>
          <w:szCs w:val="16"/>
          <w:b w:val="1"/>
          <w:bCs w:val="1"/>
          <w:color w:val="auto"/>
        </w:rPr>
        <w:t>GRANTS OF PLAN-BASED AWARDS</w:t>
      </w:r>
    </w:p>
    <w:p>
      <w:pPr>
        <w:spacing w:after="0" w:line="20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There were no grants of plan-based awards to named executive officers in 2018.</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624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4"/>
          </w:cols>
          <w:pgMar w:left="236" w:top="533"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OPTION EXERCISES AND STOCK VESTED</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There were no exercises of stock options by named executive officers during 2018. There were no equity awards that vested for the named executive officers during 2018.</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20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i w:val="1"/>
          <w:iCs w:val="1"/>
          <w:color w:val="auto"/>
        </w:rPr>
        <w:t xml:space="preserve">Employment Agreements. </w:t>
      </w:r>
      <w:r>
        <w:rPr>
          <w:rFonts w:ascii="Arial" w:cs="Arial" w:eastAsia="Arial" w:hAnsi="Arial"/>
          <w:sz w:val="14"/>
          <w:szCs w:val="14"/>
          <w:color w:val="auto"/>
        </w:rPr>
        <w:t>As of the year ended December 31, 2018, none of our named executive officers was party to an employment or severance agreement with us,</w:t>
      </w:r>
      <w:r>
        <w:rPr>
          <w:rFonts w:ascii="Arial" w:cs="Arial" w:eastAsia="Arial" w:hAnsi="Arial"/>
          <w:sz w:val="14"/>
          <w:szCs w:val="14"/>
          <w:i w:val="1"/>
          <w:iCs w:val="1"/>
          <w:color w:val="auto"/>
        </w:rPr>
        <w:t xml:space="preserve"> </w:t>
      </w:r>
      <w:r>
        <w:rPr>
          <w:rFonts w:ascii="Arial" w:cs="Arial" w:eastAsia="Arial" w:hAnsi="Arial"/>
          <w:sz w:val="14"/>
          <w:szCs w:val="14"/>
          <w:color w:val="auto"/>
        </w:rPr>
        <w:t>and each named executive officer’s employment was on an “at-will” basis, permitting either us or the executive to terminate his or her employment for any reason or for no reason.</w:t>
      </w:r>
    </w:p>
    <w:p>
      <w:pPr>
        <w:spacing w:after="0" w:line="10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i w:val="1"/>
          <w:iCs w:val="1"/>
          <w:color w:val="auto"/>
        </w:rPr>
        <w:t>Separation Agreement with Mr. Braithwaite</w:t>
      </w:r>
      <w:r>
        <w:rPr>
          <w:rFonts w:ascii="Arial" w:cs="Arial" w:eastAsia="Arial" w:hAnsi="Arial"/>
          <w:sz w:val="16"/>
          <w:szCs w:val="16"/>
          <w:color w:val="auto"/>
        </w:rPr>
        <w:t>. On January 4, 2018, the Company terminated Michael Braithwaite as the Company’s Senior Vice President -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Streaming Business and an employee of the Company. In connection with Mr. Braithwaite’s separation from the Company, on January 9, 2018 Mr. Braithwaite entered into a Confidential Separation Agreement and General Release with the Company (the “Separation Agreement”). Under the terms of the Separation Agreement, Mr. Braithwaite was paid all unpaid base salary and accrued but unused vacation time through the Separation Date. The Company also paid Mr. Braithwaite cash severance of $52,355.85 as additional consideration for a customary general release of claims.</w:t>
      </w:r>
    </w:p>
    <w:p>
      <w:pPr>
        <w:spacing w:after="0" w:line="170"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i w:val="1"/>
          <w:iCs w:val="1"/>
          <w:color w:val="auto"/>
        </w:rPr>
        <w:t>Accelerated Stock Option Vesting Upon a Change in Control</w:t>
      </w:r>
      <w:r>
        <w:rPr>
          <w:rFonts w:ascii="Arial" w:cs="Arial" w:eastAsia="Arial" w:hAnsi="Arial"/>
          <w:sz w:val="15"/>
          <w:szCs w:val="15"/>
          <w:color w:val="auto"/>
        </w:rPr>
        <w:t>. For certain option grants to executive officers and directors, in the event of a change in control, all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optionee’s unvested stock options will vest and become exercisable immediately prior to the event or the closing of the transaction causing the change in control.</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Under the option grants, a “</w:t>
      </w:r>
      <w:r>
        <w:rPr>
          <w:rFonts w:ascii="Arial" w:cs="Arial" w:eastAsia="Arial" w:hAnsi="Arial"/>
          <w:sz w:val="15"/>
          <w:szCs w:val="15"/>
          <w:i w:val="1"/>
          <w:iCs w:val="1"/>
          <w:color w:val="auto"/>
        </w:rPr>
        <w:t>Change in Control”</w:t>
      </w:r>
      <w:r>
        <w:rPr>
          <w:rFonts w:ascii="Arial" w:cs="Arial" w:eastAsia="Arial" w:hAnsi="Arial"/>
          <w:sz w:val="15"/>
          <w:szCs w:val="15"/>
          <w:color w:val="auto"/>
        </w:rPr>
        <w:t xml:space="preserve"> means a change in ownership or control of the Company effected through either of the following transactions:</w:t>
      </w:r>
    </w:p>
    <w:p>
      <w:pPr>
        <w:spacing w:after="0" w:line="210" w:lineRule="exact"/>
        <w:rPr>
          <w:sz w:val="20"/>
          <w:szCs w:val="20"/>
          <w:color w:val="auto"/>
        </w:rPr>
      </w:pPr>
    </w:p>
    <w:p>
      <w:pPr>
        <w:jc w:val="both"/>
        <w:ind w:left="560" w:firstLine="9"/>
        <w:spacing w:after="0" w:line="258" w:lineRule="auto"/>
        <w:tabs>
          <w:tab w:leader="none" w:pos="7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64" w:lineRule="exact"/>
        <w:rPr>
          <w:rFonts w:ascii="Arial" w:cs="Arial" w:eastAsia="Arial" w:hAnsi="Arial"/>
          <w:sz w:val="16"/>
          <w:szCs w:val="16"/>
          <w:color w:val="auto"/>
        </w:rPr>
      </w:pPr>
    </w:p>
    <w:p>
      <w:pPr>
        <w:jc w:val="both"/>
        <w:ind w:left="560" w:firstLine="9"/>
        <w:spacing w:after="0" w:line="258"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6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2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At our current stock price of about $1.75, none of our named executive officers would benefit from any potential accelerated vesting of unvested stock options.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w:t>
      </w:r>
    </w:p>
    <w:p>
      <w:pPr>
        <w:spacing w:after="0" w:line="20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following table summarizes the compensation paid by us to non-employee directors for the year ended December 31, 2018. Ms. Hakimoglu did not receive additional compensation for her service as a director.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Fees Earned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or Paid in</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8"/>
              </w:rPr>
              <w:t>Other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line="238" w:lineRule="exact"/>
              <w:rPr>
                <w:sz w:val="20"/>
                <w:szCs w:val="20"/>
                <w:color w:val="auto"/>
              </w:rPr>
            </w:pPr>
            <w:r>
              <w:rPr>
                <w:rFonts w:ascii="Arial" w:cs="Arial" w:eastAsia="Arial" w:hAnsi="Arial"/>
                <w:sz w:val="16"/>
                <w:szCs w:val="16"/>
                <w:b w:val="1"/>
                <w:bCs w:val="1"/>
                <w:color w:val="auto"/>
                <w:w w:val="82"/>
              </w:rPr>
              <w:t>Cash</w:t>
            </w:r>
            <w:r>
              <w:rPr>
                <w:rFonts w:ascii="Arial" w:cs="Arial" w:eastAsia="Arial" w:hAnsi="Arial"/>
                <w:sz w:val="26"/>
                <w:szCs w:val="26"/>
                <w:b w:val="1"/>
                <w:bCs w:val="1"/>
                <w:color w:val="auto"/>
                <w:w w:val="82"/>
                <w:vertAlign w:val="superscript"/>
              </w:rPr>
              <w:t>(1)</w:t>
            </w:r>
          </w:p>
        </w:tc>
        <w:tc>
          <w:tcPr>
            <w:tcW w:w="160" w:type="dxa"/>
            <w:vAlign w:val="bottom"/>
          </w:tcPr>
          <w:p>
            <w:pPr>
              <w:spacing w:after="0"/>
              <w:rPr>
                <w:sz w:val="20"/>
                <w:szCs w:val="20"/>
                <w:color w:val="auto"/>
              </w:rPr>
            </w:pPr>
          </w:p>
        </w:tc>
        <w:tc>
          <w:tcPr>
            <w:tcW w:w="1120" w:type="dxa"/>
            <w:vAlign w:val="bottom"/>
            <w:gridSpan w:val="2"/>
          </w:tcPr>
          <w:p>
            <w:pPr>
              <w:jc w:val="center"/>
              <w:ind w:right="280"/>
              <w:spacing w:after="0" w:line="238" w:lineRule="exact"/>
              <w:rPr>
                <w:sz w:val="20"/>
                <w:szCs w:val="20"/>
                <w:color w:val="auto"/>
              </w:rPr>
            </w:pPr>
            <w:r>
              <w:rPr>
                <w:rFonts w:ascii="Arial" w:cs="Arial" w:eastAsia="Arial" w:hAnsi="Arial"/>
                <w:sz w:val="16"/>
                <w:szCs w:val="16"/>
                <w:b w:val="1"/>
                <w:bCs w:val="1"/>
                <w:color w:val="auto"/>
                <w:w w:val="86"/>
              </w:rPr>
              <w:t>Awards</w:t>
            </w:r>
            <w:r>
              <w:rPr>
                <w:rFonts w:ascii="Arial" w:cs="Arial" w:eastAsia="Arial" w:hAnsi="Arial"/>
                <w:sz w:val="26"/>
                <w:szCs w:val="26"/>
                <w:b w:val="1"/>
                <w:bCs w:val="1"/>
                <w:color w:val="auto"/>
                <w:w w:val="86"/>
                <w:vertAlign w:val="superscript"/>
              </w:rPr>
              <w:t>(2)</w:t>
            </w:r>
          </w:p>
        </w:tc>
        <w:tc>
          <w:tcPr>
            <w:tcW w:w="100" w:type="dxa"/>
            <w:vAlign w:val="bottom"/>
          </w:tcPr>
          <w:p>
            <w:pPr>
              <w:spacing w:after="0"/>
              <w:rPr>
                <w:sz w:val="20"/>
                <w:szCs w:val="20"/>
                <w:color w:val="auto"/>
              </w:rPr>
            </w:pPr>
          </w:p>
        </w:tc>
        <w:tc>
          <w:tcPr>
            <w:tcW w:w="158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88"/>
              </w:rPr>
              <w:t>Compensation</w:t>
            </w: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420" w:type="dxa"/>
            <w:vAlign w:val="bottom"/>
            <w:shd w:val="clear" w:color="auto" w:fill="CCEEFF"/>
          </w:tcPr>
          <w:p>
            <w:pPr>
              <w:spacing w:after="0" w:line="218" w:lineRule="exact"/>
              <w:rPr>
                <w:sz w:val="20"/>
                <w:szCs w:val="20"/>
                <w:color w:val="auto"/>
              </w:rPr>
            </w:pPr>
            <w:r>
              <w:rPr>
                <w:rFonts w:ascii="Arial" w:cs="Arial" w:eastAsia="Arial" w:hAnsi="Arial"/>
                <w:sz w:val="15"/>
                <w:szCs w:val="15"/>
                <w:color w:val="auto"/>
              </w:rPr>
              <w:t xml:space="preserve">Brad R. Baldwin </w:t>
            </w:r>
            <w:r>
              <w:rPr>
                <w:rFonts w:ascii="Arial" w:cs="Arial" w:eastAsia="Arial" w:hAnsi="Arial"/>
                <w:sz w:val="25"/>
                <w:szCs w:val="25"/>
                <w:color w:val="auto"/>
                <w:vertAlign w:val="superscript"/>
              </w:rPr>
              <w:t>(3)</w:t>
            </w: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Larry R. Hendricks</w:t>
            </w: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34,258</w:t>
            </w:r>
          </w:p>
        </w:tc>
        <w:tc>
          <w:tcPr>
            <w:tcW w:w="16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34,258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Eric L. Robinson</w:t>
            </w: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37,200</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37,200</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29" w:right="219" w:bottom="1440" w:gutter="0" w:footer="0" w:header="0"/>
        </w:sectPr>
      </w:pPr>
    </w:p>
    <w:bookmarkStart w:id="13" w:name="page14"/>
    <w:bookmarkEnd w:id="13"/>
    <w:p>
      <w:pPr>
        <w:ind w:left="284" w:right="240" w:hanging="284"/>
        <w:spacing w:after="0" w:line="262" w:lineRule="auto"/>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base annual director’s fee for the reporting year was $30,000. In addition, independent directors were paid $100 per month for each board committee served on, and an additional $300 per month if the director was the chair of the Audit and Compliance Committee or Compensation Committee. The fee is not dependent on the number of meetings attended by any directors.</w:t>
      </w:r>
    </w:p>
    <w:p>
      <w:pPr>
        <w:spacing w:after="0" w:line="162" w:lineRule="exact"/>
        <w:rPr>
          <w:rFonts w:ascii="Arial" w:cs="Arial" w:eastAsia="Arial" w:hAnsi="Arial"/>
          <w:sz w:val="16"/>
          <w:szCs w:val="16"/>
          <w:color w:val="auto"/>
        </w:rPr>
      </w:pPr>
    </w:p>
    <w:p>
      <w:pPr>
        <w:ind w:left="284" w:right="540" w:hanging="284"/>
        <w:spacing w:after="0" w:line="349" w:lineRule="auto"/>
        <w:tabs>
          <w:tab w:leader="none" w:pos="284"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Prior to 2018, non-employee directors received an annual grant of a stock option to purchase 10,000 shares of common stock as part of their compensation. The Board terminated the annual grant of stock options to non-employee directors in 2018, and consequently no stock options were awarded to non-employee directors in 2018.</w:t>
      </w:r>
    </w:p>
    <w:p>
      <w:pPr>
        <w:spacing w:after="0" w:line="105" w:lineRule="exact"/>
        <w:rPr>
          <w:rFonts w:ascii="Arial" w:cs="Arial" w:eastAsia="Arial" w:hAnsi="Arial"/>
          <w:sz w:val="14"/>
          <w:szCs w:val="14"/>
          <w:color w:val="auto"/>
        </w:rPr>
      </w:pPr>
    </w:p>
    <w:p>
      <w:pPr>
        <w:ind w:left="284" w:hanging="284"/>
        <w:spacing w:after="0"/>
        <w:tabs>
          <w:tab w:leader="none" w:pos="2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Brad Baldwin’s tenure as a director of the Company ended on October 25, 2018.</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Historically, the Company's non-employee directors have received an annual grant of stock options to purchase 10,000 shares of the Company's common stock, of which one-third of the shares vest on the first anniversary of the grant date, and the remaining vest in equal monthly increments over the subsequent 24-month period. However, the Board decided to terminate the annual stock option award to non-employee directors in 2018, and consequently, no such grants were made in 2018. All directors are reimbursed by the Company for their out-of-pocket travel and related expenses, if any, incurred in attending all Board of Directors and committee meetings.</w:t>
      </w:r>
    </w:p>
    <w:p>
      <w:pPr>
        <w:spacing w:after="0" w:line="3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CERTAIN RELATIONSHIPS AND RELATED TRANSACTIONS AND DIRECTOR INDEPENDENCE</w:t>
      </w:r>
    </w:p>
    <w:p>
      <w:pPr>
        <w:spacing w:after="0" w:line="202"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in our website at http://investors.clearone.com/governance.cfm.</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Related Party Transactions: Consulting Agreement with Edward D. Bagley</w:t>
      </w:r>
    </w:p>
    <w:p>
      <w:pPr>
        <w:spacing w:after="0" w:line="202" w:lineRule="exact"/>
        <w:rPr>
          <w:sz w:val="20"/>
          <w:szCs w:val="20"/>
          <w:color w:val="auto"/>
        </w:rPr>
      </w:pPr>
    </w:p>
    <w:p>
      <w:pPr>
        <w:jc w:val="both"/>
        <w:ind w:left="4" w:firstLine="574"/>
        <w:spacing w:after="0" w:line="252" w:lineRule="auto"/>
        <w:rPr>
          <w:sz w:val="20"/>
          <w:szCs w:val="20"/>
          <w:color w:val="auto"/>
        </w:rPr>
      </w:pPr>
      <w:r>
        <w:rPr>
          <w:rFonts w:ascii="Arial" w:cs="Arial" w:eastAsia="Arial" w:hAnsi="Arial"/>
          <w:sz w:val="16"/>
          <w:szCs w:val="16"/>
          <w:color w:val="auto"/>
        </w:rPr>
        <w:t>On June 3, 2015, the Company entered into a Consulting Agreement (the “Consulting Agreement”) with Edward D. Bagley, former Chairman of the Board and greater than 10% shareholder, which became effective on July 29, 2015 for a term of three years. Pursuant to the term of the Consulting Agreement, Mr. Bagley has served as a strategic partner of the Company and provided strategic advice and counseling. Pursuant to the terms of the Consulting Agreement Mr. Bagley was paid a fee of $5,000 per month and was eligible to participate in our equity incentive programs and will be granted stock options commensurate with grants of stock options made to our directors. During 2016, he was paid $60,000 as consulting fees and was awarded 10,000 stock options at an exercise price of $11.26. He also received ClearOne stock awarded under a dividend equivalents plan offered to all ClearOne stock optionees including directors and officers. Under this plan, dividend equivalents were calculated at $0.10, $0.035, $0.035, $0.035 and $0.05, for each stock option outstanding in the quarters of 2014-Q4, 2015-Q1, 2015-Q2, 2015-Q3, and 2015-Q4, respectively and equivalent value of ClearOne stock awarded. The value of ClearOne stock received by Mr. Bagley in 2016 was $779. During 2017, he was paid $60,000 as consulting fees and was awarded 10,000 stock options at an exercise price of $9.90. During 2018, he was paid $60,000 as consulting fees but was not awarded any stock options. The Consulting Agreement was renewed in 2018 for a further period of three years.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Director Independence</w:t>
      </w:r>
    </w:p>
    <w:p>
      <w:pPr>
        <w:spacing w:after="0" w:line="20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16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Our Board of Directors has an Audit and Compliance Committee, a Compensation Committee, and a Nominating Committee, each consisting entirely of independent directors.</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624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4"/>
          </w:cols>
          <w:pgMar w:left="236" w:top="533" w:right="21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AUDIT AND COMPLIANCE COMMITTEE REPORT</w:t>
      </w:r>
    </w:p>
    <w:p>
      <w:pPr>
        <w:spacing w:after="0" w:line="20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The Audit and Compliance Committee of the Board of Directors is comprised of three directors, all of whom are independent as defined in NASDAQ and SEC rules and regulations. The members of the Audit and Compliance Committee are Eric L. Robinson (Chair), Larry R. Hendricks, and Bruce Whaley.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opinions on the conformity of the Company’s 2018 audited financial statements to accounting principles generally accepted in the United States of America and the effectiveness of the Company’s internal control over financial reporting as of December 31, 2018.</w:t>
      </w:r>
    </w:p>
    <w:p>
      <w:pPr>
        <w:spacing w:after="0" w:line="165"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this context, the Audit and Compliance Committee hereby reports as follows:</w:t>
      </w:r>
    </w:p>
    <w:p>
      <w:pPr>
        <w:spacing w:after="0" w:line="198" w:lineRule="exact"/>
        <w:rPr>
          <w:sz w:val="20"/>
          <w:szCs w:val="20"/>
          <w:color w:val="auto"/>
        </w:rPr>
      </w:pPr>
    </w:p>
    <w:p>
      <w:pPr>
        <w:ind w:right="20" w:firstLine="569"/>
        <w:spacing w:after="0" w:line="349" w:lineRule="auto"/>
        <w:tabs>
          <w:tab w:leader="none" w:pos="96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Audit and Compliance Committee has reviewed and discussed the fiscal 2018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05" w:lineRule="exact"/>
        <w:rPr>
          <w:rFonts w:ascii="Arial" w:cs="Arial" w:eastAsia="Arial" w:hAnsi="Arial"/>
          <w:sz w:val="14"/>
          <w:szCs w:val="14"/>
          <w:color w:val="auto"/>
        </w:rPr>
      </w:pPr>
    </w:p>
    <w:p>
      <w:pPr>
        <w:ind w:right="20" w:firstLine="569"/>
        <w:spacing w:after="0" w:line="275" w:lineRule="auto"/>
        <w:tabs>
          <w:tab w:leader="none" w:pos="8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has discussed with the Company's independent registered public accountants the matters required to be discussed by the statement on Auditing Standards No. 1301, Communications with Audit Committees, as adopted by the Public Company Accounting Oversight Board;</w:t>
      </w:r>
    </w:p>
    <w:p>
      <w:pPr>
        <w:spacing w:after="0" w:line="151" w:lineRule="exact"/>
        <w:rPr>
          <w:rFonts w:ascii="Arial" w:cs="Arial" w:eastAsia="Arial" w:hAnsi="Arial"/>
          <w:sz w:val="16"/>
          <w:szCs w:val="16"/>
          <w:color w:val="auto"/>
        </w:rPr>
      </w:pPr>
    </w:p>
    <w:p>
      <w:pPr>
        <w:jc w:val="both"/>
        <w:ind w:firstLine="569"/>
        <w:spacing w:after="0" w:line="258" w:lineRule="auto"/>
        <w:tabs>
          <w:tab w:leader="none" w:pos="9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64" w:lineRule="exact"/>
        <w:rPr>
          <w:rFonts w:ascii="Arial" w:cs="Arial" w:eastAsia="Arial" w:hAnsi="Arial"/>
          <w:sz w:val="16"/>
          <w:szCs w:val="16"/>
          <w:color w:val="auto"/>
        </w:rPr>
      </w:pPr>
    </w:p>
    <w:p>
      <w:pPr>
        <w:jc w:val="both"/>
        <w:ind w:right="20" w:firstLine="569"/>
        <w:spacing w:after="0" w:line="262" w:lineRule="auto"/>
        <w:tabs>
          <w:tab w:leader="none" w:pos="91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fiscal year ended December 31, 2018, for filing with the Securities and Exchange Commission on April 15, 2019.</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Respectfully submitted by the members of the Audit and Compliance Committee.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Eric L. Robinson (Chair)</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Larry R. Hendricks</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Bruce Whaley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15" w:name="page16"/>
    <w:bookmarkEnd w:id="15"/>
    <w:p>
      <w:pPr>
        <w:ind w:left="4"/>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0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The following table sets forth certain information regarding ownership of our common stock as of December 9, 2019,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Shares Beneficially Owned</w:t>
            </w: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Shares that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Currently</w:t>
            </w: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could be</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Currently</w:t>
            </w: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Owned</w:t>
            </w: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acquired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68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Name of Beneficial Owner</w:t>
            </w:r>
            <w:r>
              <w:rPr>
                <w:rFonts w:ascii="Arial" w:cs="Arial" w:eastAsia="Arial" w:hAnsi="Arial"/>
                <w:sz w:val="26"/>
                <w:szCs w:val="26"/>
                <w:b w:val="1"/>
                <w:bCs w:val="1"/>
                <w:color w:val="auto"/>
                <w:vertAlign w:val="superscript"/>
              </w:rPr>
              <w:t>(1)</w:t>
            </w:r>
          </w:p>
        </w:tc>
        <w:tc>
          <w:tcPr>
            <w:tcW w:w="1400" w:type="dxa"/>
            <w:vAlign w:val="bottom"/>
            <w:gridSpan w:val="2"/>
          </w:tcPr>
          <w:p>
            <w:pPr>
              <w:jc w:val="center"/>
              <w:ind w:right="240"/>
              <w:spacing w:after="0" w:line="263" w:lineRule="exact"/>
              <w:rPr>
                <w:sz w:val="20"/>
                <w:szCs w:val="20"/>
                <w:color w:val="auto"/>
              </w:rPr>
            </w:pPr>
            <w:r>
              <w:rPr>
                <w:rFonts w:ascii="Arial" w:cs="Arial" w:eastAsia="Arial" w:hAnsi="Arial"/>
                <w:sz w:val="16"/>
                <w:szCs w:val="16"/>
                <w:b w:val="1"/>
                <w:bCs w:val="1"/>
                <w:color w:val="auto"/>
                <w:w w:val="86"/>
              </w:rPr>
              <w:t xml:space="preserve">Owned </w:t>
            </w:r>
            <w:r>
              <w:rPr>
                <w:rFonts w:ascii="Arial" w:cs="Arial" w:eastAsia="Arial" w:hAnsi="Arial"/>
                <w:sz w:val="26"/>
                <w:szCs w:val="26"/>
                <w:b w:val="1"/>
                <w:bCs w:val="1"/>
                <w:color w:val="auto"/>
                <w:w w:val="86"/>
                <w:vertAlign w:val="superscript"/>
              </w:rPr>
              <w:t>(2)</w:t>
            </w:r>
          </w:p>
        </w:tc>
        <w:tc>
          <w:tcPr>
            <w:tcW w:w="1420" w:type="dxa"/>
            <w:vAlign w:val="bottom"/>
            <w:gridSpan w:val="2"/>
          </w:tcPr>
          <w:p>
            <w:pPr>
              <w:jc w:val="center"/>
              <w:ind w:right="260"/>
              <w:spacing w:after="0" w:line="263" w:lineRule="exact"/>
              <w:rPr>
                <w:sz w:val="20"/>
                <w:szCs w:val="20"/>
                <w:color w:val="auto"/>
              </w:rPr>
            </w:pPr>
            <w:r>
              <w:rPr>
                <w:rFonts w:ascii="Arial" w:cs="Arial" w:eastAsia="Arial" w:hAnsi="Arial"/>
                <w:sz w:val="16"/>
                <w:szCs w:val="16"/>
                <w:b w:val="1"/>
                <w:bCs w:val="1"/>
                <w:color w:val="auto"/>
                <w:w w:val="85"/>
              </w:rPr>
              <w:t xml:space="preserve">Percent </w:t>
            </w:r>
            <w:r>
              <w:rPr>
                <w:rFonts w:ascii="Arial" w:cs="Arial" w:eastAsia="Arial" w:hAnsi="Arial"/>
                <w:sz w:val="26"/>
                <w:szCs w:val="26"/>
                <w:b w:val="1"/>
                <w:bCs w:val="1"/>
                <w:color w:val="auto"/>
                <w:w w:val="85"/>
                <w:vertAlign w:val="superscript"/>
              </w:rPr>
              <w:t>(2)</w:t>
            </w:r>
          </w:p>
        </w:tc>
        <w:tc>
          <w:tcPr>
            <w:tcW w:w="1640" w:type="dxa"/>
            <w:vAlign w:val="bottom"/>
            <w:gridSpan w:val="2"/>
          </w:tcPr>
          <w:p>
            <w:pPr>
              <w:jc w:val="center"/>
              <w:ind w:right="220"/>
              <w:spacing w:after="0" w:line="263" w:lineRule="exact"/>
              <w:rPr>
                <w:sz w:val="20"/>
                <w:szCs w:val="20"/>
                <w:color w:val="auto"/>
              </w:rPr>
            </w:pPr>
            <w:r>
              <w:rPr>
                <w:rFonts w:ascii="Arial" w:cs="Arial" w:eastAsia="Arial" w:hAnsi="Arial"/>
                <w:sz w:val="16"/>
                <w:szCs w:val="16"/>
                <w:b w:val="1"/>
                <w:bCs w:val="1"/>
                <w:color w:val="auto"/>
                <w:w w:val="87"/>
              </w:rPr>
              <w:t xml:space="preserve">within 60 days </w:t>
            </w:r>
            <w:r>
              <w:rPr>
                <w:rFonts w:ascii="Arial" w:cs="Arial" w:eastAsia="Arial" w:hAnsi="Arial"/>
                <w:sz w:val="26"/>
                <w:szCs w:val="26"/>
                <w:b w:val="1"/>
                <w:bCs w:val="1"/>
                <w:color w:val="auto"/>
                <w:w w:val="87"/>
                <w:vertAlign w:val="superscript"/>
              </w:rPr>
              <w:t>(2)</w:t>
            </w:r>
          </w:p>
        </w:tc>
        <w:tc>
          <w:tcPr>
            <w:tcW w:w="1400" w:type="dxa"/>
            <w:vAlign w:val="bottom"/>
            <w:gridSpan w:val="2"/>
          </w:tcPr>
          <w:p>
            <w:pPr>
              <w:jc w:val="center"/>
              <w:ind w:right="220"/>
              <w:spacing w:after="0" w:line="263" w:lineRule="exact"/>
              <w:rPr>
                <w:sz w:val="20"/>
                <w:szCs w:val="20"/>
                <w:color w:val="auto"/>
              </w:rPr>
            </w:pPr>
            <w:r>
              <w:rPr>
                <w:rFonts w:ascii="Arial" w:cs="Arial" w:eastAsia="Arial" w:hAnsi="Arial"/>
                <w:sz w:val="16"/>
                <w:szCs w:val="16"/>
                <w:b w:val="1"/>
                <w:bCs w:val="1"/>
                <w:color w:val="auto"/>
                <w:w w:val="84"/>
              </w:rPr>
              <w:t xml:space="preserve">Total </w:t>
            </w:r>
            <w:r>
              <w:rPr>
                <w:rFonts w:ascii="Arial" w:cs="Arial" w:eastAsia="Arial" w:hAnsi="Arial"/>
                <w:sz w:val="26"/>
                <w:szCs w:val="26"/>
                <w:b w:val="1"/>
                <w:bCs w:val="1"/>
                <w:color w:val="auto"/>
                <w:w w:val="84"/>
                <w:vertAlign w:val="superscript"/>
              </w:rPr>
              <w:t>(2)</w:t>
            </w:r>
          </w:p>
        </w:tc>
        <w:tc>
          <w:tcPr>
            <w:tcW w:w="1320" w:type="dxa"/>
            <w:vAlign w:val="bottom"/>
            <w:gridSpan w:val="2"/>
          </w:tcPr>
          <w:p>
            <w:pPr>
              <w:jc w:val="right"/>
              <w:ind w:right="380"/>
              <w:spacing w:after="0" w:line="263" w:lineRule="exact"/>
              <w:rPr>
                <w:sz w:val="20"/>
                <w:szCs w:val="20"/>
                <w:color w:val="auto"/>
              </w:rPr>
            </w:pPr>
            <w:r>
              <w:rPr>
                <w:rFonts w:ascii="Arial" w:cs="Arial" w:eastAsia="Arial" w:hAnsi="Arial"/>
                <w:sz w:val="16"/>
                <w:szCs w:val="16"/>
                <w:b w:val="1"/>
                <w:bCs w:val="1"/>
                <w:color w:val="auto"/>
              </w:rPr>
              <w:t xml:space="preserve">Percent </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04"/>
        </w:trPr>
        <w:tc>
          <w:tcPr>
            <w:tcW w:w="3680" w:type="dxa"/>
            <w:vAlign w:val="bottom"/>
            <w:gridSpan w:val="5"/>
            <w:vMerge w:val="continue"/>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rPr>
              <w:t>(A)</w:t>
            </w: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rPr>
              <w:t>(B)</w:t>
            </w: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(C)</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(D)</w:t>
            </w:r>
          </w:p>
        </w:tc>
        <w:tc>
          <w:tcPr>
            <w:tcW w:w="1320" w:type="dxa"/>
            <w:vAlign w:val="bottom"/>
            <w:gridSpan w:val="2"/>
          </w:tcPr>
          <w:p>
            <w:pPr>
              <w:jc w:val="right"/>
              <w:ind w:right="640"/>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Borders>
              <w:top w:val="single" w:sz="8" w:color="auto"/>
              <w:bottom w:val="single" w:sz="8" w:color="auto"/>
            </w:tcBorders>
            <w:gridSpan w:val="2"/>
            <w:shd w:val="clear" w:color="auto" w:fill="CCEEFF"/>
          </w:tcPr>
          <w:p>
            <w:pPr>
              <w:spacing w:after="0" w:line="148" w:lineRule="exact"/>
              <w:rPr>
                <w:sz w:val="20"/>
                <w:szCs w:val="20"/>
                <w:color w:val="auto"/>
              </w:rPr>
            </w:pPr>
            <w:r>
              <w:rPr>
                <w:rFonts w:ascii="Arial" w:cs="Arial" w:eastAsia="Arial" w:hAnsi="Arial"/>
                <w:sz w:val="16"/>
                <w:szCs w:val="16"/>
                <w:b w:val="1"/>
                <w:bCs w:val="1"/>
                <w:color w:val="auto"/>
                <w:w w:val="88"/>
              </w:rPr>
              <w:t>Directors and Executive Officers:</w:t>
            </w:r>
          </w:p>
        </w:tc>
        <w:tc>
          <w:tcPr>
            <w:tcW w:w="12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4"/>
          </w:tcPr>
          <w:p>
            <w:pPr>
              <w:spacing w:after="0"/>
              <w:rPr>
                <w:sz w:val="20"/>
                <w:szCs w:val="20"/>
                <w:color w:val="auto"/>
              </w:rPr>
            </w:pPr>
            <w:r>
              <w:rPr>
                <w:rFonts w:ascii="Arial" w:cs="Arial" w:eastAsia="Arial" w:hAnsi="Arial"/>
                <w:sz w:val="16"/>
                <w:szCs w:val="16"/>
                <w:color w:val="auto"/>
              </w:rPr>
              <w:t>Zeynep Hakimoglu</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789,449</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4.7%</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205,555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995,004</w:t>
            </w: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Larry R. Hendricks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8,548</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63,888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72,436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4"/>
          </w:tcPr>
          <w:p>
            <w:pPr>
              <w:spacing w:after="0"/>
              <w:rPr>
                <w:sz w:val="20"/>
                <w:szCs w:val="20"/>
                <w:color w:val="auto"/>
              </w:rPr>
            </w:pPr>
            <w:r>
              <w:rPr>
                <w:rFonts w:ascii="Arial" w:cs="Arial" w:eastAsia="Arial" w:hAnsi="Arial"/>
                <w:sz w:val="16"/>
                <w:szCs w:val="16"/>
                <w:color w:val="auto"/>
              </w:rPr>
              <w:t>Eric L. Robinson</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65</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27,221</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27,286</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Narsi Narayanan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120,277</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130,205</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gridSpan w:val="4"/>
          </w:tcPr>
          <w:p>
            <w:pPr>
              <w:spacing w:after="0"/>
              <w:rPr>
                <w:sz w:val="20"/>
                <w:szCs w:val="20"/>
                <w:color w:val="auto"/>
              </w:rPr>
            </w:pPr>
            <w:r>
              <w:rPr>
                <w:rFonts w:ascii="Arial" w:cs="Arial" w:eastAsia="Arial" w:hAnsi="Arial"/>
                <w:sz w:val="16"/>
                <w:szCs w:val="16"/>
                <w:color w:val="auto"/>
              </w:rPr>
              <w:t>Total (Directors and Officers)</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807,990</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416,941</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1,224,931</w:t>
            </w: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60" w:type="dxa"/>
            <w:vAlign w:val="bottom"/>
            <w:gridSpan w:val="4"/>
            <w:shd w:val="clear" w:color="auto" w:fill="CCEEFF"/>
          </w:tcPr>
          <w:p>
            <w:pPr>
              <w:spacing w:after="0" w:line="148" w:lineRule="exact"/>
              <w:rPr>
                <w:sz w:val="20"/>
                <w:szCs w:val="20"/>
                <w:color w:val="auto"/>
              </w:rPr>
            </w:pPr>
            <w:r>
              <w:rPr>
                <w:rFonts w:ascii="Arial" w:cs="Arial" w:eastAsia="Arial" w:hAnsi="Arial"/>
                <w:sz w:val="16"/>
                <w:szCs w:val="16"/>
                <w:b w:val="1"/>
                <w:bCs w:val="1"/>
                <w:color w:val="auto"/>
              </w:rPr>
              <w:t>5% Shareholders:</w:t>
            </w:r>
          </w:p>
        </w:tc>
        <w:tc>
          <w:tcPr>
            <w:tcW w:w="11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gridSpan w:val="4"/>
          </w:tcPr>
          <w:p>
            <w:pPr>
              <w:spacing w:after="0" w:line="227" w:lineRule="exact"/>
              <w:rPr>
                <w:sz w:val="20"/>
                <w:szCs w:val="20"/>
                <w:color w:val="auto"/>
              </w:rPr>
            </w:pPr>
            <w:r>
              <w:rPr>
                <w:rFonts w:ascii="Arial" w:cs="Arial" w:eastAsia="Arial" w:hAnsi="Arial"/>
                <w:sz w:val="16"/>
                <w:szCs w:val="16"/>
                <w:color w:val="auto"/>
              </w:rPr>
              <w:t xml:space="preserve">Edward D. Bagley </w:t>
            </w:r>
            <w:r>
              <w:rPr>
                <w:rFonts w:ascii="Arial" w:cs="Arial" w:eastAsia="Arial" w:hAnsi="Arial"/>
                <w:sz w:val="26"/>
                <w:szCs w:val="26"/>
                <w:color w:val="auto"/>
                <w:vertAlign w:val="superscript"/>
              </w:rPr>
              <w:t>(3)</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7,403,239</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44.5%</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1,789,930</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9,193,169</w:t>
            </w: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gridSpan w:val="4"/>
            <w:shd w:val="clear" w:color="auto" w:fill="CCEEFF"/>
          </w:tcPr>
          <w:p>
            <w:pPr>
              <w:spacing w:after="0" w:line="227" w:lineRule="exact"/>
              <w:rPr>
                <w:sz w:val="20"/>
                <w:szCs w:val="20"/>
                <w:color w:val="auto"/>
              </w:rPr>
            </w:pPr>
            <w:r>
              <w:rPr>
                <w:rFonts w:ascii="Arial" w:cs="Arial" w:eastAsia="Arial" w:hAnsi="Arial"/>
                <w:sz w:val="16"/>
                <w:szCs w:val="16"/>
                <w:color w:val="auto"/>
              </w:rPr>
              <w:t xml:space="preserve">E. Bryan Bagley </w:t>
            </w:r>
            <w:r>
              <w:rPr>
                <w:rFonts w:ascii="Arial" w:cs="Arial" w:eastAsia="Arial" w:hAnsi="Arial"/>
                <w:sz w:val="26"/>
                <w:szCs w:val="26"/>
                <w:color w:val="auto"/>
                <w:vertAlign w:val="superscript"/>
              </w:rPr>
              <w:t>(4)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1,581,412</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1,581,412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
        <w:spacing w:after="0"/>
        <w:rPr>
          <w:sz w:val="20"/>
          <w:szCs w:val="20"/>
          <w:color w:val="auto"/>
        </w:rPr>
      </w:pPr>
      <w:r>
        <w:rPr>
          <w:rFonts w:ascii="Arial" w:cs="Arial" w:eastAsia="Arial" w:hAnsi="Arial"/>
          <w:sz w:val="16"/>
          <w:szCs w:val="16"/>
          <w:color w:val="auto"/>
        </w:rPr>
        <w:t>* denotes less than 1% ownership.</w:t>
      </w:r>
    </w:p>
    <w:p>
      <w:pPr>
        <w:spacing w:after="0" w:line="198" w:lineRule="exact"/>
        <w:rPr>
          <w:sz w:val="20"/>
          <w:szCs w:val="20"/>
          <w:color w:val="auto"/>
        </w:rPr>
      </w:pPr>
    </w:p>
    <w:p>
      <w:pPr>
        <w:jc w:val="both"/>
        <w:ind w:left="564" w:right="20" w:hanging="564"/>
        <w:spacing w:after="0" w:line="262" w:lineRule="auto"/>
        <w:tabs>
          <w:tab w:leader="none" w:pos="5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62" w:lineRule="exact"/>
        <w:rPr>
          <w:rFonts w:ascii="Arial" w:cs="Arial" w:eastAsia="Arial" w:hAnsi="Arial"/>
          <w:sz w:val="16"/>
          <w:szCs w:val="16"/>
          <w:color w:val="auto"/>
        </w:rPr>
      </w:pPr>
    </w:p>
    <w:p>
      <w:pPr>
        <w:ind w:left="564" w:hanging="564"/>
        <w:spacing w:after="0"/>
        <w:tabs>
          <w:tab w:leader="none" w:pos="56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percentages shown in Column (B) are calculated based on 16,646,323 shares of common stock outstanding on December 9, 2019. The numbers shown in Column</w:t>
      </w:r>
    </w:p>
    <w:p>
      <w:pPr>
        <w:spacing w:after="0" w:line="42" w:lineRule="exact"/>
        <w:rPr>
          <w:rFonts w:ascii="Arial" w:cs="Arial" w:eastAsia="Arial" w:hAnsi="Arial"/>
          <w:sz w:val="14"/>
          <w:szCs w:val="14"/>
          <w:color w:val="auto"/>
        </w:rPr>
      </w:pPr>
    </w:p>
    <w:p>
      <w:pPr>
        <w:jc w:val="both"/>
        <w:ind w:left="564"/>
        <w:spacing w:after="0" w:line="252" w:lineRule="auto"/>
        <w:rPr>
          <w:rFonts w:ascii="Arial" w:cs="Arial" w:eastAsia="Arial" w:hAnsi="Arial"/>
          <w:sz w:val="14"/>
          <w:szCs w:val="14"/>
          <w:color w:val="auto"/>
        </w:rPr>
      </w:pPr>
      <w:r>
        <w:rPr>
          <w:rFonts w:ascii="Arial" w:cs="Arial" w:eastAsia="Arial" w:hAnsi="Arial"/>
          <w:sz w:val="16"/>
          <w:szCs w:val="16"/>
          <w:color w:val="auto"/>
        </w:rPr>
        <w:t>(D) and percentages shown in Column (E) include the shares of common stock actually owned as of December 9, 2019 and the shares of common stock that the identified person or group had the right to acquire within 60 days of such date. In calculating the percentage of ownership, all shares of common stock that each identified person or group had the right to acquire within 60 days of December 9, 2019 upon the exercise of options shown in Column (C) are deemed to be outstanding for the purpose of computing the percentage of the shares of common stock owned by the persons or groups listed above.</w:t>
      </w:r>
    </w:p>
    <w:p>
      <w:pPr>
        <w:spacing w:after="0" w:line="170" w:lineRule="exact"/>
        <w:rPr>
          <w:rFonts w:ascii="Arial" w:cs="Arial" w:eastAsia="Arial" w:hAnsi="Arial"/>
          <w:sz w:val="14"/>
          <w:szCs w:val="14"/>
          <w:color w:val="auto"/>
        </w:rPr>
      </w:pPr>
    </w:p>
    <w:p>
      <w:pPr>
        <w:jc w:val="both"/>
        <w:ind w:left="564" w:hanging="564"/>
        <w:spacing w:after="0" w:line="270" w:lineRule="auto"/>
        <w:tabs>
          <w:tab w:leader="none" w:pos="564" w:val="left"/>
        </w:tabs>
        <w:numPr>
          <w:ilvl w:val="0"/>
          <w:numId w:val="15"/>
        </w:numPr>
        <w:rPr>
          <w:rFonts w:ascii="Arial" w:cs="Arial" w:eastAsia="Arial" w:hAnsi="Arial"/>
          <w:sz w:val="15"/>
          <w:szCs w:val="15"/>
          <w:color w:val="auto"/>
        </w:rPr>
      </w:pPr>
      <w:r>
        <w:rPr>
          <w:rFonts w:ascii="Arial" w:cs="Arial" w:eastAsia="Arial" w:hAnsi="Arial"/>
          <w:sz w:val="15"/>
          <w:szCs w:val="15"/>
          <w:color w:val="auto"/>
        </w:rPr>
        <w:t>Mr. Edward D. Bagley may be deemed to own an additional 2,252,634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7,406,340 shares (including the shares that may be acquired pursuant to the exercise of stock options) and shared voting and dispositive power over the 355,257 shares held by Mr. Edward D. Bagley’s spouse. This information is based upon the Schedule 13D/A and Form 4, as filed by Mr. Bagley with the SEC in December 2018. E. Bryan Bagley, who resigned as Director effective November 6, 2012, is the son of Edward D. Bagley, and each of them has previously disclaimed beneficial ownership of common stock beneficially owned by the other. The share amounts indicated for Mr. Edward D. Bagley do not include any shares held by E. Bryan. On December 8, 2019, Mr. Edward D. Bagley entered into a Note Purchase Agreement with the Company pursuant to which Mr. Bagley agreed to purchase $3,000,000 of senior secured convertible notes that are convertible into 1,421,800 shares of common stock and warrants to purchase 340,909 shares of common stock.</w:t>
      </w:r>
    </w:p>
    <w:p>
      <w:pPr>
        <w:spacing w:after="0" w:line="162" w:lineRule="exact"/>
        <w:rPr>
          <w:rFonts w:ascii="Arial" w:cs="Arial" w:eastAsia="Arial" w:hAnsi="Arial"/>
          <w:sz w:val="15"/>
          <w:szCs w:val="15"/>
          <w:color w:val="auto"/>
        </w:rPr>
      </w:pPr>
    </w:p>
    <w:p>
      <w:pPr>
        <w:ind w:left="564" w:right="60" w:hanging="564"/>
        <w:spacing w:after="0" w:line="262" w:lineRule="auto"/>
        <w:tabs>
          <w:tab w:leader="none" w:pos="5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information is based upon the Form 4 filed with the SEC as of December 6, 2018.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2" w:lineRule="exact"/>
        <w:rPr>
          <w:sz w:val="20"/>
          <w:szCs w:val="20"/>
          <w:color w:val="auto"/>
        </w:rPr>
      </w:pPr>
    </w:p>
    <w:p>
      <w:pPr>
        <w:ind w:left="4" w:right="500" w:firstLine="574"/>
        <w:spacing w:after="0" w:line="275" w:lineRule="auto"/>
        <w:rPr>
          <w:sz w:val="20"/>
          <w:szCs w:val="20"/>
          <w:color w:val="auto"/>
        </w:rPr>
      </w:pPr>
      <w:r>
        <w:rPr>
          <w:rFonts w:ascii="Arial" w:cs="Arial" w:eastAsia="Arial" w:hAnsi="Arial"/>
          <w:sz w:val="16"/>
          <w:szCs w:val="16"/>
          <w:color w:val="auto"/>
        </w:rPr>
        <w:t>The following table summarizes information, as of December 31, 2018, relating to equity compensation plans of the Company (including individual compensation arrangements) pursuant to which equity securities of the Company are authorized for issuance.</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Number of Securities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 Available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for Future Issuance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w:t>
            </w: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(b)</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Under Equity</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Number of Securities to be</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Weighted-Average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Compensation</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Issued Upon Exercise of</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Exercise Price of</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Outstanding Options and</w:t>
            </w:r>
          </w:p>
        </w:tc>
        <w:tc>
          <w:tcPr>
            <w:tcW w:w="2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Outstanding Options</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securities reflected</w:t>
            </w:r>
          </w:p>
        </w:tc>
        <w:tc>
          <w:tcPr>
            <w:tcW w:w="0" w:type="dxa"/>
            <w:vAlign w:val="bottom"/>
          </w:tcPr>
          <w:p>
            <w:pPr>
              <w:spacing w:after="0"/>
              <w:rPr>
                <w:sz w:val="1"/>
                <w:szCs w:val="1"/>
                <w:color w:val="auto"/>
              </w:rPr>
            </w:pPr>
          </w:p>
        </w:tc>
      </w:tr>
      <w:tr>
        <w:trPr>
          <w:trHeight w:val="208"/>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Plan Category</w:t>
            </w:r>
          </w:p>
        </w:tc>
        <w:tc>
          <w:tcPr>
            <w:tcW w:w="1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Rights</w:t>
            </w:r>
          </w:p>
        </w:tc>
        <w:tc>
          <w:tcPr>
            <w:tcW w:w="24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and Rights</w:t>
            </w:r>
          </w:p>
        </w:tc>
        <w:tc>
          <w:tcPr>
            <w:tcW w:w="20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in column(a))</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Equity Compensation Plans Approved by Stockholders</w:t>
            </w: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624,256</w:t>
            </w:r>
          </w:p>
        </w:tc>
        <w:tc>
          <w:tcPr>
            <w:tcW w:w="2140" w:type="dxa"/>
            <w:vAlign w:val="bottom"/>
            <w:gridSpan w:val="2"/>
            <w:shd w:val="clear" w:color="auto" w:fill="CCEEFF"/>
          </w:tcPr>
          <w:p>
            <w:pPr>
              <w:ind w:left="1660"/>
              <w:spacing w:after="0"/>
              <w:rPr>
                <w:sz w:val="20"/>
                <w:szCs w:val="20"/>
                <w:color w:val="auto"/>
              </w:rPr>
            </w:pPr>
            <w:r>
              <w:rPr>
                <w:rFonts w:ascii="Arial" w:cs="Arial" w:eastAsia="Arial" w:hAnsi="Arial"/>
                <w:sz w:val="16"/>
                <w:szCs w:val="16"/>
                <w:color w:val="auto"/>
              </w:rPr>
              <w:t>8.87</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1,313,832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Equity Compensation Plans Not Approved by Stockholders(1)</w:t>
            </w:r>
          </w:p>
        </w:tc>
        <w:tc>
          <w:tcPr>
            <w:tcW w:w="2320" w:type="dxa"/>
            <w:vAlign w:val="bottom"/>
            <w:gridSpan w:val="3"/>
          </w:tcPr>
          <w:p>
            <w:pPr>
              <w:jc w:val="right"/>
              <w:ind w:right="240"/>
              <w:spacing w:after="0"/>
              <w:rPr>
                <w:sz w:val="20"/>
                <w:szCs w:val="20"/>
                <w:color w:val="auto"/>
              </w:rPr>
            </w:pPr>
            <w:r>
              <w:rPr>
                <w:rFonts w:ascii="Arial" w:cs="Arial" w:eastAsia="Arial" w:hAnsi="Arial"/>
                <w:sz w:val="16"/>
                <w:szCs w:val="16"/>
                <w:color w:val="auto"/>
              </w:rPr>
              <w:t>0</w:t>
            </w:r>
          </w:p>
        </w:tc>
        <w:tc>
          <w:tcPr>
            <w:tcW w:w="2140" w:type="dxa"/>
            <w:vAlign w:val="bottom"/>
            <w:gridSpan w:val="2"/>
          </w:tcPr>
          <w:p>
            <w:pPr>
              <w:ind w:left="1660"/>
              <w:spacing w:after="0"/>
              <w:rPr>
                <w:sz w:val="20"/>
                <w:szCs w:val="20"/>
                <w:color w:val="auto"/>
              </w:rPr>
            </w:pPr>
            <w:r>
              <w:rPr>
                <w:rFonts w:ascii="Arial" w:cs="Arial" w:eastAsia="Arial" w:hAnsi="Arial"/>
                <w:sz w:val="16"/>
                <w:szCs w:val="16"/>
                <w:color w:val="auto"/>
              </w:rPr>
              <w:t>N/A</w:t>
            </w:r>
          </w:p>
        </w:tc>
        <w:tc>
          <w:tcPr>
            <w:tcW w:w="206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624,256</w:t>
            </w:r>
          </w:p>
        </w:tc>
        <w:tc>
          <w:tcPr>
            <w:tcW w:w="2140" w:type="dxa"/>
            <w:vAlign w:val="bottom"/>
            <w:gridSpan w:val="2"/>
            <w:shd w:val="clear" w:color="auto" w:fill="CCEEFF"/>
          </w:tcPr>
          <w:p>
            <w:pPr>
              <w:ind w:left="1660"/>
              <w:spacing w:after="0"/>
              <w:rPr>
                <w:sz w:val="20"/>
                <w:szCs w:val="20"/>
                <w:color w:val="auto"/>
              </w:rPr>
            </w:pPr>
            <w:r>
              <w:rPr>
                <w:rFonts w:ascii="Arial" w:cs="Arial" w:eastAsia="Arial" w:hAnsi="Arial"/>
                <w:sz w:val="16"/>
                <w:szCs w:val="16"/>
                <w:color w:val="auto"/>
              </w:rPr>
              <w:t>8.87</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1,313,832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140" w:type="dxa"/>
            <w:vAlign w:val="bottom"/>
            <w:tcBorders>
              <w:bottom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2080" w:type="dxa"/>
            <w:vAlign w:val="bottom"/>
            <w:gridSpan w:val="2"/>
            <w:vMerge w:val="restart"/>
          </w:tcPr>
          <w:p>
            <w:pPr>
              <w:jc w:val="right"/>
              <w:ind w:right="112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4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4"/>
          </w:cols>
          <w:pgMar w:left="236" w:top="529"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PROPOSAL TWO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BY NON-BINDING VOTE, OF THE COMPENSATION OF OUR NAMED EXECUTIVE OFFICERS</w:t>
      </w:r>
    </w:p>
    <w:p>
      <w:pPr>
        <w:spacing w:after="0" w:line="20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The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12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As described in detail under the heading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 "Executive Compensation" for additional details about our executive compensation programs, including information about the fiscal year 2018 compensation of our named executive officers.</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65"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Accordingly, we ask our shareholders to approve the following advisory resolution at the 2019 Annual Meeting:</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in the compensation tables and narrative discussion, is hereby APPROVED.”</w:t>
      </w:r>
    </w:p>
    <w:p>
      <w:pPr>
        <w:spacing w:after="0" w:line="14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b w:val="1"/>
          <w:bCs w:val="1"/>
          <w:color w:val="auto"/>
        </w:rPr>
        <w:t>THE BOARD OF DIRECTORS RECOMMENDS THAT THE SHAREHOLDERS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APPROVAL OF THE COMPENSATION OF OUR NAMED EXECUTIVE OFFICERS, AS DISCLOSED IN THIS PROXY STATEMENT.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PROPOSAL THREE</w:t>
      </w:r>
    </w:p>
    <w:p>
      <w:pPr>
        <w:spacing w:after="0" w:line="198"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b w:val="1"/>
          <w:bCs w:val="1"/>
          <w:color w:val="auto"/>
        </w:rPr>
        <w:t>RECOMMENDATION, BY NON-BINDING, ADVISORY VOTE, ON THE FREQUENCY OF NON-BINDING, ADVISORY VOTE ON COMPENSATION OF OUR NAMED EXECUTIVE OFFICERS</w:t>
      </w:r>
    </w:p>
    <w:p>
      <w:pPr>
        <w:spacing w:after="0" w:line="14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Dodd-Frank Act also provides that shareholders must be given the opportunity to vote, on a non-binding, advisory basis, for their preference as to how frequently we should seek future advisory say-on-pay votes on the compensation of our named executive officers. In particular, we are asking our shareholders to indicate, on a non-binding, advisory basis, whether they would prefer an advisory say-on-pay vote on the compensation of our named executive officers to occur every one, two or three years. Shareholders also may, if they wish, abstain from casting a vote on this proposal.</w:t>
      </w:r>
    </w:p>
    <w:p>
      <w:pPr>
        <w:spacing w:after="0" w:line="165"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Our Board Directors has determined that an advisory vote on executive compensation that occurs once every three years is the most appropriate alternative for the Company and therefore, our Board recommends that you vote for a three-year interval for the advisory vote on executive compensation. In determining to recommend that shareholders vote for a frequency of once every three years, the Board considered how an advisory vote at this frequency will provide our shareholders with sufficient time to evaluate the effectiveness of our overall compensation philosophy, policies and practices in the context of our long-term business results for the corresponding period, while avoiding over-emphasis on short-term variations in compensation and business results. An advisory vote occurring once every three years will also permit our shareholders to observe and evaluate the impact of any changes to our executive compensation policies and practices which have occurred since the last advisory vote on executive compensation, including any changes made in response to the outcome of a prior advisory vote on executive compensation. We will continue to engage with our shareholders regarding our executive compensation program during the period between advisory votes on executive compensation.</w:t>
      </w:r>
    </w:p>
    <w:p>
      <w:pPr>
        <w:spacing w:after="0" w:line="157"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Company recognizes that shareholders may have different views as to the best approach for the Company, and therefore we look forward to hearing from our shareholders as to their preference on the frequency of an advisory vote on 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You may cast your vote on your preferred voting frequency by choosing the option of:</w:t>
      </w:r>
    </w:p>
    <w:p>
      <w:pPr>
        <w:spacing w:after="0" w:line="198" w:lineRule="exact"/>
        <w:rPr>
          <w:sz w:val="20"/>
          <w:szCs w:val="20"/>
          <w:color w:val="auto"/>
        </w:rPr>
      </w:pPr>
    </w:p>
    <w:p>
      <w:pPr>
        <w:ind w:left="1000" w:hanging="431"/>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One year,</w:t>
      </w:r>
    </w:p>
    <w:p>
      <w:pPr>
        <w:spacing w:after="0" w:line="222" w:lineRule="exact"/>
        <w:rPr>
          <w:rFonts w:ascii="Arial" w:cs="Arial" w:eastAsia="Arial" w:hAnsi="Arial"/>
          <w:sz w:val="16"/>
          <w:szCs w:val="16"/>
          <w:color w:val="auto"/>
        </w:rPr>
      </w:pPr>
    </w:p>
    <w:p>
      <w:pPr>
        <w:ind w:left="1000" w:hanging="431"/>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Two years,</w:t>
      </w:r>
    </w:p>
    <w:p>
      <w:pPr>
        <w:spacing w:after="0" w:line="222" w:lineRule="exact"/>
        <w:rPr>
          <w:rFonts w:ascii="Arial" w:cs="Arial" w:eastAsia="Arial" w:hAnsi="Arial"/>
          <w:sz w:val="16"/>
          <w:szCs w:val="16"/>
          <w:color w:val="auto"/>
        </w:rPr>
      </w:pPr>
    </w:p>
    <w:p>
      <w:pPr>
        <w:ind w:left="1000" w:hanging="431"/>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Three years, or</w:t>
      </w:r>
    </w:p>
    <w:p>
      <w:pPr>
        <w:spacing w:after="0" w:line="222" w:lineRule="exact"/>
        <w:rPr>
          <w:rFonts w:ascii="Arial" w:cs="Arial" w:eastAsia="Arial" w:hAnsi="Arial"/>
          <w:sz w:val="16"/>
          <w:szCs w:val="16"/>
          <w:color w:val="auto"/>
        </w:rPr>
      </w:pPr>
    </w:p>
    <w:p>
      <w:pPr>
        <w:ind w:left="1000" w:hanging="431"/>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Abstain from voting.</w:t>
      </w:r>
    </w:p>
    <w:p>
      <w:pPr>
        <w:spacing w:after="0" w:line="22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The option that receives the highest number of votes cast by shareholders will be considered to be the shareholders’ preferred frequency for the advisory vote on the compensation of our named executive officers. Because the vote is advisory, however, it will not be binding on the Board of Directors, the Compensation Committee or the Company. The Board of Directors may decide, in its sole discretion, that it is in the best interests of the Company and its shareholders to hold an advisory say on pay vote on the compensation of our named executive officers more or less frequently than the option receiving the most votes cast by our shareholders.</w:t>
      </w:r>
    </w:p>
    <w:p>
      <w:pPr>
        <w:spacing w:after="0" w:line="147"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b w:val="1"/>
          <w:bCs w:val="1"/>
          <w:color w:val="auto"/>
        </w:rPr>
        <w:t>THE BOARD OF DIRECTORS RECOMMENDS THAT THE SHAREHOLDERS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OPTION OF ONCE EVERY THREE YEARS AS THE PREFERRED FREQUENCY FOR HOLDING A NON-BINDING ADVISORY VOTE ON NAMED EXECUTIVE OFFICERS’ COMPENSATION.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2624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152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346710</wp:posOffset>
            </wp:positionV>
            <wp:extent cx="7262495" cy="8893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8893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1682750</wp:posOffset>
            </wp:positionV>
            <wp:extent cx="7317740" cy="531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311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2019-12-11T05:03:28Z</dcterms:created>
  <dcterms:modified xsi:type="dcterms:W3CDTF">2019-12-11T05:03:28Z</dcterms:modified>
</cp:coreProperties>
</file>