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2016</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center"/>
              <w:ind w:left="750"/>
              <w:spacing w:after="0"/>
              <w:rPr>
                <w:sz w:val="20"/>
                <w:szCs w:val="20"/>
                <w:color w:val="auto"/>
              </w:rPr>
            </w:pPr>
            <w:r>
              <w:rPr>
                <w:rFonts w:ascii="Arial" w:cs="Arial" w:eastAsia="Arial" w:hAnsi="Arial"/>
                <w:sz w:val="18"/>
                <w:szCs w:val="18"/>
                <w:b w:val="1"/>
                <w:bCs w:val="1"/>
                <w:color w:val="auto"/>
                <w:w w:val="94"/>
              </w:rPr>
              <w:t>Utah</w:t>
            </w:r>
          </w:p>
        </w:tc>
        <w:tc>
          <w:tcPr>
            <w:tcW w:w="3380" w:type="dxa"/>
            <w:vAlign w:val="bottom"/>
            <w:gridSpan w:val="5"/>
          </w:tcPr>
          <w:p>
            <w:pPr>
              <w:jc w:val="right"/>
              <w:spacing w:after="0"/>
              <w:rPr>
                <w:sz w:val="20"/>
                <w:szCs w:val="20"/>
                <w:color w:val="auto"/>
              </w:rPr>
            </w:pPr>
            <w:r>
              <w:rPr>
                <w:rFonts w:ascii="Arial" w:cs="Arial" w:eastAsia="Arial" w:hAnsi="Arial"/>
                <w:sz w:val="18"/>
                <w:szCs w:val="18"/>
                <w:b w:val="1"/>
                <w:bCs w:val="1"/>
                <w:color w:val="auto"/>
              </w:rPr>
              <w:t>001-33660</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87-0398877</w:t>
            </w:r>
          </w:p>
        </w:tc>
      </w:tr>
      <w:tr>
        <w:trPr>
          <w:trHeight w:val="54"/>
        </w:trPr>
        <w:tc>
          <w:tcPr>
            <w:tcW w:w="2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37"/>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2"/>
              </w:rPr>
              <w:t>(State or other jurisdiction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870"/>
              <w:spacing w:after="0"/>
              <w:rPr>
                <w:sz w:val="20"/>
                <w:szCs w:val="20"/>
                <w:color w:val="auto"/>
              </w:rPr>
            </w:pPr>
            <w:r>
              <w:rPr>
                <w:rFonts w:ascii="Arial" w:cs="Arial" w:eastAsia="Arial" w:hAnsi="Arial"/>
                <w:sz w:val="18"/>
                <w:szCs w:val="18"/>
                <w:color w:val="auto"/>
                <w:w w:val="93"/>
              </w:rPr>
              <w:t>(I.R.S. Employer</w:t>
            </w:r>
          </w:p>
        </w:tc>
      </w:tr>
      <w:tr>
        <w:trPr>
          <w:trHeight w:val="243"/>
        </w:trPr>
        <w:tc>
          <w:tcPr>
            <w:tcW w:w="2900" w:type="dxa"/>
            <w:vAlign w:val="bottom"/>
          </w:tcPr>
          <w:p>
            <w:pPr>
              <w:jc w:val="center"/>
              <w:ind w:left="75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20" w:type="dxa"/>
            <w:vAlign w:val="bottom"/>
            <w:gridSpan w:val="8"/>
          </w:tcPr>
          <w:p>
            <w:pPr>
              <w:jc w:val="center"/>
              <w:ind w:right="1180"/>
              <w:spacing w:after="0"/>
              <w:rPr>
                <w:sz w:val="20"/>
                <w:szCs w:val="20"/>
                <w:color w:val="auto"/>
              </w:rPr>
            </w:pPr>
            <w:r>
              <w:rPr>
                <w:rFonts w:ascii="Arial" w:cs="Arial" w:eastAsia="Arial" w:hAnsi="Arial"/>
                <w:sz w:val="18"/>
                <w:szCs w:val="18"/>
                <w:color w:val="auto"/>
                <w:w w:val="92"/>
              </w:rPr>
              <w:t>(Commission File Number)</w:t>
            </w:r>
          </w:p>
        </w:tc>
        <w:tc>
          <w:tcPr>
            <w:tcW w:w="2400" w:type="dxa"/>
            <w:vAlign w:val="bottom"/>
          </w:tcPr>
          <w:p>
            <w:pPr>
              <w:jc w:val="center"/>
              <w:ind w:right="890"/>
              <w:spacing w:after="0"/>
              <w:rPr>
                <w:sz w:val="20"/>
                <w:szCs w:val="20"/>
                <w:color w:val="auto"/>
              </w:rPr>
            </w:pPr>
            <w:r>
              <w:rPr>
                <w:rFonts w:ascii="Arial" w:cs="Arial" w:eastAsia="Arial" w:hAnsi="Arial"/>
                <w:sz w:val="18"/>
                <w:szCs w:val="18"/>
                <w:color w:val="auto"/>
                <w:w w:val="95"/>
              </w:rPr>
              <w:t>Identification No.)</w:t>
            </w:r>
          </w:p>
        </w:tc>
      </w:tr>
      <w:tr>
        <w:trPr>
          <w:trHeight w:val="778"/>
        </w:trPr>
        <w:tc>
          <w:tcPr>
            <w:tcW w:w="2900" w:type="dxa"/>
            <w:vAlign w:val="bottom"/>
          </w:tcPr>
          <w:p>
            <w:pPr>
              <w:spacing w:after="0"/>
              <w:rPr>
                <w:sz w:val="24"/>
                <w:szCs w:val="24"/>
                <w:color w:val="auto"/>
              </w:rPr>
            </w:pPr>
          </w:p>
        </w:tc>
        <w:tc>
          <w:tcPr>
            <w:tcW w:w="6120" w:type="dxa"/>
            <w:vAlign w:val="bottom"/>
            <w:gridSpan w:val="10"/>
          </w:tcPr>
          <w:p>
            <w:pPr>
              <w:jc w:val="center"/>
              <w:ind w:right="30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6120" w:type="dxa"/>
            <w:vAlign w:val="bottom"/>
            <w:gridSpan w:val="10"/>
          </w:tcPr>
          <w:p>
            <w:pPr>
              <w:jc w:val="center"/>
              <w:ind w:right="30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29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6120" w:type="dxa"/>
            <w:vAlign w:val="bottom"/>
            <w:gridSpan w:val="10"/>
          </w:tcPr>
          <w:p>
            <w:pPr>
              <w:jc w:val="center"/>
              <w:ind w:right="3060"/>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46"/>
        </w:trPr>
        <w:tc>
          <w:tcPr>
            <w:tcW w:w="2900" w:type="dxa"/>
            <w:vAlign w:val="bottom"/>
          </w:tcPr>
          <w:p>
            <w:pPr>
              <w:spacing w:after="0"/>
              <w:rPr>
                <w:sz w:val="24"/>
                <w:szCs w:val="24"/>
                <w:color w:val="auto"/>
              </w:rPr>
            </w:pPr>
          </w:p>
        </w:tc>
        <w:tc>
          <w:tcPr>
            <w:tcW w:w="3500" w:type="dxa"/>
            <w:vAlign w:val="bottom"/>
            <w:gridSpan w:val="6"/>
          </w:tcPr>
          <w:p>
            <w:pPr>
              <w:jc w:val="center"/>
              <w:ind w:left="2050"/>
              <w:spacing w:after="0"/>
              <w:rPr>
                <w:sz w:val="20"/>
                <w:szCs w:val="20"/>
                <w:color w:val="auto"/>
              </w:rPr>
            </w:pPr>
            <w:r>
              <w:rPr>
                <w:rFonts w:ascii="Arial" w:cs="Arial" w:eastAsia="Arial" w:hAnsi="Arial"/>
                <w:sz w:val="18"/>
                <w:szCs w:val="18"/>
                <w:b w:val="1"/>
                <w:bCs w:val="1"/>
                <w:color w:val="auto"/>
                <w:w w:val="91"/>
              </w:rPr>
              <w:t>+1 (801) 975-7200</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7"/>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9"/>
          </w:tcPr>
          <w:p>
            <w:pPr>
              <w:jc w:val="center"/>
              <w:ind w:right="126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4"/>
                <w:szCs w:val="24"/>
                <w:color w:val="auto"/>
              </w:rPr>
            </w:pPr>
          </w:p>
        </w:tc>
      </w:tr>
      <w:tr>
        <w:trPr>
          <w:trHeight w:val="473"/>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5"/>
          </w:tcPr>
          <w:p>
            <w:pPr>
              <w:spacing w:after="0"/>
              <w:rPr>
                <w:sz w:val="24"/>
                <w:szCs w:val="24"/>
                <w:color w:val="auto"/>
              </w:rPr>
            </w:pPr>
          </w:p>
        </w:tc>
        <w:tc>
          <w:tcPr>
            <w:tcW w:w="2400" w:type="dxa"/>
            <w:vAlign w:val="bottom"/>
          </w:tcPr>
          <w:p>
            <w:pPr>
              <w:spacing w:after="0"/>
              <w:rPr>
                <w:sz w:val="24"/>
                <w:szCs w:val="24"/>
                <w:color w:val="auto"/>
              </w:rPr>
            </w:pPr>
          </w:p>
        </w:tc>
      </w:tr>
      <w:tr>
        <w:trPr>
          <w:trHeight w:val="277"/>
        </w:trPr>
        <w:tc>
          <w:tcPr>
            <w:tcW w:w="2900" w:type="dxa"/>
            <w:vAlign w:val="bottom"/>
          </w:tcPr>
          <w:p>
            <w:pPr>
              <w:spacing w:after="0"/>
              <w:rPr>
                <w:sz w:val="24"/>
                <w:szCs w:val="24"/>
                <w:color w:val="auto"/>
              </w:rPr>
            </w:pPr>
          </w:p>
        </w:tc>
        <w:tc>
          <w:tcPr>
            <w:tcW w:w="6120" w:type="dxa"/>
            <w:vAlign w:val="bottom"/>
            <w:gridSpan w:val="10"/>
          </w:tcPr>
          <w:p>
            <w:pPr>
              <w:jc w:val="center"/>
              <w:ind w:right="5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4"/>
                <w:szCs w:val="24"/>
                <w:color w:val="auto"/>
              </w:rPr>
            </w:pPr>
          </w:p>
        </w:tc>
      </w:tr>
    </w:tbl>
    <w:p>
      <w:pPr>
        <w:spacing w:after="0" w:line="283"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106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10, 2016, ClearOne, Inc. issued a press release announcing the authorization of the repurchase of up to $10 million of the company's outstanding shares of common stock. The full text of the press release is attached as Exhibit 99.1.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942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560" w:type="dxa"/>
            <w:vAlign w:val="bottom"/>
            <w:gridSpan w:val="2"/>
          </w:tcPr>
          <w:p>
            <w:pPr>
              <w:ind w:left="80"/>
              <w:spacing w:after="0"/>
              <w:rPr>
                <w:sz w:val="20"/>
                <w:szCs w:val="20"/>
                <w:color w:val="auto"/>
              </w:rPr>
            </w:pPr>
            <w:r>
              <w:rPr>
                <w:rFonts w:ascii="Arial" w:cs="Arial" w:eastAsia="Arial" w:hAnsi="Arial"/>
                <w:sz w:val="16"/>
                <w:szCs w:val="16"/>
                <w:color w:val="auto"/>
              </w:rPr>
              <w:t>Exhibit 99.1</w:t>
            </w:r>
          </w:p>
        </w:tc>
        <w:tc>
          <w:tcPr>
            <w:tcW w:w="9420" w:type="dxa"/>
            <w:vAlign w:val="bottom"/>
          </w:tcPr>
          <w:p>
            <w:pPr>
              <w:ind w:left="80"/>
              <w:spacing w:after="0"/>
              <w:rPr>
                <w:sz w:val="20"/>
                <w:szCs w:val="20"/>
                <w:color w:val="auto"/>
              </w:rPr>
            </w:pPr>
            <w:r>
              <w:rPr>
                <w:rFonts w:ascii="Arial" w:cs="Arial" w:eastAsia="Arial" w:hAnsi="Arial"/>
                <w:sz w:val="16"/>
                <w:szCs w:val="16"/>
                <w:color w:val="auto"/>
              </w:rPr>
              <w:t>Press Release dated March 10, 2016 titled “ClearOne Announces $10 Million Stock Repurchase Program”.</w:t>
            </w:r>
          </w:p>
        </w:tc>
      </w:tr>
      <w:tr>
        <w:trPr>
          <w:trHeight w:val="465"/>
        </w:trPr>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Pr>
          <w:p>
            <w:pPr>
              <w:ind w:left="3520"/>
              <w:spacing w:after="0"/>
              <w:rPr>
                <w:sz w:val="20"/>
                <w:szCs w:val="20"/>
                <w:color w:val="auto"/>
              </w:rPr>
            </w:pPr>
            <w:r>
              <w:rPr>
                <w:rFonts w:ascii="Arial" w:cs="Arial" w:eastAsia="Arial" w:hAnsi="Arial"/>
                <w:sz w:val="18"/>
                <w:szCs w:val="18"/>
                <w:b w:val="1"/>
                <w:bCs w:val="1"/>
                <w:color w:val="auto"/>
              </w:rPr>
              <w:t>SIGNATURES</w:t>
            </w: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ClearOne, Inc.,</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80"/>
        <w:spacing w:after="0"/>
        <w:tabs>
          <w:tab w:leader="none" w:pos="5320" w:val="left"/>
          <w:tab w:leader="none" w:pos="6020" w:val="left"/>
        </w:tabs>
        <w:rPr>
          <w:sz w:val="20"/>
          <w:szCs w:val="20"/>
          <w:color w:val="auto"/>
        </w:rPr>
      </w:pPr>
      <w:r>
        <w:rPr>
          <w:rFonts w:ascii="Arial" w:cs="Arial" w:eastAsia="Arial" w:hAnsi="Arial"/>
          <w:sz w:val="18"/>
          <w:szCs w:val="18"/>
          <w:color w:val="auto"/>
        </w:rPr>
        <w:t>March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48895</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Zeynep Hakimoglu</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20"/>
          </w:cols>
          <w:pgMar w:left="240" w:top="648"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Announces $10 Million Stock Repurchase Program</w:t>
      </w:r>
    </w:p>
    <w:p>
      <w:pPr>
        <w:spacing w:after="0" w:line="21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color w:val="auto"/>
        </w:rPr>
        <w:t xml:space="preserve">SALT LAKE CITY, UTAH -- March 10, 2016 </w:t>
      </w:r>
      <w:r>
        <w:rPr>
          <w:rFonts w:ascii="Arial" w:cs="Arial" w:eastAsia="Arial" w:hAnsi="Arial"/>
          <w:sz w:val="20"/>
          <w:szCs w:val="20"/>
          <w:color w:val="auto"/>
        </w:rPr>
        <w:t>-- ClearOne (NASDAQ: CLRO) today announced that its Board of Directors has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the repurchase of up to $10 million of the company’s outstanding shares of common stock. Under the program, repurchases may be made from time to time in open market or privately negotiated transactions depending on prevailing market conditions and other factors. The repurchase program may be suspended or discontinued at any time.</w:t>
      </w:r>
    </w:p>
    <w:p>
      <w:pPr>
        <w:spacing w:after="0" w:line="190"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“This repurchase program demonstrates our confidence in ClearOne’s business and prospects, as well as our commitment to delivering shareholder value,” said Zee Hakimoglu, Chief Executive Officer and Chairman of ClearOne. “During 2015, we generated strong cash flow, ending the year with substantially higher cash, cash equivalents and investments and no debt.”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 xml:space="preserve">ClearOne is a global company that designs, develops and sells conferencing, collaboration, streaming and digital signage solutions for audio visual communications. The performance and simplicity of its advanced comprehensive solutions enhance the quality of life. ClearOne products offer unprecedented levels of functionality, reliability and scalability. More information about the company can be found at </w:t>
      </w:r>
      <w:r>
        <w:rPr>
          <w:rFonts w:ascii="Arial" w:cs="Arial" w:eastAsia="Arial" w:hAnsi="Arial"/>
          <w:sz w:val="20"/>
          <w:szCs w:val="20"/>
          <w:u w:val="single" w:color="auto"/>
          <w:color w:val="0000FF"/>
        </w:rPr>
        <w:t>www.clearone.com</w:t>
      </w:r>
      <w:r>
        <w:rPr>
          <w:rFonts w:ascii="Arial" w:cs="Arial" w:eastAsia="Arial" w:hAnsi="Arial"/>
          <w:sz w:val="20"/>
          <w:szCs w:val="20"/>
          <w:color w:val="000000"/>
        </w:rPr>
        <w:t>.</w:t>
      </w:r>
    </w:p>
    <w:p>
      <w:pPr>
        <w:spacing w:after="0" w:line="195"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+1-801-975-7200</w:t>
      </w:r>
    </w:p>
    <w:p>
      <w:pPr>
        <w:spacing w:after="0"/>
        <w:rPr>
          <w:sz w:val="20"/>
          <w:szCs w:val="20"/>
          <w:color w:val="auto"/>
        </w:rPr>
      </w:pPr>
      <w:r>
        <w:rPr>
          <w:rFonts w:ascii="Arial" w:cs="Arial" w:eastAsia="Arial" w:hAnsi="Arial"/>
          <w:sz w:val="20"/>
          <w:szCs w:val="20"/>
          <w:u w:val="single" w:color="auto"/>
          <w:color w:val="0000FF"/>
        </w:rPr>
        <w:t>investor_relations@clearone.com</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2019-12-05T22:29:27Z</dcterms:created>
  <dcterms:modified xsi:type="dcterms:W3CDTF">2019-12-05T22:29:27Z</dcterms:modified>
</cp:coreProperties>
</file>