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ind w:left="0" w:right="0" w:hanging="0"/>
        <w:jc w:val="left"/>
        <w:rPr/>
      </w:pPr>
      <w:r>
        <w:rPr/>
      </w:r>
    </w:p>
    <w:p>
      <w:pPr>
        <w:pStyle w:val="TextBody"/>
        <w:bidi w:val="0"/>
        <w:spacing w:lineRule="atLeast" w:line="142" w:before="0" w:after="0"/>
        <w:ind w:left="0" w:right="0" w:hanging="0"/>
        <w:jc w:val="left"/>
        <w:rPr/>
      </w:pPr>
      <w:r>
        <w:rPr/>
      </w:r>
    </w:p>
    <w:p>
      <w:pPr>
        <w:pStyle w:val="TextBody"/>
        <w:bidi w:val="0"/>
        <w:spacing w:lineRule="atLeast" w:line="142"/>
        <w:ind w:left="0" w:right="0" w:hanging="0"/>
        <w:jc w:val="left"/>
        <w:rPr>
          <w:bdr w:val="single" w:sz="24" w:space="1" w:color="000000"/>
        </w:rPr>
      </w:pPr>
      <w:r>
        <w:rPr>
          <w:bdr w:val="single" w:sz="24" w:space="1" w:color="000000"/>
        </w:rPr>
        <w:t> </w:t>
      </w:r>
    </w:p>
    <w:p>
      <w:pPr>
        <w:pStyle w:val="TextBody"/>
        <w:bidi w:val="0"/>
        <w:spacing w:before="0" w:after="0"/>
        <w:ind w:left="0" w:right="0" w:hanging="0"/>
        <w:jc w:val="center"/>
        <w:rPr>
          <w:rFonts w:ascii="Times New Roman" w:hAnsi="Times New Roman"/>
          <w:b/>
          <w:sz w:val="28"/>
        </w:rPr>
      </w:pPr>
      <w:r>
        <w:rPr>
          <w:rFonts w:ascii="Times New Roman" w:hAnsi="Times New Roman"/>
          <w:b/>
          <w:sz w:val="28"/>
        </w:rPr>
      </w:r>
    </w:p>
    <w:p>
      <w:pPr>
        <w:pStyle w:val="TextBody"/>
        <w:bidi w:val="0"/>
        <w:spacing w:before="0" w:after="0"/>
        <w:ind w:left="0" w:right="0" w:hanging="0"/>
        <w:jc w:val="center"/>
        <w:rPr>
          <w:rFonts w:ascii="times new roman;times" w:hAnsi="times new roman;times"/>
          <w:sz w:val="20"/>
        </w:rPr>
      </w:pPr>
      <w:r>
        <w:rPr>
          <w:rFonts w:ascii="Times New Roman" w:hAnsi="Times New Roman"/>
          <w:b/>
          <w:sz w:val="28"/>
        </w:rPr>
        <w:t>UNITED STATES</w:t>
      </w:r>
      <w:r>
        <w:rPr>
          <w:rFonts w:ascii="times new roman;times" w:hAnsi="times new roman;times"/>
          <w:sz w:val="20"/>
        </w:rPr>
        <w:t> </w:t>
      </w:r>
      <w:r>
        <w:rPr>
          <w:rFonts w:ascii="Times New Roman" w:hAnsi="Times New Roman"/>
          <w:b/>
          <w:sz w:val="28"/>
        </w:rPr>
        <w:t>SECURITIES AND EXCHANGE COMMISSION</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8"/>
        </w:rPr>
      </w:pPr>
      <w:r>
        <w:rPr>
          <w:rFonts w:ascii="Times New Roman" w:hAnsi="Times New Roman"/>
          <w:b/>
          <w:sz w:val="28"/>
        </w:rPr>
        <w:t>FORM 8-K</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 w:hAnsi="times new roman;times"/>
          <w:sz w:val="20"/>
        </w:rPr>
      </w:pPr>
      <w:r>
        <w:rPr>
          <w:rFonts w:ascii="Times New Roman" w:hAnsi="Times New Roman"/>
          <w:sz w:val="20"/>
        </w:rPr>
        <w:t xml:space="preserve">Date of report (Date of earliest event reported): </w:t>
      </w:r>
      <w:r>
        <w:rPr>
          <w:rFonts w:ascii="times new roman;times" w:hAnsi="times new roman;times"/>
          <w:sz w:val="20"/>
        </w:rPr>
        <w:t>March 17, 2026 </w:t>
      </w:r>
      <w:r>
        <w:rPr>
          <w:rFonts w:ascii="Times New Roman" w:hAnsi="Times New Roman"/>
          <w:b/>
          <w:sz w:val="20"/>
        </w:rPr>
        <w:t>(March 12, 2026)</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8"/>
          <w:u w:val="single"/>
        </w:rPr>
      </w:pPr>
      <w:r>
        <w:rPr>
          <w:rFonts w:ascii="Times New Roman" w:hAnsi="Times New Roman"/>
          <w:b/>
          <w:sz w:val="28"/>
          <w:u w:val="single"/>
        </w:rPr>
        <w:t>ClearOne, Inc.</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28" w:type="dxa"/>
          <w:right w:w="0" w:type="dxa"/>
        </w:tblCellMar>
      </w:tblPr>
      <w:tblGrid>
        <w:gridCol w:w="4107"/>
        <w:gridCol w:w="133"/>
        <w:gridCol w:w="2524"/>
        <w:gridCol w:w="133"/>
        <w:gridCol w:w="3308"/>
      </w:tblGrid>
      <w:tr>
        <w:trPr/>
        <w:tc>
          <w:tcPr>
            <w:tcW w:w="4107" w:type="dxa"/>
            <w:tcBorders>
              <w:bottom w:val="single" w:sz="6"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Delaware </w:t>
            </w:r>
          </w:p>
        </w:tc>
        <w:tc>
          <w:tcPr>
            <w:tcW w:w="133" w:type="dxa"/>
            <w:tcBorders/>
            <w:tcMar>
              <w:bottom w:w="0" w:type="dxa"/>
            </w:tcMar>
            <w:vAlign w:val="center"/>
          </w:tcPr>
          <w:p>
            <w:pPr>
              <w:pStyle w:val="TableContents"/>
              <w:bidi w:val="0"/>
              <w:spacing w:before="0" w:after="0"/>
              <w:ind w:left="0" w:right="0" w:hanging="0"/>
              <w:jc w:val="left"/>
              <w:rPr/>
            </w:pPr>
            <w:r>
              <w:rPr/>
              <w:t xml:space="preserve">  </w:t>
            </w:r>
          </w:p>
        </w:tc>
        <w:tc>
          <w:tcPr>
            <w:tcW w:w="2524" w:type="dxa"/>
            <w:tcBorders>
              <w:bottom w:val="single" w:sz="6"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001-33660 </w:t>
            </w:r>
          </w:p>
        </w:tc>
        <w:tc>
          <w:tcPr>
            <w:tcW w:w="133" w:type="dxa"/>
            <w:tcBorders/>
            <w:tcMar>
              <w:bottom w:w="0" w:type="dxa"/>
            </w:tcMar>
            <w:vAlign w:val="center"/>
          </w:tcPr>
          <w:p>
            <w:pPr>
              <w:pStyle w:val="TableContents"/>
              <w:bidi w:val="0"/>
              <w:spacing w:before="0" w:after="0"/>
              <w:ind w:left="0" w:right="0" w:hanging="0"/>
              <w:jc w:val="left"/>
              <w:rPr/>
            </w:pPr>
            <w:r>
              <w:rPr/>
              <w:t xml:space="preserve">  </w:t>
            </w:r>
          </w:p>
        </w:tc>
        <w:tc>
          <w:tcPr>
            <w:tcW w:w="3308" w:type="dxa"/>
            <w:tcBorders>
              <w:bottom w:val="single" w:sz="6"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87-0398877 </w:t>
            </w:r>
          </w:p>
        </w:tc>
      </w:tr>
      <w:tr>
        <w:trPr/>
        <w:tc>
          <w:tcPr>
            <w:tcW w:w="4107" w:type="dxa"/>
            <w:tcBorders/>
            <w:tcMar>
              <w:bottom w:w="0" w:type="dxa"/>
            </w:tcMar>
            <w:vAlign w:val="center"/>
          </w:tcPr>
          <w:p>
            <w:pPr>
              <w:pStyle w:val="TableContents"/>
              <w:bidi w:val="0"/>
              <w:spacing w:before="0" w:after="0"/>
              <w:ind w:left="45" w:right="0" w:hanging="0"/>
              <w:jc w:val="center"/>
              <w:rPr/>
            </w:pPr>
            <w:r>
              <w:rPr>
                <w:rFonts w:ascii="Times New Roman" w:hAnsi="Times New Roman"/>
                <w:sz w:val="20"/>
              </w:rPr>
              <w:t>(State or Other Jurisdiction</w:t>
            </w:r>
            <w:r>
              <w:rPr/>
              <w:t> </w:t>
            </w:r>
            <w:r>
              <w:rPr>
                <w:rFonts w:ascii="Times New Roman" w:hAnsi="Times New Roman"/>
                <w:sz w:val="20"/>
              </w:rPr>
              <w:t xml:space="preserve">of Incorporation) </w:t>
            </w:r>
          </w:p>
        </w:tc>
        <w:tc>
          <w:tcPr>
            <w:tcW w:w="133" w:type="dxa"/>
            <w:tcBorders/>
            <w:tcMar>
              <w:bottom w:w="0" w:type="dxa"/>
            </w:tcMar>
            <w:vAlign w:val="center"/>
          </w:tcPr>
          <w:p>
            <w:pPr>
              <w:pStyle w:val="TableContents"/>
              <w:bidi w:val="0"/>
              <w:spacing w:before="0" w:after="0"/>
              <w:ind w:left="0" w:right="0" w:hanging="0"/>
              <w:jc w:val="left"/>
              <w:rPr/>
            </w:pPr>
            <w:r>
              <w:rPr/>
              <w:t xml:space="preserve">  </w:t>
            </w:r>
          </w:p>
        </w:tc>
        <w:tc>
          <w:tcPr>
            <w:tcW w:w="2524" w:type="dxa"/>
            <w:tcBorders/>
            <w:tcMar>
              <w:bottom w:w="0" w:type="dxa"/>
            </w:tcMar>
            <w:vAlign w:val="center"/>
          </w:tcPr>
          <w:p>
            <w:pPr>
              <w:pStyle w:val="TableContents"/>
              <w:bidi w:val="0"/>
              <w:spacing w:before="0" w:after="0"/>
              <w:ind w:left="45" w:right="0" w:hanging="0"/>
              <w:jc w:val="center"/>
              <w:rPr/>
            </w:pPr>
            <w:r>
              <w:rPr>
                <w:rFonts w:ascii="Times New Roman" w:hAnsi="Times New Roman"/>
                <w:sz w:val="20"/>
              </w:rPr>
              <w:t>(Commission</w:t>
            </w:r>
            <w:r>
              <w:rPr/>
              <w:t> </w:t>
            </w:r>
            <w:r>
              <w:rPr>
                <w:rFonts w:ascii="Times New Roman" w:hAnsi="Times New Roman"/>
                <w:sz w:val="20"/>
              </w:rPr>
              <w:t xml:space="preserve">File Number) </w:t>
            </w:r>
          </w:p>
        </w:tc>
        <w:tc>
          <w:tcPr>
            <w:tcW w:w="133" w:type="dxa"/>
            <w:tcBorders/>
            <w:tcMar>
              <w:bottom w:w="0" w:type="dxa"/>
            </w:tcMar>
            <w:vAlign w:val="center"/>
          </w:tcPr>
          <w:p>
            <w:pPr>
              <w:pStyle w:val="TableContents"/>
              <w:bidi w:val="0"/>
              <w:spacing w:before="0" w:after="0"/>
              <w:ind w:left="0" w:right="0" w:hanging="0"/>
              <w:jc w:val="left"/>
              <w:rPr/>
            </w:pPr>
            <w:r>
              <w:rPr/>
              <w:t xml:space="preserve">  </w:t>
            </w:r>
          </w:p>
        </w:tc>
        <w:tc>
          <w:tcPr>
            <w:tcW w:w="3308" w:type="dxa"/>
            <w:tcBorders/>
            <w:tcMar>
              <w:bottom w:w="0" w:type="dxa"/>
            </w:tcMar>
            <w:vAlign w:val="center"/>
          </w:tcPr>
          <w:p>
            <w:pPr>
              <w:pStyle w:val="TableContents"/>
              <w:bidi w:val="0"/>
              <w:spacing w:before="0" w:after="0"/>
              <w:ind w:left="30" w:right="0" w:hanging="0"/>
              <w:jc w:val="center"/>
              <w:rPr/>
            </w:pPr>
            <w:r>
              <w:rPr>
                <w:rFonts w:ascii="Times New Roman" w:hAnsi="Times New Roman"/>
                <w:sz w:val="20"/>
              </w:rPr>
              <w:t>(I.R.S. Employer</w:t>
            </w:r>
            <w:r>
              <w:rPr/>
              <w:t> </w:t>
            </w:r>
            <w:r>
              <w:rPr>
                <w:rFonts w:ascii="Times New Roman" w:hAnsi="Times New Roman"/>
                <w:sz w:val="20"/>
              </w:rPr>
              <w:t xml:space="preserve">Identification No.) </w:t>
            </w:r>
          </w:p>
        </w:tc>
      </w:tr>
    </w:tbl>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28" w:type="dxa"/>
          <w:right w:w="0" w:type="dxa"/>
        </w:tblCellMar>
      </w:tblPr>
      <w:tblGrid>
        <w:gridCol w:w="8250"/>
        <w:gridCol w:w="216"/>
        <w:gridCol w:w="1739"/>
      </w:tblGrid>
      <w:tr>
        <w:trPr/>
        <w:tc>
          <w:tcPr>
            <w:tcW w:w="8250" w:type="dxa"/>
            <w:tcBorders>
              <w:bottom w:val="single" w:sz="6"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5225 Wiley Post Way, Suite 500, </w:t>
            </w:r>
            <w:r>
              <w:rPr>
                <w:rFonts w:ascii="Times New Roman" w:hAnsi="Times New Roman"/>
                <w:b/>
                <w:sz w:val="20"/>
              </w:rPr>
              <w:t>Salt Lake</w:t>
            </w:r>
            <w:r>
              <w:rPr>
                <w:rFonts w:ascii="Times New Roman" w:hAnsi="Times New Roman"/>
                <w:b/>
                <w:sz w:val="20"/>
              </w:rPr>
              <w:t xml:space="preserve"> City, Utah </w:t>
            </w:r>
          </w:p>
        </w:tc>
        <w:tc>
          <w:tcPr>
            <w:tcW w:w="216" w:type="dxa"/>
            <w:tcBorders/>
            <w:tcMar>
              <w:bottom w:w="0" w:type="dxa"/>
            </w:tcMar>
            <w:vAlign w:val="center"/>
          </w:tcPr>
          <w:p>
            <w:pPr>
              <w:pStyle w:val="TableContents"/>
              <w:bidi w:val="0"/>
              <w:spacing w:before="0" w:after="0"/>
              <w:ind w:left="0" w:right="0" w:hanging="0"/>
              <w:jc w:val="left"/>
              <w:rPr/>
            </w:pPr>
            <w:r>
              <w:rPr/>
              <w:t xml:space="preserve">  </w:t>
            </w:r>
          </w:p>
        </w:tc>
        <w:tc>
          <w:tcPr>
            <w:tcW w:w="1739" w:type="dxa"/>
            <w:tcBorders>
              <w:bottom w:val="single" w:sz="6"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84116 </w:t>
            </w:r>
          </w:p>
        </w:tc>
      </w:tr>
      <w:tr>
        <w:trPr/>
        <w:tc>
          <w:tcPr>
            <w:tcW w:w="8250"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(Address of principal executive offices) </w:t>
            </w:r>
          </w:p>
        </w:tc>
        <w:tc>
          <w:tcPr>
            <w:tcW w:w="216" w:type="dxa"/>
            <w:tcBorders/>
            <w:tcMar>
              <w:bottom w:w="0" w:type="dxa"/>
            </w:tcMar>
            <w:vAlign w:val="center"/>
          </w:tcPr>
          <w:p>
            <w:pPr>
              <w:pStyle w:val="TableContents"/>
              <w:bidi w:val="0"/>
              <w:spacing w:before="0" w:after="0"/>
              <w:ind w:left="0" w:right="0" w:hanging="0"/>
              <w:jc w:val="left"/>
              <w:rPr/>
            </w:pPr>
            <w:r>
              <w:rPr/>
              <w:t xml:space="preserve">  </w:t>
            </w:r>
          </w:p>
        </w:tc>
        <w:tc>
          <w:tcPr>
            <w:tcW w:w="1739"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(Zip Code) </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u w:val="single"/>
        </w:rPr>
      </w:pPr>
      <w:r>
        <w:rPr>
          <w:rFonts w:ascii="Times New Roman" w:hAnsi="Times New Roman"/>
          <w:b/>
          <w:sz w:val="20"/>
          <w:u w:val="single"/>
        </w:rPr>
        <w:t>+1 (801) 975-7200</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(Registrant’s telephone number, including area code)</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u w:val="single"/>
        </w:rPr>
      </w:pPr>
      <w:r>
        <w:rPr>
          <w:rFonts w:ascii="Times New Roman" w:hAnsi="Times New Roman"/>
          <w:b/>
          <w:sz w:val="20"/>
          <w:u w:val="single"/>
        </w:rPr>
        <w:t>Not applicable</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0"/>
              <w:ind w:left="0" w:right="0" w:hanging="0"/>
              <w:jc w:val="both"/>
              <w:rPr/>
            </w:pPr>
            <w:r>
              <w:rPr/>
              <w:t xml:space="preserve">☐ </w:t>
            </w:r>
          </w:p>
        </w:tc>
        <w:tc>
          <w:tcPr>
            <w:tcW w:w="98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Written communications pursuant to Rule 425 under the Securities Act (17 CFR 230.425) </w:t>
            </w:r>
          </w:p>
        </w:tc>
      </w:tr>
      <w:tr>
        <w:trPr/>
        <w:tc>
          <w:tcPr>
            <w:tcW w:w="330" w:type="dxa"/>
            <w:tcBorders/>
            <w:vAlign w:val="center"/>
          </w:tcPr>
          <w:p>
            <w:pPr>
              <w:pStyle w:val="TableContents"/>
              <w:bidi w:val="0"/>
              <w:spacing w:before="0" w:after="0"/>
              <w:ind w:left="0" w:right="0" w:hanging="0"/>
              <w:jc w:val="both"/>
              <w:rPr/>
            </w:pPr>
            <w:r>
              <w:rPr/>
              <w:t xml:space="preserve">☐ </w:t>
            </w:r>
          </w:p>
        </w:tc>
        <w:tc>
          <w:tcPr>
            <w:tcW w:w="98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Soliciting material pursuant to Rule 14a-12 under the Exchange Act (17 CFR 240.14a-12) </w:t>
            </w:r>
          </w:p>
        </w:tc>
      </w:tr>
      <w:tr>
        <w:trPr/>
        <w:tc>
          <w:tcPr>
            <w:tcW w:w="330" w:type="dxa"/>
            <w:tcBorders/>
            <w:vAlign w:val="center"/>
          </w:tcPr>
          <w:p>
            <w:pPr>
              <w:pStyle w:val="TableContents"/>
              <w:bidi w:val="0"/>
              <w:spacing w:before="0" w:after="0"/>
              <w:ind w:left="0" w:right="0" w:hanging="0"/>
              <w:jc w:val="left"/>
              <w:rPr/>
            </w:pPr>
            <w:r>
              <w:rPr/>
              <w:t xml:space="preserve">☐ </w:t>
            </w:r>
          </w:p>
        </w:tc>
        <w:tc>
          <w:tcPr>
            <w:tcW w:w="98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r>
        <w:trPr/>
        <w:tc>
          <w:tcPr>
            <w:tcW w:w="330" w:type="dxa"/>
            <w:tcBorders/>
            <w:vAlign w:val="center"/>
          </w:tcPr>
          <w:p>
            <w:pPr>
              <w:pStyle w:val="TableContents"/>
              <w:bidi w:val="0"/>
              <w:spacing w:before="0" w:after="0"/>
              <w:ind w:left="0" w:right="0" w:hanging="0"/>
              <w:jc w:val="both"/>
              <w:rPr/>
            </w:pPr>
            <w:r>
              <w:rPr/>
              <w:t xml:space="preserve">☐ </w:t>
            </w:r>
          </w:p>
        </w:tc>
        <w:tc>
          <w:tcPr>
            <w:tcW w:w="9875" w:type="dxa"/>
            <w:tcBorders/>
            <w:vAlign w:val="center"/>
          </w:tcPr>
          <w:p>
            <w:pPr>
              <w:pStyle w:val="TableContents"/>
              <w:bidi w:val="0"/>
              <w:spacing w:before="0" w:after="0"/>
              <w:ind w:left="0" w:right="0" w:hanging="0"/>
              <w:jc w:val="both"/>
              <w:rPr/>
            </w:pPr>
            <w:r>
              <w:rPr>
                <w:rFonts w:ascii="Times New Roman" w:hAnsi="Times New Roman"/>
                <w:sz w:val="20"/>
              </w:rPr>
              <w:t>Pre-commencement communication pursuant to Rule 13e-4©</w:t>
            </w:r>
            <w:r>
              <w:rPr/>
              <w:t xml:space="preserve"> </w:t>
            </w:r>
            <w:r>
              <w:rPr>
                <w:rFonts w:ascii="Times New Roman" w:hAnsi="Times New Roman"/>
                <w:sz w:val="20"/>
              </w:rPr>
              <w:t xml:space="preserve">under the Exchange Act (17 CFR 240.13e-4©) </w:t>
            </w:r>
          </w:p>
        </w:tc>
      </w:tr>
    </w:tbl>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Securities Registered Pursuant to Section 12(b) of the Act:</w:t>
      </w:r>
      <w:r>
        <w:rPr>
          <w:rFonts w:ascii="times new roman;times" w:hAnsi="times new roman;times"/>
          <w:caps w:val="false"/>
          <w:smallCaps w:val="false"/>
          <w:color w:val="000000"/>
          <w:spacing w:val="0"/>
          <w:sz w:val="20"/>
        </w:rPr>
        <w:t>  </w:t>
      </w:r>
    </w:p>
    <w:p>
      <w:pPr>
        <w:pStyle w:val="TextBody"/>
        <w:bidi w:val="0"/>
        <w:spacing w:lineRule="auto" w:line="288"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2817"/>
        <w:gridCol w:w="2213"/>
        <w:gridCol w:w="5175"/>
      </w:tblGrid>
      <w:tr>
        <w:trPr/>
        <w:tc>
          <w:tcPr>
            <w:tcW w:w="2817"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Title of each class</w:t>
            </w:r>
          </w:p>
        </w:tc>
        <w:tc>
          <w:tcPr>
            <w:tcW w:w="2213"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Trading Symbol(s)</w:t>
            </w:r>
          </w:p>
        </w:tc>
        <w:tc>
          <w:tcPr>
            <w:tcW w:w="5175"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Name of each exchange on which registered</w:t>
            </w:r>
          </w:p>
        </w:tc>
      </w:tr>
      <w:tr>
        <w:trPr/>
        <w:tc>
          <w:tcPr>
            <w:tcW w:w="2817" w:type="dxa"/>
            <w:tcBorders/>
            <w:vAlign w:val="center"/>
          </w:tcPr>
          <w:p>
            <w:pPr>
              <w:pStyle w:val="TableContents"/>
              <w:bidi w:val="0"/>
              <w:spacing w:lineRule="auto" w:line="288" w:before="0" w:after="0"/>
              <w:ind w:left="0" w:right="0" w:hanging="0"/>
              <w:jc w:val="center"/>
              <w:rPr>
                <w:rFonts w:ascii="Times New Roman" w:hAnsi="Times New Roman"/>
                <w:sz w:val="20"/>
              </w:rPr>
            </w:pPr>
            <w:r>
              <w:rPr>
                <w:rFonts w:ascii="Times New Roman" w:hAnsi="Times New Roman"/>
                <w:sz w:val="20"/>
              </w:rPr>
              <w:t>Common Stock, $0.001</w:t>
            </w:r>
          </w:p>
        </w:tc>
        <w:tc>
          <w:tcPr>
            <w:tcW w:w="2213"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CLRO</w:t>
            </w:r>
          </w:p>
        </w:tc>
        <w:tc>
          <w:tcPr>
            <w:tcW w:w="517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The NASDAQ Capital Market</w:t>
            </w:r>
          </w:p>
        </w:tc>
      </w:tr>
    </w:tbl>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Indicate by check mark whether the registrant is an emerging growth company as defined in Rule 405 of the Securities Act of 1933 (§230.405 of this chapter) or Rule 12b-2 of the Securities Exchange Act of 1934 (§240.12b-2 of this chapter).     </w:t>
      </w:r>
      <w:r>
        <w:rPr>
          <w:rFonts w:ascii="Times New Roman" w:hAnsi="Times New Roman"/>
          <w:b w:val="false"/>
          <w:i w:val="false"/>
          <w:caps w:val="false"/>
          <w:smallCaps w:val="false"/>
          <w:color w:val="000000"/>
          <w:spacing w:val="0"/>
          <w:sz w:val="20"/>
        </w:rPr>
        <w:t>Emerging growth company </w:t>
      </w:r>
      <w:r>
        <w:rPr>
          <w:rFonts w:ascii="Times New Roman" w:hAnsi="Times New Roman"/>
          <w:b w:val="false"/>
          <w:i w:val="false"/>
          <w:caps w:val="false"/>
          <w:smallCaps w:val="false"/>
          <w:color w:val="000000"/>
          <w:spacing w:val="0"/>
          <w:sz w:val="20"/>
        </w:rPr>
        <w:t>☐</w:t>
      </w:r>
    </w:p>
    <w:p>
      <w:pPr>
        <w:pStyle w:val="TextBody"/>
        <w:widowControl/>
        <w:bidi w:val="0"/>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ind w:left="0" w:right="0" w:hanging="0"/>
        <w:jc w:val="both"/>
        <w:rPr/>
      </w:pPr>
      <w:r>
        <w:rPr/>
      </w:r>
    </w:p>
    <w:p>
      <w:pPr>
        <w:pStyle w:val="HorizontalLine"/>
        <w:bidi w:val="0"/>
        <w:spacing w:before="0" w:after="0"/>
        <w:jc w:val="left"/>
        <w:rPr/>
      </w:pPr>
      <w:r>
        <w:rPr/>
      </w:r>
    </w:p>
    <w:p>
      <w:pPr>
        <w:pStyle w:val="TextBody"/>
        <w:bidi w:val="0"/>
        <w:spacing w:before="0" w:after="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times" w:hAnsi="times new roman;times"/>
          <w:sz w:val="20"/>
        </w:rPr>
      </w:pPr>
      <w:r>
        <w:rPr>
          <w:rFonts w:ascii="Times New Roman" w:hAnsi="Times New Roman"/>
          <w:b/>
          <w:sz w:val="20"/>
        </w:rPr>
        <w:t>Item 5.07</w:t>
      </w:r>
      <w:r>
        <w:rPr>
          <w:rFonts w:ascii="times new roman;times" w:hAnsi="times new roman;times"/>
          <w:sz w:val="20"/>
        </w:rPr>
        <w:t xml:space="preserve">              </w:t>
      </w:r>
      <w:r>
        <w:rPr>
          <w:rFonts w:ascii="Times New Roman" w:hAnsi="Times New Roman"/>
          <w:b/>
          <w:sz w:val="20"/>
        </w:rPr>
        <w:t>Submission of Matters to a Vote of Security 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r>
    </w:p>
    <w:p>
      <w:pPr>
        <w:pStyle w:val="TextBody"/>
        <w:bidi w:val="0"/>
        <w:spacing w:lineRule="auto" w:line="288" w:before="0" w:after="0"/>
        <w:ind w:left="0" w:right="0" w:firstLine="720"/>
        <w:jc w:val="both"/>
        <w:rPr>
          <w:rFonts w:ascii="times new roman;times" w:hAnsi="times new roman;times"/>
          <w:sz w:val="20"/>
        </w:rPr>
      </w:pPr>
      <w:r>
        <w:rPr>
          <w:rFonts w:ascii="times new roman;times" w:hAnsi="times new roman;times"/>
          <w:sz w:val="20"/>
        </w:rPr>
        <w:t>On March 12, 2026, (i) certain stockholders (collectively, the “Consenting Stockholders”) of ClearOne, Inc. (the “Company”) holding at least a majority of the voting power of the Company’s outstanding shares of capital stock entitled to vote and (ii) holders of at least a majority of the Company’s outstanding shares of Class A Preferred Stock, adopted resolutions by written consent (the “Written Consent”) in lieu of a meeting of stockholders to approve the reincorporation of the Company from the State of Delaware to the State of Nevada by conversion (the “Nevada Reincorporation”). In connection with the Nevada Reincorporation, the Company will file with the U.S. Securities and Exchange Commission an information statement on Schedule 14C (the “Schedule 14C”) that will be mailed to all holders of record of the Company’s voting capital stock as of the close of business on March 4, 2026 (the “Record Date”).  Copies of the proposed plan of conversion, Nevada articles of incorporation and Nevada bylaws will be filed as appendices to the Schedule 14C.</w:t>
      </w:r>
    </w:p>
    <w:p>
      <w:pPr>
        <w:pStyle w:val="TextBody"/>
        <w:bidi w:val="0"/>
        <w:spacing w:lineRule="auto" w:line="288" w:before="0" w:after="0"/>
        <w:ind w:left="0" w:right="0" w:firstLine="72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firstLine="720"/>
        <w:jc w:val="both"/>
        <w:rPr>
          <w:rFonts w:ascii="times new roman;times" w:hAnsi="times new roman;times"/>
          <w:sz w:val="20"/>
        </w:rPr>
      </w:pPr>
      <w:r>
        <w:rPr>
          <w:rFonts w:ascii="times new roman;times" w:hAnsi="times new roman;times"/>
          <w:sz w:val="20"/>
        </w:rPr>
        <w:t>The Consenting Stockholders are, collectively, First Finance, Ltd., Edward Dallin Bagley, Edward Dallin Bagley as trustee of the Edward Dallin Bagley Revocable Living Trust, Lisa Higley as trustee of the Edward Dallin Bagley Irrevocable Living Trust, Bryan Bagley and Carolyn Bagley. As of the close of business on the Record Date, the Consenting Stockholders together held 1,641,162 shares of the Company’s Common Stock and 1,101,385 shares of the Company’s Class A Preferred Stock, representing approximately 61% of the voting power of our outstanding shares of capital stock entitled to vote and approximately 53% of the outstanding shares of Class A Preferred Stock.</w:t>
      </w:r>
    </w:p>
    <w:p>
      <w:pPr>
        <w:pStyle w:val="TextBody"/>
        <w:bidi w:val="0"/>
        <w:spacing w:lineRule="auto" w:line="288" w:before="0" w:after="0"/>
        <w:ind w:left="0" w:right="0" w:firstLine="72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firstLine="720"/>
        <w:jc w:val="both"/>
        <w:rPr>
          <w:rFonts w:ascii="times new roman;times" w:hAnsi="times new roman;times"/>
          <w:sz w:val="20"/>
        </w:rPr>
      </w:pPr>
      <w:r>
        <w:rPr>
          <w:rFonts w:ascii="times new roman;times" w:hAnsi="times new roman;times"/>
          <w:sz w:val="20"/>
        </w:rPr>
        <w:t>In accordance with Rule 14c-2 under the Exchange Act, the Company plans to effectuate the Nevada Reincorporation no earlier than twenty (20) calendar days after the commencement of mailing of the Schedule 14C to the Company’s stockholders.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sz w:val="20"/>
        </w:rPr>
        <w:t>Item 9.01</w:t>
      </w:r>
      <w:r>
        <w:rPr>
          <w:rFonts w:ascii="times new roman;times" w:hAnsi="times new roman;times"/>
          <w:sz w:val="20"/>
        </w:rPr>
        <w:t xml:space="preserve">              </w:t>
      </w:r>
      <w:r>
        <w:rPr>
          <w:rFonts w:ascii="Times New Roman" w:hAnsi="Times New Roman"/>
          <w:b/>
          <w:sz w:val="20"/>
        </w:rPr>
        <w:t>Financial Statements and Exhibits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(d)</w:t>
      </w:r>
      <w:r>
        <w:rPr>
          <w:rFonts w:ascii="times new roman;times" w:hAnsi="times new roman;times"/>
          <w:sz w:val="20"/>
        </w:rPr>
        <w:t xml:space="preserve">  </w:t>
      </w:r>
      <w:r>
        <w:rPr>
          <w:rFonts w:ascii="Times New Roman" w:hAnsi="Times New Roman"/>
          <w:sz w:val="20"/>
        </w:rPr>
        <w:t>Exhibits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000" w:type="pct"/>
        <w:jc w:val="left"/>
        <w:tblInd w:w="0" w:type="dxa"/>
        <w:tblLayout w:type="fixed"/>
        <w:tblCellMar>
          <w:top w:w="0" w:type="dxa"/>
          <w:left w:w="0" w:type="dxa"/>
          <w:bottom w:w="28" w:type="dxa"/>
          <w:right w:w="0" w:type="dxa"/>
        </w:tblCellMar>
      </w:tblPr>
      <w:tblGrid>
        <w:gridCol w:w="1790"/>
        <w:gridCol w:w="76"/>
        <w:gridCol w:w="8339"/>
      </w:tblGrid>
      <w:tr>
        <w:trPr/>
        <w:tc>
          <w:tcPr>
            <w:tcW w:w="1790" w:type="dxa"/>
            <w:tcBorders>
              <w:bottom w:val="single" w:sz="8" w:space="0" w:color="000000"/>
            </w:tcBorders>
            <w:vAlign w:val="center"/>
          </w:tcPr>
          <w:p>
            <w:pPr>
              <w:pStyle w:val="TableContents"/>
              <w:bidi w:val="0"/>
              <w:spacing w:before="0" w:after="0"/>
              <w:ind w:left="0" w:right="0" w:hanging="0"/>
              <w:jc w:val="left"/>
              <w:rPr/>
            </w:pPr>
            <w:r>
              <w:rPr>
                <w:rFonts w:ascii="Times New Roman" w:hAnsi="Times New Roman"/>
                <w:b/>
                <w:sz w:val="20"/>
              </w:rPr>
              <w:t>Exhibit</w:t>
            </w:r>
            <w:r>
              <w:rPr/>
              <w:t> </w:t>
            </w:r>
            <w:r>
              <w:rPr>
                <w:rFonts w:ascii="Times New Roman" w:hAnsi="Times New Roman"/>
                <w:b/>
                <w:sz w:val="20"/>
              </w:rPr>
              <w:t>Number</w:t>
            </w:r>
          </w:p>
        </w:tc>
        <w:tc>
          <w:tcPr>
            <w:tcW w:w="76" w:type="dxa"/>
            <w:tcBorders/>
            <w:tcMar>
              <w:bottom w:w="0" w:type="dxa"/>
            </w:tcMar>
            <w:vAlign w:val="center"/>
          </w:tcPr>
          <w:p>
            <w:pPr>
              <w:pStyle w:val="TableContents"/>
              <w:bidi w:val="0"/>
              <w:spacing w:before="0" w:after="0"/>
              <w:ind w:left="0" w:right="0" w:hanging="0"/>
              <w:jc w:val="center"/>
              <w:rPr/>
            </w:pPr>
            <w:r>
              <w:rPr/>
              <w:t> </w:t>
            </w:r>
          </w:p>
        </w:tc>
        <w:tc>
          <w:tcPr>
            <w:tcW w:w="8339" w:type="dxa"/>
            <w:tcBorders>
              <w:bottom w:val="single" w:sz="8" w:space="0" w:color="000000"/>
            </w:tcBorders>
            <w:vAlign w:val="center"/>
          </w:tcPr>
          <w:p>
            <w:pPr>
              <w:pStyle w:val="TableContents"/>
              <w:bidi w:val="0"/>
              <w:spacing w:before="0" w:after="0"/>
              <w:ind w:left="0" w:right="0" w:hanging="0"/>
              <w:jc w:val="center"/>
              <w:rPr/>
            </w:pPr>
            <w:r>
              <w:rPr>
                <w:rFonts w:ascii="Times New Roman" w:hAnsi="Times New Roman"/>
                <w:b/>
                <w:sz w:val="20"/>
              </w:rPr>
              <w:t>Exhibit</w:t>
            </w:r>
            <w:r>
              <w:rPr/>
              <w:t> </w:t>
            </w:r>
            <w:r>
              <w:rPr>
                <w:rFonts w:ascii="Times New Roman" w:hAnsi="Times New Roman"/>
                <w:b/>
                <w:sz w:val="20"/>
              </w:rPr>
              <w:t>Title</w:t>
            </w:r>
          </w:p>
        </w:tc>
      </w:tr>
      <w:tr>
        <w:trPr/>
        <w:tc>
          <w:tcPr>
            <w:tcW w:w="1790"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104.1</w:t>
            </w:r>
          </w:p>
        </w:tc>
        <w:tc>
          <w:tcPr>
            <w:tcW w:w="76" w:type="dxa"/>
            <w:tcBorders/>
            <w:tcMar>
              <w:bottom w:w="0" w:type="dxa"/>
            </w:tcMar>
            <w:vAlign w:val="center"/>
          </w:tcPr>
          <w:p>
            <w:pPr>
              <w:pStyle w:val="TableContents"/>
              <w:bidi w:val="0"/>
              <w:spacing w:before="0" w:after="0"/>
              <w:ind w:left="0" w:right="0" w:hanging="0"/>
              <w:jc w:val="both"/>
              <w:rPr/>
            </w:pPr>
            <w:r>
              <w:rPr/>
              <w:t> </w:t>
            </w:r>
          </w:p>
        </w:tc>
        <w:tc>
          <w:tcPr>
            <w:tcW w:w="8339" w:type="dxa"/>
            <w:tcBorders/>
            <w:tcMar>
              <w:bottom w:w="0" w:type="dxa"/>
            </w:tcMar>
            <w:vAlign w:val="center"/>
          </w:tcPr>
          <w:p>
            <w:pPr>
              <w:pStyle w:val="TableContents"/>
              <w:bidi w:val="0"/>
              <w:spacing w:lineRule="auto" w:line="288" w:before="0" w:after="0"/>
              <w:ind w:left="0" w:right="0" w:hanging="0"/>
              <w:jc w:val="both"/>
              <w:rPr>
                <w:rFonts w:ascii="Times New Roman" w:hAnsi="Times New Roman"/>
                <w:sz w:val="20"/>
              </w:rPr>
            </w:pPr>
            <w:r>
              <w:rPr>
                <w:rFonts w:ascii="Times New Roman" w:hAnsi="Times New Roman"/>
                <w:sz w:val="20"/>
              </w:rPr>
              <w:t>The cover page from this Current Report on Form 8-K, formatted in Inline XBRL.</w:t>
            </w:r>
          </w:p>
        </w:tc>
      </w:tr>
    </w:tbl>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SIGNATURES</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572"/>
        <w:gridCol w:w="910"/>
        <w:gridCol w:w="4723"/>
      </w:tblGrid>
      <w:tr>
        <w:trPr/>
        <w:tc>
          <w:tcPr>
            <w:tcW w:w="4572" w:type="dxa"/>
            <w:tcBorders/>
            <w:vAlign w:val="center"/>
          </w:tcPr>
          <w:p>
            <w:pPr>
              <w:pStyle w:val="TableContents"/>
              <w:bidi w:val="0"/>
              <w:spacing w:before="0" w:after="0"/>
              <w:ind w:left="0" w:right="0" w:hanging="0"/>
              <w:jc w:val="both"/>
              <w:rPr/>
            </w:pPr>
            <w:r>
              <w:rPr/>
              <w:t xml:space="preserve">  </w:t>
            </w:r>
          </w:p>
        </w:tc>
        <w:tc>
          <w:tcPr>
            <w:tcW w:w="5633" w:type="dxa"/>
            <w:gridSpan w:val="2"/>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CLEARONE, INC. </w:t>
            </w:r>
          </w:p>
        </w:tc>
      </w:tr>
      <w:tr>
        <w:trPr/>
        <w:tc>
          <w:tcPr>
            <w:tcW w:w="4572" w:type="dxa"/>
            <w:tcBorders/>
            <w:vAlign w:val="center"/>
          </w:tcPr>
          <w:p>
            <w:pPr>
              <w:pStyle w:val="TableContents"/>
              <w:bidi w:val="0"/>
              <w:spacing w:before="0" w:after="0"/>
              <w:ind w:left="0" w:right="0" w:hanging="0"/>
              <w:jc w:val="both"/>
              <w:rPr/>
            </w:pPr>
            <w:r>
              <w:rPr/>
              <w:t xml:space="preserve">  </w:t>
            </w:r>
          </w:p>
        </w:tc>
        <w:tc>
          <w:tcPr>
            <w:tcW w:w="910" w:type="dxa"/>
            <w:tcBorders/>
            <w:vAlign w:val="center"/>
          </w:tcPr>
          <w:p>
            <w:pPr>
              <w:pStyle w:val="TableContents"/>
              <w:bidi w:val="0"/>
              <w:spacing w:before="0" w:after="0"/>
              <w:ind w:left="0" w:right="0" w:hanging="0"/>
              <w:jc w:val="both"/>
              <w:rPr/>
            </w:pPr>
            <w:r>
              <w:rPr/>
              <w:t xml:space="preserve">  </w:t>
            </w:r>
          </w:p>
        </w:tc>
        <w:tc>
          <w:tcPr>
            <w:tcW w:w="4723" w:type="dxa"/>
            <w:tcBorders/>
            <w:vAlign w:val="center"/>
          </w:tcPr>
          <w:p>
            <w:pPr>
              <w:pStyle w:val="TableContents"/>
              <w:bidi w:val="0"/>
              <w:spacing w:before="0" w:after="0"/>
              <w:ind w:left="0" w:right="0" w:hanging="0"/>
              <w:jc w:val="both"/>
              <w:rPr/>
            </w:pPr>
            <w:r>
              <w:rPr/>
              <w:t xml:space="preserve">  </w:t>
            </w:r>
          </w:p>
        </w:tc>
      </w:tr>
      <w:tr>
        <w:trPr/>
        <w:tc>
          <w:tcPr>
            <w:tcW w:w="4572" w:type="dxa"/>
            <w:tcBorders/>
            <w:vAlign w:val="center"/>
          </w:tcPr>
          <w:p>
            <w:pPr>
              <w:pStyle w:val="TableContents"/>
              <w:bidi w:val="0"/>
              <w:spacing w:before="0" w:after="0"/>
              <w:ind w:left="0" w:right="0" w:hanging="0"/>
              <w:jc w:val="both"/>
              <w:rPr/>
            </w:pPr>
            <w:r>
              <w:rPr>
                <w:rFonts w:ascii="Times New Roman" w:hAnsi="Times New Roman"/>
                <w:sz w:val="20"/>
              </w:rPr>
              <w:t>Date: March</w:t>
            </w:r>
            <w:r>
              <w:rPr/>
              <w:t> </w:t>
            </w:r>
            <w:r>
              <w:rPr>
                <w:rFonts w:ascii="Times New Roman" w:hAnsi="Times New Roman"/>
                <w:sz w:val="20"/>
              </w:rPr>
              <w:t>17,</w:t>
            </w:r>
            <w:r>
              <w:rPr/>
              <w:t xml:space="preserve"> </w:t>
            </w:r>
            <w:r>
              <w:rPr>
                <w:rFonts w:ascii="Times New Roman" w:hAnsi="Times New Roman"/>
                <w:sz w:val="20"/>
              </w:rPr>
              <w:t>2026</w:t>
            </w:r>
          </w:p>
        </w:tc>
        <w:tc>
          <w:tcPr>
            <w:tcW w:w="91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By: </w:t>
            </w:r>
          </w:p>
        </w:tc>
        <w:tc>
          <w:tcPr>
            <w:tcW w:w="4723" w:type="dxa"/>
            <w:tcBorders/>
            <w:vAlign w:val="center"/>
          </w:tcPr>
          <w:p>
            <w:pPr>
              <w:pStyle w:val="TableContents"/>
              <w:bidi w:val="0"/>
              <w:spacing w:before="0" w:after="0"/>
              <w:ind w:left="0" w:right="0" w:hanging="0"/>
              <w:jc w:val="both"/>
              <w:rPr>
                <w:rFonts w:ascii="Times New Roman;serif" w:hAnsi="Times New Roman;serif"/>
                <w:i/>
                <w:sz w:val="20"/>
              </w:rPr>
            </w:pPr>
            <w:r>
              <w:rPr>
                <w:rFonts w:ascii="Times New Roman;serif" w:hAnsi="Times New Roman;serif"/>
                <w:i/>
                <w:sz w:val="20"/>
              </w:rPr>
              <w:t>/s/ Simon Brewer</w:t>
            </w:r>
          </w:p>
        </w:tc>
      </w:tr>
      <w:tr>
        <w:trPr/>
        <w:tc>
          <w:tcPr>
            <w:tcW w:w="4572" w:type="dxa"/>
            <w:tcBorders/>
            <w:vAlign w:val="center"/>
          </w:tcPr>
          <w:p>
            <w:pPr>
              <w:pStyle w:val="TableContents"/>
              <w:bidi w:val="0"/>
              <w:spacing w:before="0" w:after="0"/>
              <w:ind w:left="0" w:right="0" w:hanging="0"/>
              <w:jc w:val="both"/>
              <w:rPr/>
            </w:pPr>
            <w:r>
              <w:rPr/>
              <w:t xml:space="preserve">  </w:t>
            </w:r>
          </w:p>
        </w:tc>
        <w:tc>
          <w:tcPr>
            <w:tcW w:w="910" w:type="dxa"/>
            <w:tcBorders/>
            <w:vAlign w:val="center"/>
          </w:tcPr>
          <w:p>
            <w:pPr>
              <w:pStyle w:val="TableContents"/>
              <w:bidi w:val="0"/>
              <w:spacing w:before="0" w:after="0"/>
              <w:ind w:left="0" w:right="0" w:hanging="0"/>
              <w:jc w:val="both"/>
              <w:rPr/>
            </w:pPr>
            <w:r>
              <w:rPr/>
              <w:t xml:space="preserve">  </w:t>
            </w:r>
          </w:p>
        </w:tc>
        <w:tc>
          <w:tcPr>
            <w:tcW w:w="4723" w:type="dxa"/>
            <w:tcBorders/>
            <w:vAlign w:val="center"/>
          </w:tcPr>
          <w:p>
            <w:pPr>
              <w:pStyle w:val="TableContents"/>
              <w:bidi w:val="0"/>
              <w:spacing w:before="0" w:after="0"/>
              <w:ind w:left="0" w:right="0" w:hanging="0"/>
              <w:jc w:val="both"/>
              <w:rPr>
                <w:rFonts w:ascii="Times New Roman;serif" w:hAnsi="Times New Roman;serif"/>
                <w:sz w:val="20"/>
              </w:rPr>
            </w:pPr>
            <w:r>
              <w:rPr>
                <w:rFonts w:ascii="Times New Roman;serif" w:hAnsi="Times New Roman;serif"/>
                <w:sz w:val="20"/>
              </w:rPr>
              <w:t>Simon Brewer</w:t>
            </w:r>
          </w:p>
        </w:tc>
      </w:tr>
      <w:tr>
        <w:trPr/>
        <w:tc>
          <w:tcPr>
            <w:tcW w:w="4572" w:type="dxa"/>
            <w:tcBorders/>
            <w:vAlign w:val="center"/>
          </w:tcPr>
          <w:p>
            <w:pPr>
              <w:pStyle w:val="TableContents"/>
              <w:bidi w:val="0"/>
              <w:spacing w:before="0" w:after="0"/>
              <w:ind w:left="0" w:right="0" w:hanging="0"/>
              <w:jc w:val="both"/>
              <w:rPr/>
            </w:pPr>
            <w:r>
              <w:rPr/>
              <w:t xml:space="preserve">  </w:t>
            </w:r>
          </w:p>
        </w:tc>
        <w:tc>
          <w:tcPr>
            <w:tcW w:w="910" w:type="dxa"/>
            <w:tcBorders/>
            <w:vAlign w:val="center"/>
          </w:tcPr>
          <w:p>
            <w:pPr>
              <w:pStyle w:val="TableContents"/>
              <w:bidi w:val="0"/>
              <w:spacing w:before="0" w:after="0"/>
              <w:ind w:left="0" w:right="0" w:hanging="0"/>
              <w:jc w:val="both"/>
              <w:rPr/>
            </w:pPr>
            <w:r>
              <w:rPr/>
              <w:t xml:space="preserve">  </w:t>
            </w:r>
          </w:p>
        </w:tc>
        <w:tc>
          <w:tcPr>
            <w:tcW w:w="4723" w:type="dxa"/>
            <w:tcBorders/>
            <w:vAlign w:val="center"/>
          </w:tcPr>
          <w:p>
            <w:pPr>
              <w:pStyle w:val="TableContents"/>
              <w:bidi w:val="0"/>
              <w:spacing w:lineRule="auto" w:line="288" w:before="0" w:after="0"/>
              <w:ind w:left="30" w:right="0" w:hanging="0"/>
              <w:jc w:val="both"/>
              <w:rPr>
                <w:rFonts w:ascii="Times New Roman;serif" w:hAnsi="Times New Roman;serif"/>
                <w:sz w:val="20"/>
              </w:rPr>
            </w:pPr>
            <w:r>
              <w:rPr>
                <w:rFonts w:ascii="Times New Roman;serif" w:hAnsi="Times New Roman;serif"/>
                <w:sz w:val="20"/>
              </w:rPr>
              <w:t>Chief Financial Officer</w:t>
            </w:r>
          </w:p>
        </w:tc>
      </w:tr>
    </w:tbl>
    <w:p>
      <w:pPr>
        <w:pStyle w:val="TextBody"/>
        <w:bidi w:val="0"/>
        <w:spacing w:before="0" w:after="0"/>
        <w:ind w:left="0" w:right="0" w:hanging="0"/>
        <w:jc w:val="left"/>
        <w:rPr/>
      </w:pPr>
      <w:r>
        <w:rPr/>
        <w:t> </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696</Words>
  <Characters>3779</Characters>
  <CharactersWithSpaces>4517</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