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12b-25</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LATE FILING</w:t>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(CHECK ONE):   o Form 10-K</w:t>
            </w:r>
          </w:p>
        </w:tc>
        <w:tc>
          <w:tcPr>
            <w:tcW w:w="2560" w:type="dxa"/>
            <w:vAlign w:val="bottom"/>
          </w:tcPr>
          <w:p>
            <w:pPr>
              <w:ind w:left="1120"/>
              <w:spacing w:after="0"/>
              <w:rPr>
                <w:sz w:val="20"/>
                <w:szCs w:val="20"/>
                <w:color w:val="auto"/>
              </w:rPr>
            </w:pPr>
            <w:r>
              <w:rPr>
                <w:rFonts w:ascii="Arial" w:cs="Arial" w:eastAsia="Arial" w:hAnsi="Arial"/>
                <w:sz w:val="18"/>
                <w:szCs w:val="18"/>
                <w:color w:val="auto"/>
              </w:rPr>
              <w:t>o Form 20-F</w:t>
            </w:r>
          </w:p>
        </w:tc>
        <w:tc>
          <w:tcPr>
            <w:tcW w:w="1720" w:type="dxa"/>
            <w:vAlign w:val="bottom"/>
          </w:tcPr>
          <w:p>
            <w:pPr>
              <w:ind w:left="520"/>
              <w:spacing w:after="0"/>
              <w:rPr>
                <w:sz w:val="20"/>
                <w:szCs w:val="20"/>
                <w:color w:val="auto"/>
              </w:rPr>
            </w:pPr>
            <w:r>
              <w:rPr>
                <w:rFonts w:ascii="Arial" w:cs="Arial" w:eastAsia="Arial" w:hAnsi="Arial"/>
                <w:sz w:val="18"/>
                <w:szCs w:val="18"/>
                <w:color w:val="auto"/>
              </w:rPr>
              <w:t>o Form 11-K</w:t>
            </w:r>
          </w:p>
        </w:tc>
        <w:tc>
          <w:tcPr>
            <w:tcW w:w="1500" w:type="dxa"/>
            <w:vAlign w:val="bottom"/>
          </w:tcPr>
          <w:p>
            <w:pPr>
              <w:ind w:left="240"/>
              <w:spacing w:after="0"/>
              <w:rPr>
                <w:sz w:val="20"/>
                <w:szCs w:val="20"/>
                <w:color w:val="auto"/>
              </w:rPr>
            </w:pPr>
            <w:r>
              <w:rPr>
                <w:rFonts w:ascii="Arial" w:cs="Arial" w:eastAsia="Arial" w:hAnsi="Arial"/>
                <w:sz w:val="18"/>
                <w:szCs w:val="18"/>
                <w:color w:val="auto"/>
              </w:rPr>
              <w:t>x Form 10-Q</w:t>
            </w:r>
          </w:p>
        </w:tc>
        <w:tc>
          <w:tcPr>
            <w:tcW w:w="2180" w:type="dxa"/>
            <w:vAlign w:val="bottom"/>
          </w:tcPr>
          <w:p>
            <w:pPr>
              <w:ind w:left="320"/>
              <w:spacing w:after="0"/>
              <w:rPr>
                <w:sz w:val="20"/>
                <w:szCs w:val="20"/>
                <w:color w:val="auto"/>
              </w:rPr>
            </w:pPr>
            <w:r>
              <w:rPr>
                <w:rFonts w:ascii="Arial" w:cs="Arial" w:eastAsia="Arial" w:hAnsi="Arial"/>
                <w:sz w:val="18"/>
                <w:szCs w:val="18"/>
                <w:color w:val="auto"/>
              </w:rPr>
              <w:t>o Form N-SAR</w:t>
            </w:r>
          </w:p>
        </w:tc>
      </w:tr>
      <w:tr>
        <w:trPr>
          <w:trHeight w:val="445"/>
        </w:trPr>
        <w:tc>
          <w:tcPr>
            <w:tcW w:w="2420" w:type="dxa"/>
            <w:vAlign w:val="bottom"/>
          </w:tcPr>
          <w:p>
            <w:pPr>
              <w:ind w:left="1580"/>
              <w:spacing w:after="0"/>
              <w:rPr>
                <w:sz w:val="20"/>
                <w:szCs w:val="20"/>
                <w:color w:val="auto"/>
              </w:rPr>
            </w:pPr>
            <w:r>
              <w:rPr>
                <w:rFonts w:ascii="Arial" w:cs="Arial" w:eastAsia="Arial" w:hAnsi="Arial"/>
                <w:sz w:val="18"/>
                <w:szCs w:val="18"/>
                <w:color w:val="auto"/>
                <w:w w:val="97"/>
              </w:rPr>
              <w:t>For Period</w:t>
            </w:r>
          </w:p>
        </w:tc>
        <w:tc>
          <w:tcPr>
            <w:tcW w:w="2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7"/>
        </w:trPr>
        <w:tc>
          <w:tcPr>
            <w:tcW w:w="2420" w:type="dxa"/>
            <w:vAlign w:val="bottom"/>
          </w:tcPr>
          <w:p>
            <w:pPr>
              <w:ind w:left="1580"/>
              <w:spacing w:after="0"/>
              <w:rPr>
                <w:sz w:val="20"/>
                <w:szCs w:val="20"/>
                <w:color w:val="auto"/>
              </w:rPr>
            </w:pPr>
            <w:r>
              <w:rPr>
                <w:rFonts w:ascii="Arial" w:cs="Arial" w:eastAsia="Arial" w:hAnsi="Arial"/>
                <w:sz w:val="18"/>
                <w:szCs w:val="18"/>
                <w:color w:val="auto"/>
              </w:rPr>
              <w:t>Ended:</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30, 2012</w:t>
            </w:r>
          </w:p>
        </w:tc>
        <w:tc>
          <w:tcPr>
            <w:tcW w:w="17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r>
    </w:tbl>
    <w:p>
      <w:pPr>
        <w:spacing w:after="0" w:line="22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10-K</w:t>
      </w:r>
    </w:p>
    <w:p>
      <w:pPr>
        <w:spacing w:after="0" w:line="23"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20-F</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11-K</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10-Q</w:t>
      </w:r>
    </w:p>
    <w:p>
      <w:pPr>
        <w:spacing w:after="0" w:line="9" w:lineRule="exact"/>
        <w:rPr>
          <w:sz w:val="24"/>
          <w:szCs w:val="24"/>
          <w:color w:val="auto"/>
        </w:rPr>
      </w:pPr>
    </w:p>
    <w:p>
      <w:pPr>
        <w:ind w:left="1620"/>
        <w:spacing w:after="0"/>
        <w:tabs>
          <w:tab w:leader="none" w:pos="1860" w:val="left"/>
        </w:tabs>
        <w:rPr>
          <w:sz w:val="20"/>
          <w:szCs w:val="20"/>
          <w:color w:val="auto"/>
        </w:rPr>
      </w:pPr>
      <w:r>
        <w:rPr>
          <w:rFonts w:ascii="Arial" w:cs="Arial" w:eastAsia="Arial" w:hAnsi="Arial"/>
          <w:sz w:val="18"/>
          <w:szCs w:val="18"/>
          <w:color w:val="auto"/>
        </w:rPr>
        <w:t>o</w:t>
        <w:tab/>
        <w:t>Transition Report on Form N-SAR</w:t>
      </w:r>
    </w:p>
    <w:p>
      <w:pPr>
        <w:spacing w:after="0" w:line="9"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For the Transaction Period Ended:</w:t>
      </w:r>
    </w:p>
    <w:p>
      <w:pPr>
        <w:spacing w:after="0" w:line="200" w:lineRule="exact"/>
        <w:rPr>
          <w:sz w:val="24"/>
          <w:szCs w:val="24"/>
          <w:color w:val="auto"/>
        </w:rPr>
      </w:pPr>
    </w:p>
    <w:p>
      <w:pPr>
        <w:spacing w:after="0" w:line="268"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i w:val="1"/>
          <w:iCs w:val="1"/>
          <w:color w:val="auto"/>
        </w:rPr>
        <w:t xml:space="preserve">READ INSTRUCTION (ON BACK PAGE) BEFORE PREPARING FORM. PLEASE PRINT OR TYPE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NOTHING IN THIS FORM SHALL BE CONSTRUED TO IMPLY THAT THE COMMISSION HAS VERIFIED ANY INFORMATION CONTAINED HEREIN.</w:t>
      </w:r>
    </w:p>
    <w:p>
      <w:pPr>
        <w:spacing w:after="0" w:line="210" w:lineRule="exact"/>
        <w:rPr>
          <w:sz w:val="24"/>
          <w:szCs w:val="24"/>
          <w:color w:val="auto"/>
        </w:rPr>
      </w:pPr>
    </w:p>
    <w:p>
      <w:pPr>
        <w:spacing w:after="0"/>
        <w:rPr>
          <w:sz w:val="20"/>
          <w:szCs w:val="20"/>
          <w:color w:val="auto"/>
        </w:rPr>
      </w:pPr>
      <w:r>
        <w:rPr>
          <w:rFonts w:ascii="Arial" w:cs="Arial" w:eastAsia="Arial" w:hAnsi="Arial"/>
          <w:sz w:val="19"/>
          <w:szCs w:val="19"/>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PART I - REGISTRANT INFORMATION</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65862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1043940</wp:posOffset>
            </wp:positionV>
            <wp:extent cx="6586220"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85725"/>
                    </a:xfrm>
                    <a:prstGeom prst="rect">
                      <a:avLst/>
                    </a:prstGeom>
                    <a:noFill/>
                  </pic:spPr>
                </pic:pic>
              </a:graphicData>
            </a:graphic>
          </wp:anchor>
        </w:drawing>
      </w:r>
    </w:p>
    <w:p>
      <w:pPr>
        <w:sectPr>
          <w:pgSz w:w="11900" w:h="16838" w:orient="portrait"/>
          <w:cols w:equalWidth="0" w:num="1">
            <w:col w:w="10380"/>
          </w:cols>
          <w:pgMar w:left="240" w:top="936" w:right="1279" w:bottom="1440" w:gutter="0" w:footer="0" w:header="0"/>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PART II - RULES 12b-25(b) AND (c)</w:t>
      </w:r>
    </w:p>
    <w:p>
      <w:pPr>
        <w:spacing w:after="0" w:line="239"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If the subject report could not be filed without unreasonable effort or expense and the registrant seeks relief pursuant to Rule 12b-25(b), the following should be completed. (Check box if appropriate)</w:t>
      </w:r>
    </w:p>
    <w:p>
      <w:pPr>
        <w:spacing w:after="0" w:line="207" w:lineRule="exact"/>
        <w:rPr>
          <w:sz w:val="20"/>
          <w:szCs w:val="20"/>
          <w:color w:val="auto"/>
        </w:rPr>
      </w:pPr>
    </w:p>
    <w:p>
      <w:pPr>
        <w:ind w:left="1220" w:right="500" w:hanging="776"/>
        <w:spacing w:after="0" w:line="258"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(a)The reasons described in reasonable detail in Part III of this form could not be eliminated without unreasonable effort or expense;</w:t>
      </w:r>
    </w:p>
    <w:p>
      <w:pPr>
        <w:spacing w:after="0" w:line="1" w:lineRule="exact"/>
        <w:rPr>
          <w:rFonts w:ascii="Arial" w:cs="Arial" w:eastAsia="Arial" w:hAnsi="Arial"/>
          <w:sz w:val="18"/>
          <w:szCs w:val="18"/>
          <w:color w:val="auto"/>
        </w:rPr>
      </w:pPr>
    </w:p>
    <w:p>
      <w:pPr>
        <w:jc w:val="right"/>
        <w:ind w:left="1220" w:right="140" w:hanging="776"/>
        <w:spacing w:after="0" w:line="281"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due date; and</w:t>
      </w:r>
    </w:p>
    <w:p>
      <w:pPr>
        <w:spacing w:after="0" w:line="9"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8"/>
          <w:szCs w:val="18"/>
          <w:color w:val="auto"/>
        </w:rPr>
        <w:t>o (c)</w:t>
      </w:r>
      <w:r>
        <w:rPr>
          <w:sz w:val="20"/>
          <w:szCs w:val="20"/>
          <w:color w:val="auto"/>
        </w:rPr>
        <w:tab/>
      </w:r>
      <w:r>
        <w:rPr>
          <w:rFonts w:ascii="Arial" w:cs="Arial" w:eastAsia="Arial" w:hAnsi="Arial"/>
          <w:sz w:val="16"/>
          <w:szCs w:val="16"/>
          <w:color w:val="auto"/>
        </w:rPr>
        <w:t>The accountant’s statement or other exhibit required by Rule 12b-25(c) has been attached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 - NARRATIVE</w:t>
      </w:r>
    </w:p>
    <w:p>
      <w:pPr>
        <w:spacing w:after="0" w:line="239"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State below in reasonable detail the reasons why Forms 10-K, 20-F, 11-K, 10-Q, N-SAR, or the transition report or portion thereof, could not be filed within the prescribed time period.</w:t>
      </w:r>
    </w:p>
    <w:p>
      <w:pPr>
        <w:spacing w:after="0" w:line="200" w:lineRule="exact"/>
        <w:rPr>
          <w:sz w:val="20"/>
          <w:szCs w:val="20"/>
          <w:color w:val="auto"/>
        </w:rPr>
      </w:pPr>
    </w:p>
    <w:p>
      <w:pPr>
        <w:ind w:right="200" w:firstLine="825"/>
        <w:spacing w:after="0" w:line="282" w:lineRule="auto"/>
        <w:rPr>
          <w:sz w:val="20"/>
          <w:szCs w:val="20"/>
          <w:color w:val="auto"/>
        </w:rPr>
      </w:pPr>
      <w:r>
        <w:rPr>
          <w:rFonts w:ascii="Arial" w:cs="Arial" w:eastAsia="Arial" w:hAnsi="Arial"/>
          <w:sz w:val="19"/>
          <w:szCs w:val="19"/>
          <w:color w:val="auto"/>
        </w:rPr>
        <w:t>ClearOne Communications, Inc. (the “Company”) was unable to file its Form 10-Q for the period ended September 30, 2012 by the cutoff time necessary to receive a November 14, 2012 filing date, the prescribed due date. The reason for the filing delay was, as the Company understands from its service provider, a technical problem in transmission between the service provider and the SEC website. The Company filed its Form 10-Q for the period ended September 30, 2012 on November 14, 2012 with a November 15, 2012 filing date.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 - OTHER INFORMATION</w:t>
      </w:r>
    </w:p>
    <w:p>
      <w:pPr>
        <w:spacing w:after="0" w:line="246"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20" w:type="dxa"/>
            <w:vAlign w:val="bottom"/>
          </w:tcPr>
          <w:p>
            <w:pPr>
              <w:jc w:val="center"/>
              <w:spacing w:after="0"/>
              <w:rPr>
                <w:sz w:val="20"/>
                <w:szCs w:val="20"/>
                <w:color w:val="auto"/>
              </w:rPr>
            </w:pPr>
            <w:r>
              <w:rPr>
                <w:rFonts w:ascii="Arial" w:cs="Arial" w:eastAsia="Arial" w:hAnsi="Arial"/>
                <w:sz w:val="18"/>
                <w:szCs w:val="18"/>
                <w:color w:val="auto"/>
                <w:w w:val="88"/>
              </w:rPr>
              <w:t>Narsi Narayanan</w:t>
            </w:r>
          </w:p>
        </w:tc>
        <w:tc>
          <w:tcPr>
            <w:tcW w:w="3540" w:type="dxa"/>
            <w:vAlign w:val="bottom"/>
            <w:gridSpan w:val="2"/>
          </w:tcPr>
          <w:p>
            <w:pPr>
              <w:jc w:val="right"/>
              <w:ind w:right="1450"/>
              <w:spacing w:after="0"/>
              <w:rPr>
                <w:sz w:val="20"/>
                <w:szCs w:val="20"/>
                <w:color w:val="auto"/>
              </w:rPr>
            </w:pPr>
            <w:r>
              <w:rPr>
                <w:rFonts w:ascii="Arial" w:cs="Arial" w:eastAsia="Arial" w:hAnsi="Arial"/>
                <w:sz w:val="18"/>
                <w:szCs w:val="18"/>
                <w:color w:val="auto"/>
              </w:rPr>
              <w:t>801</w:t>
            </w:r>
          </w:p>
        </w:tc>
        <w:tc>
          <w:tcPr>
            <w:tcW w:w="3520" w:type="dxa"/>
            <w:vAlign w:val="bottom"/>
            <w:gridSpan w:val="2"/>
          </w:tcPr>
          <w:p>
            <w:pPr>
              <w:jc w:val="right"/>
              <w:ind w:right="1230"/>
              <w:spacing w:after="0"/>
              <w:rPr>
                <w:sz w:val="20"/>
                <w:szCs w:val="20"/>
                <w:color w:val="auto"/>
              </w:rPr>
            </w:pPr>
            <w:r>
              <w:rPr>
                <w:rFonts w:ascii="Arial" w:cs="Arial" w:eastAsia="Arial" w:hAnsi="Arial"/>
                <w:sz w:val="18"/>
                <w:szCs w:val="18"/>
                <w:color w:val="auto"/>
              </w:rPr>
              <w:t>975-7200</w:t>
            </w:r>
          </w:p>
        </w:tc>
      </w:tr>
      <w:tr>
        <w:trPr>
          <w:trHeight w:val="230"/>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20" w:type="dxa"/>
            <w:vAlign w:val="bottom"/>
          </w:tcPr>
          <w:p>
            <w:pPr>
              <w:spacing w:after="0"/>
              <w:rPr>
                <w:sz w:val="20"/>
                <w:szCs w:val="20"/>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00" w:type="dxa"/>
            <w:vAlign w:val="bottom"/>
          </w:tcPr>
          <w:p>
            <w:pPr>
              <w:spacing w:after="0"/>
              <w:rPr>
                <w:sz w:val="20"/>
                <w:szCs w:val="20"/>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(Telephone Number)</w:t>
            </w:r>
          </w:p>
        </w:tc>
      </w:tr>
    </w:tbl>
    <w:p>
      <w:pPr>
        <w:spacing w:after="0" w:line="214" w:lineRule="exact"/>
        <w:rPr>
          <w:sz w:val="20"/>
          <w:szCs w:val="20"/>
          <w:color w:val="auto"/>
        </w:rPr>
      </w:pPr>
    </w:p>
    <w:p>
      <w:pPr>
        <w:ind w:left="420" w:right="20" w:hanging="412"/>
        <w:spacing w:after="0" w:line="256"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jc w:val="right"/>
        <w:spacing w:after="0"/>
        <w:tabs>
          <w:tab w:leader="none" w:pos="32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6"/>
          <w:szCs w:val="16"/>
          <w:color w:val="auto"/>
        </w:rPr>
        <w:t>o No</w:t>
      </w:r>
    </w:p>
    <w:p>
      <w:pPr>
        <w:spacing w:after="0" w:line="238" w:lineRule="exact"/>
        <w:rPr>
          <w:sz w:val="20"/>
          <w:szCs w:val="20"/>
          <w:color w:val="auto"/>
        </w:rPr>
      </w:pPr>
    </w:p>
    <w:p>
      <w:pPr>
        <w:ind w:left="420" w:right="120" w:hanging="412"/>
        <w:spacing w:after="0" w:line="25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6"/>
          <w:szCs w:val="16"/>
          <w:color w:val="auto"/>
        </w:rPr>
        <w:t>o No</w:t>
      </w:r>
    </w:p>
    <w:p>
      <w:pPr>
        <w:spacing w:after="0" w:line="238" w:lineRule="exact"/>
        <w:rPr>
          <w:sz w:val="20"/>
          <w:szCs w:val="20"/>
          <w:color w:val="auto"/>
        </w:rPr>
      </w:pPr>
    </w:p>
    <w:p>
      <w:pPr>
        <w:ind w:left="420" w:right="4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0"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The Company filed its Form 10-Q for the period ended September 30, 2012 on November 14, 2012 with a November 15, 2012 filing date. The Company reported revenue of $11. 6 million for the quarter ended September 30, 2012, compared to $11.5 million for same period in 2011, an increase of approximately 1%. Operating income was $1.4 million and net income was $929,000 for the quarter ended September 30, 2012. For the three months ended September 30, 2011, which included a favorable judgment award of $3.7 million, operating income was $5.4 million and net income was $3.4 million. A detailed discussion of the Company’s results of operations is included under Part I, Item 2. “Management’s Discussion and Analysis of Financial Condition and Results of Operations” in the Company’s Form 10-Q for the period ended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658622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5725"/>
                    </a:xfrm>
                    <a:prstGeom prst="rect">
                      <a:avLst/>
                    </a:prstGeom>
                    <a:noFill/>
                  </pic:spPr>
                </pic:pic>
              </a:graphicData>
            </a:graphic>
          </wp:anchor>
        </w:drawing>
      </w:r>
    </w:p>
    <w:p>
      <w:pPr>
        <w:sectPr>
          <w:pgSz w:w="11900" w:h="16838" w:orient="portrait"/>
          <w:cols w:equalWidth="0" w:num="1">
            <w:col w:w="10360"/>
          </w:cols>
          <w:pgMar w:left="240" w:top="666"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has caused this notification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Date  November 15, 2012</w:t>
            </w:r>
          </w:p>
        </w:tc>
        <w:tc>
          <w:tcPr>
            <w:tcW w:w="6600" w:type="dxa"/>
            <w:vAlign w:val="bottom"/>
            <w:gridSpan w:val="2"/>
          </w:tcPr>
          <w:p>
            <w:pPr>
              <w:ind w:left="1860"/>
              <w:spacing w:after="0"/>
              <w:rPr>
                <w:sz w:val="20"/>
                <w:szCs w:val="20"/>
                <w:color w:val="auto"/>
              </w:rPr>
            </w:pPr>
            <w:r>
              <w:rPr>
                <w:rFonts w:ascii="Arial" w:cs="Arial" w:eastAsia="Arial" w:hAnsi="Arial"/>
                <w:sz w:val="18"/>
                <w:szCs w:val="18"/>
                <w:color w:val="auto"/>
              </w:rPr>
              <w:t>By:   /s/ Zeynep Hakimoglu</w:t>
            </w:r>
          </w:p>
        </w:tc>
      </w:tr>
      <w:tr>
        <w:trPr>
          <w:trHeight w:val="230"/>
        </w:trPr>
        <w:tc>
          <w:tcPr>
            <w:tcW w:w="3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 Chief Executive Officer</w:t>
            </w:r>
          </w:p>
        </w:tc>
      </w:tr>
    </w:tbl>
    <w:p>
      <w:pPr>
        <w:spacing w:after="0" w:line="200" w:lineRule="exact"/>
        <w:rPr>
          <w:sz w:val="20"/>
          <w:szCs w:val="20"/>
          <w:color w:val="auto"/>
        </w:rPr>
      </w:pPr>
    </w:p>
    <w:p>
      <w:pPr>
        <w:spacing w:after="0" w:line="244" w:lineRule="exact"/>
        <w:rPr>
          <w:sz w:val="20"/>
          <w:szCs w:val="20"/>
          <w:color w:val="auto"/>
        </w:rPr>
      </w:pPr>
    </w:p>
    <w:p>
      <w:pPr>
        <w:ind w:right="160"/>
        <w:spacing w:after="0" w:line="289" w:lineRule="auto"/>
        <w:rPr>
          <w:sz w:val="20"/>
          <w:szCs w:val="20"/>
          <w:color w:val="auto"/>
        </w:rPr>
      </w:pPr>
      <w:r>
        <w:rPr>
          <w:rFonts w:ascii="Arial" w:cs="Arial" w:eastAsia="Arial" w:hAnsi="Arial"/>
          <w:sz w:val="19"/>
          <w:szCs w:val="19"/>
          <w:b w:val="1"/>
          <w:bCs w:val="1"/>
          <w:color w:val="auto"/>
        </w:rPr>
        <w:t xml:space="preserve">INSTRUCTION: </w:t>
      </w:r>
      <w:r>
        <w:rPr>
          <w:rFonts w:ascii="Arial" w:cs="Arial" w:eastAsia="Arial" w:hAnsi="Arial"/>
          <w:sz w:val="19"/>
          <w:szCs w:val="19"/>
          <w:color w:val="auto"/>
        </w:rPr>
        <w:t>The form may be signed by an executive officer of the registrant or by any other duly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0" w:lineRule="exact"/>
        <w:rPr>
          <w:sz w:val="20"/>
          <w:szCs w:val="20"/>
          <w:color w:val="auto"/>
        </w:rPr>
      </w:pPr>
    </w:p>
    <w:p>
      <w:pPr>
        <w:spacing w:after="0" w:line="21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862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INTENTIONAL MISSTATEMENTS OR OMISSIONS OF FACT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0380"/>
      </w:cols>
      <w:pgMar w:left="240" w:top="1404"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2019-12-09T09:43:14Z</dcterms:created>
  <dcterms:modified xsi:type="dcterms:W3CDTF">2019-12-09T09:43:14Z</dcterms:modified>
</cp:coreProperties>
</file>