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389255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January 2, 2020 (December 30,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jc w:val="center"/>
              <w:ind w:right="1230"/>
              <w:spacing w:after="0"/>
              <w:rPr>
                <w:sz w:val="20"/>
                <w:szCs w:val="20"/>
                <w:color w:val="auto"/>
              </w:rPr>
            </w:pPr>
            <w:r>
              <w:rPr>
                <w:rFonts w:ascii="Arial" w:cs="Arial" w:eastAsia="Arial" w:hAnsi="Arial"/>
                <w:sz w:val="18"/>
                <w:szCs w:val="18"/>
                <w:b w:val="1"/>
                <w:bCs w:val="1"/>
                <w:color w:val="auto"/>
                <w:w w:val="90"/>
              </w:rPr>
              <w:t>001-33660</w:t>
            </w:r>
          </w:p>
        </w:tc>
        <w:tc>
          <w:tcPr>
            <w:tcW w:w="20" w:type="dxa"/>
            <w:vAlign w:val="bottom"/>
          </w:tcPr>
          <w:p>
            <w:pPr>
              <w:spacing w:after="0"/>
              <w:rPr>
                <w:sz w:val="20"/>
                <w:szCs w:val="20"/>
                <w:color w:val="auto"/>
              </w:rPr>
            </w:pPr>
          </w:p>
        </w:tc>
        <w:tc>
          <w:tcPr>
            <w:tcW w:w="3860" w:type="dxa"/>
            <w:vAlign w:val="bottom"/>
            <w:gridSpan w:val="2"/>
          </w:tcPr>
          <w:p>
            <w:pPr>
              <w:jc w:val="right"/>
              <w:ind w:right="1290"/>
              <w:spacing w:after="0"/>
              <w:rPr>
                <w:sz w:val="20"/>
                <w:szCs w:val="20"/>
                <w:color w:val="auto"/>
              </w:rPr>
            </w:pPr>
            <w:r>
              <w:rPr>
                <w:rFonts w:ascii="Arial" w:cs="Arial" w:eastAsia="Arial" w:hAnsi="Arial"/>
                <w:sz w:val="18"/>
                <w:szCs w:val="18"/>
                <w:b w:val="1"/>
                <w:bCs w:val="1"/>
                <w:color w:val="auto"/>
              </w:rPr>
              <w:t>87-0398877</w:t>
            </w:r>
          </w:p>
        </w:tc>
      </w:tr>
      <w:tr>
        <w:trPr>
          <w:trHeight w:val="195"/>
        </w:trPr>
        <w:tc>
          <w:tcPr>
            <w:tcW w:w="3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(State or Other Jurisdiction</w:t>
            </w:r>
          </w:p>
        </w:tc>
        <w:tc>
          <w:tcPr>
            <w:tcW w:w="24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gridSpan w:val="2"/>
          </w:tcPr>
          <w:p>
            <w:pPr>
              <w:jc w:val="center"/>
              <w:ind w:right="1300"/>
              <w:spacing w:after="0" w:line="195" w:lineRule="exact"/>
              <w:rPr>
                <w:sz w:val="20"/>
                <w:szCs w:val="20"/>
                <w:color w:val="auto"/>
              </w:rPr>
            </w:pPr>
            <w:r>
              <w:rPr>
                <w:rFonts w:ascii="Arial" w:cs="Arial" w:eastAsia="Arial" w:hAnsi="Arial"/>
                <w:sz w:val="18"/>
                <w:szCs w:val="18"/>
                <w:color w:val="auto"/>
                <w:w w:val="93"/>
              </w:rPr>
              <w:t>(Commission</w:t>
            </w:r>
          </w:p>
        </w:tc>
        <w:tc>
          <w:tcPr>
            <w:tcW w:w="2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5240" w:type="dxa"/>
            <w:vAlign w:val="bottom"/>
            <w:gridSpan w:val="3"/>
          </w:tcPr>
          <w:p>
            <w:pPr>
              <w:jc w:val="center"/>
              <w:ind w:right="1520"/>
              <w:spacing w:after="0"/>
              <w:rPr>
                <w:sz w:val="20"/>
                <w:szCs w:val="20"/>
                <w:color w:val="auto"/>
              </w:rPr>
            </w:pPr>
            <w:r>
              <w:rPr>
                <w:rFonts w:ascii="Arial" w:cs="Arial" w:eastAsia="Arial" w:hAnsi="Arial"/>
                <w:sz w:val="18"/>
                <w:szCs w:val="18"/>
                <w:color w:val="auto"/>
                <w:w w:val="94"/>
              </w:rPr>
              <w:t>of Incorporation)</w:t>
            </w:r>
          </w:p>
        </w:tc>
        <w:tc>
          <w:tcPr>
            <w:tcW w:w="2320" w:type="dxa"/>
            <w:vAlign w:val="bottom"/>
            <w:gridSpan w:val="2"/>
          </w:tcPr>
          <w:p>
            <w:pPr>
              <w:jc w:val="center"/>
              <w:ind w:right="1300"/>
              <w:spacing w:after="0"/>
              <w:rPr>
                <w:sz w:val="20"/>
                <w:szCs w:val="20"/>
                <w:color w:val="auto"/>
              </w:rPr>
            </w:pPr>
            <w:r>
              <w:rPr>
                <w:rFonts w:ascii="Arial" w:cs="Arial" w:eastAsia="Arial" w:hAnsi="Arial"/>
                <w:sz w:val="18"/>
                <w:szCs w:val="18"/>
                <w:color w:val="auto"/>
                <w:w w:val="94"/>
              </w:rPr>
              <w:t>File Number)</w:t>
            </w: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756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860" w:type="dxa"/>
            <w:vAlign w:val="bottom"/>
            <w:gridSpan w:val="2"/>
          </w:tcPr>
          <w:p>
            <w:pPr>
              <w:jc w:val="right"/>
              <w:ind w:right="1510"/>
              <w:spacing w:after="0"/>
              <w:rPr>
                <w:sz w:val="20"/>
                <w:szCs w:val="20"/>
                <w:color w:val="auto"/>
              </w:rPr>
            </w:pPr>
            <w:r>
              <w:rPr>
                <w:rFonts w:ascii="Arial" w:cs="Arial" w:eastAsia="Arial" w:hAnsi="Arial"/>
                <w:sz w:val="18"/>
                <w:szCs w:val="18"/>
                <w:b w:val="1"/>
                <w:bCs w:val="1"/>
                <w:color w:val="auto"/>
              </w:rPr>
              <w:t>84116</w:t>
            </w:r>
          </w:p>
        </w:tc>
      </w:tr>
      <w:tr>
        <w:trPr>
          <w:trHeight w:val="224"/>
        </w:trPr>
        <w:tc>
          <w:tcPr>
            <w:tcW w:w="5240" w:type="dxa"/>
            <w:vAlign w:val="bottom"/>
            <w:tcBorders>
              <w:top w:val="single" w:sz="8" w:color="auto"/>
            </w:tcBorders>
            <w:gridSpan w:val="3"/>
          </w:tcPr>
          <w:p>
            <w:pPr>
              <w:jc w:val="center"/>
              <w:ind w:left="2210"/>
              <w:spacing w:after="0"/>
              <w:rPr>
                <w:sz w:val="20"/>
                <w:szCs w:val="20"/>
                <w:color w:val="auto"/>
              </w:rPr>
            </w:pPr>
            <w:r>
              <w:rPr>
                <w:rFonts w:ascii="Arial" w:cs="Arial" w:eastAsia="Arial" w:hAnsi="Arial"/>
                <w:sz w:val="18"/>
                <w:szCs w:val="18"/>
                <w:color w:val="auto"/>
                <w:w w:val="92"/>
              </w:rPr>
              <w:t>(Address of principal executive offices)</w:t>
            </w:r>
          </w:p>
        </w:tc>
        <w:tc>
          <w:tcPr>
            <w:tcW w:w="23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 (801)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w:t>
      </w:r>
    </w:p>
    <w:p>
      <w:pPr>
        <w:spacing w:after="0" w:line="225"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3"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6"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8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3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93"/>
        </w:trPr>
        <w:tc>
          <w:tcPr>
            <w:tcW w:w="38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Common Stock, $0.001</w:t>
            </w:r>
          </w:p>
        </w:tc>
        <w:tc>
          <w:tcPr>
            <w:tcW w:w="324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5"/>
              </w:rPr>
              <w:t>CLRO</w:t>
            </w:r>
          </w:p>
        </w:tc>
        <w:tc>
          <w:tcPr>
            <w:tcW w:w="43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4"/>
              </w:rPr>
              <w:t>The NASDAQ Capital Market</w:t>
            </w:r>
          </w:p>
        </w:tc>
      </w:tr>
      <w:tr>
        <w:trPr>
          <w:trHeight w:val="568"/>
        </w:trPr>
        <w:tc>
          <w:tcPr>
            <w:tcW w:w="38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68"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color w:val="auto"/>
        </w:rPr>
        <w:t>On December 30, 2019, ClearOne, Inc. (the “Company”) held its 2019 annual meeting of shareholders (the “Annual Meeting”) at which shareholders voted on the three proposals listed below. The final voting results with respect to each proposal are also set forth below. As of December 10, 2019, the record date for the Annual Meeting, there were 16,646,323 shares of common stock issued and outstanding.</w:t>
      </w:r>
    </w:p>
    <w:p>
      <w:pPr>
        <w:spacing w:after="0" w:line="181" w:lineRule="exact"/>
        <w:rPr>
          <w:sz w:val="20"/>
          <w:szCs w:val="20"/>
          <w:color w:val="auto"/>
        </w:rPr>
      </w:pPr>
    </w:p>
    <w:p>
      <w:pPr>
        <w:ind w:left="180" w:hanging="10"/>
        <w:spacing w:after="0" w:line="277" w:lineRule="auto"/>
        <w:tabs>
          <w:tab w:leader="none" w:pos="368"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Election of Directors: All four directors were re-elected to serve terms expiring at the 2020 annual meeting of shareholders or until their successors are duly elected and qualified.</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04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Nominee</w:t>
            </w:r>
          </w:p>
        </w:tc>
        <w:tc>
          <w:tcPr>
            <w:tcW w:w="560" w:type="dxa"/>
            <w:vAlign w:val="bottom"/>
          </w:tcPr>
          <w:p>
            <w:pPr>
              <w:spacing w:after="0"/>
              <w:rPr>
                <w:sz w:val="20"/>
                <w:szCs w:val="20"/>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Votes For (1)</w:t>
            </w:r>
          </w:p>
        </w:tc>
        <w:tc>
          <w:tcPr>
            <w:tcW w:w="560" w:type="dxa"/>
            <w:vAlign w:val="bottom"/>
          </w:tcPr>
          <w:p>
            <w:pPr>
              <w:spacing w:after="0"/>
              <w:rPr>
                <w:sz w:val="20"/>
                <w:szCs w:val="20"/>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Votes withheld</w:t>
            </w:r>
          </w:p>
        </w:tc>
      </w:tr>
      <w:tr>
        <w:trPr>
          <w:trHeight w:val="210"/>
        </w:trPr>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Zeynep Hakimoglu</w:t>
            </w:r>
          </w:p>
        </w:tc>
        <w:tc>
          <w:tcPr>
            <w:tcW w:w="390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0"/>
              </w:rPr>
              <w:t>13,433,592</w:t>
            </w:r>
          </w:p>
        </w:tc>
        <w:tc>
          <w:tcPr>
            <w:tcW w:w="422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0"/>
              </w:rPr>
              <w:t>52,731</w:t>
            </w:r>
          </w:p>
        </w:tc>
      </w:tr>
      <w:tr>
        <w:trPr>
          <w:trHeight w:val="216"/>
        </w:trPr>
        <w:tc>
          <w:tcPr>
            <w:tcW w:w="3040" w:type="dxa"/>
            <w:vAlign w:val="bottom"/>
          </w:tcPr>
          <w:p>
            <w:pPr>
              <w:jc w:val="center"/>
              <w:spacing w:after="0"/>
              <w:rPr>
                <w:sz w:val="20"/>
                <w:szCs w:val="20"/>
                <w:color w:val="auto"/>
              </w:rPr>
            </w:pPr>
            <w:r>
              <w:rPr>
                <w:rFonts w:ascii="Arial" w:cs="Arial" w:eastAsia="Arial" w:hAnsi="Arial"/>
                <w:sz w:val="18"/>
                <w:szCs w:val="18"/>
                <w:color w:val="auto"/>
                <w:w w:val="93"/>
              </w:rPr>
              <w:t>Larry R. Hendricks</w:t>
            </w:r>
          </w:p>
        </w:tc>
        <w:tc>
          <w:tcPr>
            <w:tcW w:w="390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13,428,812</w:t>
            </w:r>
          </w:p>
        </w:tc>
        <w:tc>
          <w:tcPr>
            <w:tcW w:w="422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57,511</w:t>
            </w:r>
          </w:p>
        </w:tc>
      </w:tr>
      <w:tr>
        <w:trPr>
          <w:trHeight w:val="216"/>
        </w:trPr>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Eric L. Robinson</w:t>
            </w:r>
          </w:p>
        </w:tc>
        <w:tc>
          <w:tcPr>
            <w:tcW w:w="390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0"/>
              </w:rPr>
              <w:t>13,428,812</w:t>
            </w:r>
          </w:p>
        </w:tc>
        <w:tc>
          <w:tcPr>
            <w:tcW w:w="422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0"/>
              </w:rPr>
              <w:t>57,511</w:t>
            </w:r>
          </w:p>
        </w:tc>
      </w:tr>
      <w:tr>
        <w:trPr>
          <w:trHeight w:val="230"/>
        </w:trPr>
        <w:tc>
          <w:tcPr>
            <w:tcW w:w="3040" w:type="dxa"/>
            <w:vAlign w:val="bottom"/>
          </w:tcPr>
          <w:p>
            <w:pPr>
              <w:jc w:val="center"/>
              <w:spacing w:after="0"/>
              <w:rPr>
                <w:sz w:val="20"/>
                <w:szCs w:val="20"/>
                <w:color w:val="auto"/>
              </w:rPr>
            </w:pPr>
            <w:r>
              <w:rPr>
                <w:rFonts w:ascii="Arial" w:cs="Arial" w:eastAsia="Arial" w:hAnsi="Arial"/>
                <w:sz w:val="18"/>
                <w:szCs w:val="18"/>
                <w:color w:val="auto"/>
                <w:w w:val="92"/>
              </w:rPr>
              <w:t>Bruce Whaley</w:t>
            </w:r>
          </w:p>
        </w:tc>
        <w:tc>
          <w:tcPr>
            <w:tcW w:w="390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13,434,170</w:t>
            </w:r>
          </w:p>
        </w:tc>
        <w:tc>
          <w:tcPr>
            <w:tcW w:w="422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52,153</w:t>
            </w:r>
          </w:p>
        </w:tc>
      </w:tr>
    </w:tbl>
    <w:p>
      <w:pPr>
        <w:spacing w:after="0" w:line="187" w:lineRule="exact"/>
        <w:rPr>
          <w:sz w:val="20"/>
          <w:szCs w:val="20"/>
          <w:color w:val="auto"/>
        </w:rPr>
      </w:pPr>
    </w:p>
    <w:p>
      <w:pPr>
        <w:ind w:left="180" w:hanging="10"/>
        <w:spacing w:after="0" w:line="277" w:lineRule="auto"/>
        <w:tabs>
          <w:tab w:leader="none" w:pos="381"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Advisory Vote on the compensation of the Company’s named executive officers: Shareholders approved the compensation of the Company’s named executive officers.</w:t>
      </w:r>
    </w:p>
    <w:p>
      <w:pPr>
        <w:spacing w:after="0" w:line="170"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Votes For</w:t>
            </w:r>
          </w:p>
        </w:tc>
        <w:tc>
          <w:tcPr>
            <w:tcW w:w="500" w:type="dxa"/>
            <w:vAlign w:val="bottom"/>
          </w:tcPr>
          <w:p>
            <w:pPr>
              <w:spacing w:after="0"/>
              <w:rPr>
                <w:sz w:val="20"/>
                <w:szCs w:val="20"/>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Votes Against</w:t>
            </w:r>
          </w:p>
        </w:tc>
        <w:tc>
          <w:tcPr>
            <w:tcW w:w="480" w:type="dxa"/>
            <w:vAlign w:val="bottom"/>
          </w:tcPr>
          <w:p>
            <w:pPr>
              <w:spacing w:after="0"/>
              <w:rPr>
                <w:sz w:val="20"/>
                <w:szCs w:val="20"/>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Votes Abstained</w:t>
            </w:r>
          </w:p>
        </w:tc>
      </w:tr>
      <w:tr>
        <w:trPr>
          <w:trHeight w:val="210"/>
        </w:trPr>
        <w:tc>
          <w:tcPr>
            <w:tcW w:w="298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13,388,606</w:t>
            </w:r>
          </w:p>
        </w:tc>
        <w:tc>
          <w:tcPr>
            <w:tcW w:w="3480" w:type="dxa"/>
            <w:vAlign w:val="bottom"/>
            <w:gridSpan w:val="2"/>
            <w:shd w:val="clear" w:color="auto" w:fill="CCEEFF"/>
          </w:tcPr>
          <w:p>
            <w:pPr>
              <w:jc w:val="right"/>
              <w:ind w:right="1170"/>
              <w:spacing w:after="0"/>
              <w:rPr>
                <w:sz w:val="20"/>
                <w:szCs w:val="20"/>
                <w:color w:val="auto"/>
              </w:rPr>
            </w:pPr>
            <w:r>
              <w:rPr>
                <w:rFonts w:ascii="Arial" w:cs="Arial" w:eastAsia="Arial" w:hAnsi="Arial"/>
                <w:sz w:val="18"/>
                <w:szCs w:val="18"/>
                <w:color w:val="auto"/>
              </w:rPr>
              <w:t>86,267</w:t>
            </w:r>
          </w:p>
        </w:tc>
        <w:tc>
          <w:tcPr>
            <w:tcW w:w="3460" w:type="dxa"/>
            <w:vAlign w:val="bottom"/>
            <w:gridSpan w:val="2"/>
            <w:shd w:val="clear" w:color="auto" w:fill="CCEEFF"/>
          </w:tcPr>
          <w:p>
            <w:pPr>
              <w:jc w:val="right"/>
              <w:ind w:right="1170"/>
              <w:spacing w:after="0"/>
              <w:rPr>
                <w:sz w:val="20"/>
                <w:szCs w:val="20"/>
                <w:color w:val="auto"/>
              </w:rPr>
            </w:pPr>
            <w:r>
              <w:rPr>
                <w:rFonts w:ascii="Arial" w:cs="Arial" w:eastAsia="Arial" w:hAnsi="Arial"/>
                <w:sz w:val="18"/>
                <w:szCs w:val="18"/>
                <w:color w:val="auto"/>
              </w:rPr>
              <w:t>11,450</w:t>
            </w:r>
          </w:p>
        </w:tc>
      </w:tr>
    </w:tbl>
    <w:p>
      <w:pPr>
        <w:spacing w:after="0" w:line="202" w:lineRule="exact"/>
        <w:rPr>
          <w:sz w:val="20"/>
          <w:szCs w:val="20"/>
          <w:color w:val="auto"/>
        </w:rPr>
      </w:pPr>
    </w:p>
    <w:p>
      <w:pPr>
        <w:ind w:left="180" w:right="20" w:hanging="10"/>
        <w:spacing w:after="0" w:line="277" w:lineRule="auto"/>
        <w:tabs>
          <w:tab w:leader="none" w:pos="389"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Advisory Vote on the frequency of the advisory vote on the compensation of the Company’s named executive officers: Shareholders approved an advisory vote once every three years.</w:t>
      </w:r>
    </w:p>
    <w:p>
      <w:pPr>
        <w:spacing w:after="0" w:line="170"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 Year</w:t>
            </w:r>
          </w:p>
        </w:tc>
        <w:tc>
          <w:tcPr>
            <w:tcW w:w="560" w:type="dxa"/>
            <w:vAlign w:val="bottom"/>
          </w:tcPr>
          <w:p>
            <w:pPr>
              <w:spacing w:after="0"/>
              <w:rPr>
                <w:sz w:val="20"/>
                <w:szCs w:val="20"/>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3"/>
              </w:rPr>
              <w:t>2 Years</w:t>
            </w:r>
          </w:p>
        </w:tc>
        <w:tc>
          <w:tcPr>
            <w:tcW w:w="54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3"/>
              </w:rPr>
              <w:t>3 Years</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Abstained</w:t>
            </w:r>
          </w:p>
        </w:tc>
      </w:tr>
      <w:tr>
        <w:trPr>
          <w:trHeight w:val="210"/>
        </w:trPr>
        <w:tc>
          <w:tcPr>
            <w:tcW w:w="280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rPr>
              <w:t>825,845</w:t>
            </w:r>
          </w:p>
        </w:tc>
        <w:tc>
          <w:tcPr>
            <w:tcW w:w="334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color w:val="auto"/>
              </w:rPr>
              <w:t>8,775</w:t>
            </w:r>
          </w:p>
        </w:tc>
        <w:tc>
          <w:tcPr>
            <w:tcW w:w="280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12,646,841</w:t>
            </w:r>
          </w:p>
        </w:tc>
        <w:tc>
          <w:tcPr>
            <w:tcW w:w="220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4,862</w:t>
            </w:r>
          </w:p>
        </w:tc>
      </w:tr>
    </w:tbl>
    <w:p>
      <w:pPr>
        <w:spacing w:after="0" w:line="202" w:lineRule="exact"/>
        <w:rPr>
          <w:sz w:val="20"/>
          <w:szCs w:val="20"/>
          <w:color w:val="auto"/>
        </w:rPr>
      </w:pPr>
    </w:p>
    <w:p>
      <w:pPr>
        <w:ind w:left="180" w:right="280"/>
        <w:spacing w:after="0" w:line="264" w:lineRule="auto"/>
        <w:rPr>
          <w:sz w:val="20"/>
          <w:szCs w:val="20"/>
          <w:color w:val="auto"/>
        </w:rPr>
      </w:pPr>
      <w:r>
        <w:rPr>
          <w:rFonts w:ascii="Arial" w:cs="Arial" w:eastAsia="Arial" w:hAnsi="Arial"/>
          <w:sz w:val="18"/>
          <w:szCs w:val="18"/>
          <w:color w:val="auto"/>
        </w:rPr>
        <w:t>In accordance with Item 5.07(d) of Form 8-K, the Company hereby discloses its intention to include in its proxy materials an advisory vote on the compensation of its named executive officers once every three years in accordance with the results of the advisory vote on the frequency of the advisory vote on executive compensation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7780" w:type="dxa"/>
            <w:vAlign w:val="bottom"/>
            <w:gridSpan w:val="2"/>
          </w:tcPr>
          <w:p>
            <w:pPr>
              <w:ind w:left="1740"/>
              <w:spacing w:after="0"/>
              <w:rPr>
                <w:sz w:val="20"/>
                <w:szCs w:val="20"/>
                <w:color w:val="auto"/>
              </w:rPr>
            </w:pPr>
            <w:r>
              <w:rPr>
                <w:rFonts w:ascii="Arial" w:cs="Arial" w:eastAsia="Arial" w:hAnsi="Arial"/>
                <w:sz w:val="18"/>
                <w:szCs w:val="18"/>
                <w:color w:val="auto"/>
              </w:rPr>
              <w:t>CLEARONE, INC.</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Date: January 2, 2020</w:t>
            </w:r>
          </w:p>
        </w:tc>
        <w:tc>
          <w:tcPr>
            <w:tcW w:w="7780" w:type="dxa"/>
            <w:vAlign w:val="bottom"/>
            <w:gridSpan w:val="2"/>
          </w:tcPr>
          <w:p>
            <w:pPr>
              <w:ind w:left="1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3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3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2020-01-02T14:07:25Z</dcterms:created>
  <dcterms:modified xsi:type="dcterms:W3CDTF">2020-01-02T14:07:25Z</dcterms:modified>
</cp:coreProperties>
</file>