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4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20" w:right="1920" w:hanging="312"/>
        <w:spacing w:after="0" w:line="282"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2019</w:t>
      </w:r>
    </w:p>
    <w:p>
      <w:pPr>
        <w:spacing w:after="0" w:line="162" w:lineRule="exact"/>
        <w:rPr>
          <w:sz w:val="24"/>
          <w:szCs w:val="24"/>
          <w:color w:val="auto"/>
        </w:rPr>
      </w:pPr>
    </w:p>
    <w:p>
      <w:pPr>
        <w:ind w:left="320" w:right="1940" w:hanging="312"/>
        <w:spacing w:after="0" w:line="282" w:lineRule="auto"/>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70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70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24"/>
        </w:trPr>
        <w:tc>
          <w:tcPr>
            <w:tcW w:w="5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5720" w:type="dxa"/>
            <w:vAlign w:val="bottom"/>
            <w:gridSpan w:val="3"/>
          </w:tcPr>
          <w:p>
            <w:pPr>
              <w:spacing w:after="0"/>
              <w:rPr>
                <w:sz w:val="20"/>
                <w:szCs w:val="20"/>
                <w:color w:val="auto"/>
              </w:rPr>
            </w:pPr>
            <w:r>
              <w:rPr>
                <w:rFonts w:ascii="Arial" w:cs="Arial" w:eastAsia="Arial" w:hAnsi="Arial"/>
                <w:sz w:val="18"/>
                <w:szCs w:val="18"/>
                <w:color w:val="auto"/>
              </w:rPr>
              <w:t>Registrant’s telephone number, including area code: (801) 975-7200</w:t>
            </w: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476" w:right="23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700"/>
          </w:cols>
          <w:pgMar w:left="240" w:top="476" w:right="239" w:bottom="1440" w:gutter="0" w:footer="0" w:header="0"/>
          <w:type w:val="continuous"/>
        </w:sectPr>
      </w:pP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500"/>
              <w:spacing w:after="0"/>
              <w:rPr>
                <w:sz w:val="20"/>
                <w:szCs w:val="20"/>
                <w:color w:val="auto"/>
              </w:rPr>
            </w:pPr>
            <w:r>
              <w:rPr>
                <w:rFonts w:ascii="Arial" w:cs="Arial" w:eastAsia="Arial" w:hAnsi="Arial"/>
                <w:sz w:val="18"/>
                <w:szCs w:val="18"/>
                <w:b w:val="1"/>
                <w:bCs w:val="1"/>
                <w:color w:val="auto"/>
                <w:w w:val="89"/>
              </w:rPr>
              <w:t>Trading Symbol(s)</w:t>
            </w:r>
          </w:p>
        </w:tc>
        <w:tc>
          <w:tcPr>
            <w:tcW w:w="540" w:type="dxa"/>
            <w:vAlign w:val="bottom"/>
          </w:tcPr>
          <w:p>
            <w:pPr>
              <w:spacing w:after="0"/>
              <w:rPr>
                <w:sz w:val="24"/>
                <w:szCs w:val="24"/>
                <w:color w:val="auto"/>
              </w:rPr>
            </w:pPr>
          </w:p>
        </w:tc>
        <w:tc>
          <w:tcPr>
            <w:tcW w:w="4300" w:type="dxa"/>
            <w:vAlign w:val="bottom"/>
          </w:tcPr>
          <w:p>
            <w:pPr>
              <w:ind w:left="48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None</w:t>
            </w:r>
          </w:p>
        </w:tc>
        <w:tc>
          <w:tcPr>
            <w:tcW w:w="5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r>
    </w:tbl>
    <w:p>
      <w:pPr>
        <w:spacing w:after="0" w:line="200" w:lineRule="exact"/>
        <w:rPr>
          <w:sz w:val="24"/>
          <w:szCs w:val="24"/>
          <w:color w:val="auto"/>
        </w:rPr>
      </w:pPr>
    </w:p>
    <w:p>
      <w:pPr>
        <w:spacing w:after="0" w:line="217"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May 15, 2019 was 16,630,597.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MARCH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100" w:type="dxa"/>
            <w:vAlign w:val="bottom"/>
            <w:gridSpan w:val="19"/>
            <w:shd w:val="clear" w:color="auto" w:fill="CCEEFF"/>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600" w:type="dxa"/>
            <w:vAlign w:val="bottom"/>
            <w:tcBorders>
              <w:bottom w:val="single" w:sz="8" w:color="CCEEFF"/>
            </w:tcBorders>
            <w:gridSpan w:val="12"/>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00" w:type="dxa"/>
            <w:vAlign w:val="bottom"/>
            <w:gridSpan w:val="18"/>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2019 and December 31, 2018</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tcBorders>
              <w:bottom w:val="single" w:sz="8" w:color="0000EE"/>
            </w:tcBorders>
            <w:gridSpan w:val="17"/>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Loss for the three months ended March 31, 2019 and</w:t>
              </w:r>
            </w:hyperlink>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gridSpan w:val="3"/>
          </w:tcPr>
          <w:p>
            <w:pPr>
              <w:ind w:left="200"/>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2018</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00" w:type="dxa"/>
            <w:vAlign w:val="bottom"/>
            <w:gridSpan w:val="1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 for the three months ended March 31, 2019 and 2018</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00" w:type="dxa"/>
            <w:vAlign w:val="bottom"/>
            <w:gridSpan w:val="1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10100" w:type="dxa"/>
            <w:vAlign w:val="bottom"/>
            <w:gridSpan w:val="19"/>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100" w:type="dxa"/>
            <w:vAlign w:val="bottom"/>
            <w:gridSpan w:val="19"/>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10100" w:type="dxa"/>
            <w:vAlign w:val="bottom"/>
            <w:gridSpan w:val="1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100" w:type="dxa"/>
            <w:vAlign w:val="bottom"/>
            <w:gridSpan w:val="19"/>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0100" w:type="dxa"/>
            <w:vAlign w:val="bottom"/>
            <w:gridSpan w:val="1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10100" w:type="dxa"/>
            <w:vAlign w:val="bottom"/>
            <w:gridSpan w:val="1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10100" w:type="dxa"/>
            <w:vAlign w:val="bottom"/>
            <w:gridSpan w:val="1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100" w:type="dxa"/>
            <w:vAlign w:val="bottom"/>
            <w:gridSpan w:val="1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10100" w:type="dxa"/>
            <w:vAlign w:val="bottom"/>
            <w:gridSpan w:val="1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10100" w:type="dxa"/>
            <w:vAlign w:val="bottom"/>
            <w:gridSpan w:val="1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tcPr>
          <w:p>
            <w:pPr>
              <w:spacing w:after="0" w:line="17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9500" w:type="dxa"/>
            <w:vAlign w:val="bottom"/>
            <w:gridSpan w:val="16"/>
          </w:tcPr>
          <w:p>
            <w:pPr>
              <w:spacing w:after="0"/>
              <w:rPr>
                <w:sz w:val="15"/>
                <w:szCs w:val="15"/>
                <w:color w:val="auto"/>
              </w:rPr>
            </w:pPr>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80" w:type="dxa"/>
            <w:vAlign w:val="bottom"/>
            <w:gridSpan w:val="14"/>
          </w:tcPr>
          <w:p>
            <w:pPr>
              <w:ind w:left="4780"/>
              <w:spacing w:after="0"/>
              <w:rPr>
                <w:sz w:val="20"/>
                <w:szCs w:val="20"/>
                <w:color w:val="auto"/>
              </w:rPr>
            </w:pPr>
            <w:r>
              <w:rPr>
                <w:rFonts w:ascii="Arial" w:cs="Arial" w:eastAsia="Arial" w:hAnsi="Arial"/>
                <w:sz w:val="18"/>
                <w:szCs w:val="18"/>
                <w:color w:val="auto"/>
              </w:rPr>
              <w:t>1</w:t>
            </w: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March 31, 2019</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66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4,326</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$649 and $631, respectively</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 right of use assets, net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57,936</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16,630,597 and 16,630,597 shares issued and</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(7,824)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57,936</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100" w:type="dxa"/>
            <w:vAlign w:val="bottom"/>
          </w:tcPr>
          <w:p>
            <w:pPr>
              <w:spacing w:after="0" w:line="196" w:lineRule="exact"/>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7"/>
                <w:szCs w:val="17"/>
                <w:color w:val="auto"/>
              </w:rPr>
            </w:pPr>
          </w:p>
        </w:tc>
        <w:tc>
          <w:tcPr>
            <w:tcW w:w="14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16,630,597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8,307,125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16,630,597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(2,306)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8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(2,349)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right-of-use assets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(recoveries of) doubtful accounts, net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Change of inventory to net realizable value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Purchase of intangibles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Capitalized patent defense costs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(4,764)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(5,591)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Dividend payments</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and cancellation of stock</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(6,885)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4,326</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2019 and December 31, 2018, the results of operations for the three months ended March 31, 2019 and 2018, and the cash flows for the three months ended March 31, 2019 and 2018. The results of operations for the three months ended March 31, 2019 and 2018 are not necessarily indicative of the results for a full-year period. These interim unaudited condensed consolidated financial statements should be read in conjunction with the financial statements included in our Annual Report on Form 10-K for the year ended December 31, 2018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significant accounting policies were described in Note 1 to the audited consolidated financial statements included in the Company’s annual report on Form 10-K for the year ended December 31, 2018. There have been no changes to these policies during the three months ended March 31, 2019 that are of significance or potential significance to the Company except for the change in accounting for leases as described below.</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Recent accounting standard related to Leases: </w:t>
      </w:r>
      <w:r>
        <w:rPr>
          <w:rFonts w:ascii="Arial" w:cs="Arial" w:eastAsia="Arial" w:hAnsi="Arial"/>
          <w:sz w:val="16"/>
          <w:szCs w:val="16"/>
          <w:color w:val="auto"/>
        </w:rPr>
        <w:t>In February 2016, the FASB issued ASU 2016-02, Leases (“ASU 2016-02”). This new standard establishes a</w:t>
      </w:r>
      <w:r>
        <w:rPr>
          <w:rFonts w:ascii="Arial" w:cs="Arial" w:eastAsia="Arial" w:hAnsi="Arial"/>
          <w:sz w:val="16"/>
          <w:szCs w:val="16"/>
          <w:i w:val="1"/>
          <w:iCs w:val="1"/>
          <w:color w:val="auto"/>
        </w:rPr>
        <w:t xml:space="preserve"> </w:t>
      </w:r>
      <w:r>
        <w:rPr>
          <w:rFonts w:ascii="Arial" w:cs="Arial" w:eastAsia="Arial" w:hAnsi="Arial"/>
          <w:sz w:val="16"/>
          <w:szCs w:val="16"/>
          <w:color w:val="auto"/>
        </w:rPr>
        <w:t>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has adopted the requirements of ASU 2016-02 on January 1, 2019, the first day of fiscal year 2019, using the optional transition method. The Company elected to use certain practical expedient options, which allows an entity not to reassess whether any existing or expired contracts contain leases. There was an increase in assets of $2,966 and liabilities of $3,101 due to the recognition of the required right-of-use asset and corresponding liability for all lease obligations that are currently classified as operating leases with the difference of $135 related to existing deferred rent that reduced the ROU asset recorded. The standard did not have a material impact on our condensed consolidated statements of operations and comprehensive loss.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Accounting Policy related to Leases: </w:t>
      </w:r>
      <w:r>
        <w:rPr>
          <w:rFonts w:ascii="Arial" w:cs="Arial" w:eastAsia="Arial" w:hAnsi="Arial"/>
          <w:sz w:val="18"/>
          <w:szCs w:val="18"/>
          <w:color w:val="auto"/>
        </w:rPr>
        <w:t>We determine if an arrangement is a lease at inception. Operating leases are included in operating lease -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(“ROU”) assets, accrued liabilities, and operating lease liability in our consolidated balance sheets. As of adoption of ASC 842 and as of March 31, 2019 and December 31, 2018, the Company was not party to finance lease arrangements.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recent accounting pronouncements: </w:t>
      </w:r>
      <w:r>
        <w:rPr>
          <w:rFonts w:ascii="Arial" w:cs="Arial" w:eastAsia="Arial" w:hAnsi="Arial"/>
          <w:sz w:val="18"/>
          <w:szCs w:val="18"/>
          <w:color w:val="auto"/>
        </w:rPr>
        <w:t>The Company has determined that other recently issued accounting standards will either have no material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consolidated financial position, results of operations or cash flows, or will not apply to its operations.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2. Revenue Information</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tcPr>
          <w:p>
            <w:pPr>
              <w:spacing w:after="0"/>
              <w:rPr>
                <w:sz w:val="20"/>
                <w:szCs w:val="20"/>
                <w:color w:val="auto"/>
              </w:rPr>
            </w:pPr>
            <w:r>
              <w:rPr>
                <w:rFonts w:ascii="Arial" w:cs="Arial" w:eastAsia="Arial" w:hAnsi="Arial"/>
                <w:sz w:val="18"/>
                <w:szCs w:val="18"/>
                <w:color w:val="auto"/>
                <w:w w:val="99"/>
              </w:rPr>
              <w:t>The following table disaggregates the Company’s revenue into primary product groups: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Three months</w:t>
            </w: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Three months</w:t>
            </w:r>
          </w:p>
        </w:tc>
      </w:tr>
      <w:tr>
        <w:trPr>
          <w:trHeight w:val="216"/>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ended</w:t>
            </w: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6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2,711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Microphones</w:t>
            </w:r>
          </w:p>
        </w:tc>
        <w:tc>
          <w:tcPr>
            <w:tcW w:w="160" w:type="dxa"/>
            <w:vAlign w:val="bottom"/>
          </w:tcPr>
          <w:p>
            <w:pPr>
              <w:spacing w:after="0"/>
              <w:rPr>
                <w:sz w:val="18"/>
                <w:szCs w:val="18"/>
                <w:color w:val="auto"/>
              </w:rPr>
            </w:pPr>
          </w:p>
        </w:tc>
        <w:tc>
          <w:tcPr>
            <w:tcW w:w="1380" w:type="dxa"/>
            <w:vAlign w:val="bottom"/>
          </w:tcPr>
          <w:p>
            <w:pPr>
              <w:ind w:left="980"/>
              <w:spacing w:after="0"/>
              <w:rPr>
                <w:sz w:val="20"/>
                <w:szCs w:val="20"/>
                <w:color w:val="auto"/>
              </w:rPr>
            </w:pPr>
            <w:r>
              <w:rPr>
                <w:rFonts w:ascii="Arial" w:cs="Arial" w:eastAsia="Arial" w:hAnsi="Arial"/>
                <w:sz w:val="18"/>
                <w:szCs w:val="18"/>
                <w:color w:val="auto"/>
                <w:w w:val="84"/>
              </w:rPr>
              <w:t>2,106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2,310</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4"/>
              </w:rPr>
              <w:t>1,488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4"/>
              </w:rPr>
              <w:t>6,305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8"/>
                <w:szCs w:val="18"/>
                <w:color w:val="auto"/>
              </w:rPr>
            </w:pPr>
          </w:p>
        </w:tc>
      </w:tr>
      <w:tr>
        <w:trPr>
          <w:trHeight w:val="407"/>
        </w:trPr>
        <w:tc>
          <w:tcPr>
            <w:tcW w:w="6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Three months</w:t>
            </w: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Three months</w:t>
            </w:r>
          </w:p>
        </w:tc>
      </w:tr>
      <w:tr>
        <w:trPr>
          <w:trHeight w:val="216"/>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ended</w:t>
            </w: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6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4"/>
              </w:rPr>
              <w:t>3,760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160" w:type="dxa"/>
            <w:vAlign w:val="bottom"/>
          </w:tcPr>
          <w:p>
            <w:pPr>
              <w:spacing w:after="0"/>
              <w:rPr>
                <w:sz w:val="18"/>
                <w:szCs w:val="18"/>
                <w:color w:val="auto"/>
              </w:rPr>
            </w:pPr>
          </w:p>
        </w:tc>
        <w:tc>
          <w:tcPr>
            <w:tcW w:w="1380" w:type="dxa"/>
            <w:vAlign w:val="bottom"/>
          </w:tcPr>
          <w:p>
            <w:pPr>
              <w:ind w:left="980"/>
              <w:spacing w:after="0"/>
              <w:rPr>
                <w:sz w:val="20"/>
                <w:szCs w:val="20"/>
                <w:color w:val="auto"/>
              </w:rPr>
            </w:pPr>
            <w:r>
              <w:rPr>
                <w:rFonts w:ascii="Arial" w:cs="Arial" w:eastAsia="Arial" w:hAnsi="Arial"/>
                <w:sz w:val="18"/>
                <w:szCs w:val="18"/>
                <w:color w:val="auto"/>
                <w:w w:val="84"/>
              </w:rPr>
              <w:t>1,864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r>
      <w:tr>
        <w:trPr>
          <w:trHeight w:val="210"/>
        </w:trPr>
        <w:tc>
          <w:tcPr>
            <w:tcW w:w="69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4"/>
              </w:rPr>
              <w:t>6,305</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Borders>
              <w:top w:val="single" w:sz="8" w:color="CCEEFF"/>
            </w:tcBorders>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(2,349)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16,630,597</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8,307,125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16,630,597</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8,307,125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587,184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748,078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March 31, 2019 and December 31, 2018 were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 and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 bonds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available-for-sale securities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Estimated fair</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74"/>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20"/>
                <w:szCs w:val="20"/>
                <w:color w:val="auto"/>
              </w:rPr>
            </w:pPr>
          </w:p>
        </w:tc>
      </w:tr>
      <w:tr>
        <w:trPr>
          <w:trHeight w:val="627"/>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5,490</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3,633</w:t>
            </w: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9,099</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-719455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-445135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-162560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2,911</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Municipal bonds</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r>
      <w:tr>
        <w:trPr>
          <w:trHeight w:val="20"/>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Amortized 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2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ind w:left="180"/>
              <w:spacing w:after="0" w:line="196" w:lineRule="exact"/>
              <w:rPr>
                <w:sz w:val="20"/>
                <w:szCs w:val="20"/>
                <w:color w:val="auto"/>
              </w:rPr>
            </w:pPr>
            <w:r>
              <w:rPr>
                <w:rFonts w:ascii="Arial" w:cs="Arial" w:eastAsia="Arial" w:hAnsi="Arial"/>
                <w:sz w:val="18"/>
                <w:szCs w:val="18"/>
                <w:color w:val="auto"/>
              </w:rPr>
              <w:t>Total available-for-sale securities</w:t>
            </w:r>
          </w:p>
        </w:tc>
        <w:tc>
          <w:tcPr>
            <w:tcW w:w="28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9,099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9,123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720" w:type="dxa"/>
            <w:vAlign w:val="bottom"/>
            <w:vMerge w:val="restart"/>
          </w:tcPr>
          <w:p>
            <w:pPr>
              <w:jc w:val="right"/>
              <w:ind w:right="105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in an unrealized loss position as of March 31, 2019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Pr>
          <w:p>
            <w:pPr>
              <w:spacing w:after="0"/>
              <w:rPr>
                <w:sz w:val="20"/>
                <w:szCs w:val="20"/>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More than 12 months</w:t>
            </w:r>
          </w:p>
        </w:tc>
        <w:tc>
          <w:tcPr>
            <w:tcW w:w="24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Estimated fair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holding 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holding 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holding 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2019</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2019 and December 31, 2018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260" w:type="dxa"/>
            <w:vAlign w:val="bottom"/>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lives (years)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5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14,548</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13,377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tcPr>
          <w:p>
            <w:pPr>
              <w:ind w:left="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0"/>
        </w:trPr>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18,407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(7,305)</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(6,987)</w:t>
            </w:r>
          </w:p>
        </w:tc>
      </w:tr>
      <w:tr>
        <w:trPr>
          <w:trHeight w:val="20"/>
        </w:trPr>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2019 and 2018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2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1140" w:type="dxa"/>
            <w:vAlign w:val="bottom"/>
          </w:tcPr>
          <w:p>
            <w:pPr>
              <w:spacing w:after="0"/>
              <w:rPr>
                <w:sz w:val="18"/>
                <w:szCs w:val="18"/>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w w:val="91"/>
              </w:rPr>
              <w:t>The estimated future amortization expense of intangible assets is as follows:</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Amount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(Remainder)</w:t>
            </w:r>
          </w:p>
        </w:tc>
        <w:tc>
          <w:tcPr>
            <w:tcW w:w="182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2020</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1,126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2022</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1,126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1,033</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Thereafter</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5,751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11,102</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20" w:type="dxa"/>
            <w:vAlign w:val="bottom"/>
          </w:tcPr>
          <w:p>
            <w:pPr>
              <w:spacing w:after="0"/>
              <w:rPr>
                <w:sz w:val="24"/>
                <w:szCs w:val="24"/>
                <w:color w:val="auto"/>
              </w:rPr>
            </w:pPr>
          </w:p>
        </w:tc>
        <w:tc>
          <w:tcPr>
            <w:tcW w:w="556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1050"/>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March 31, 2019 and December 31, 2018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2019</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12,331</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during the three months ended March 31, 2019 and 2018 was $185 and $255,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and Deferred Rent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is recognized on a straight-line basis over the period of the lease taking into account future rent escalation and holiday periods. Rent expense was $171 and $246, for the three months ended March 31, 2019 and 2018, respectively.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occupy a 5,000 square-foot facility in Gainesville, Florida under the terms of an operating lease that expires in February 2021 with the possibility of renewing the lease for 10 more years. The Gainesville facility was used primarily to support our research and development activities.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10,700 square-foot warehouse in Shenzhen, China under the terms of an operating lease expiring in September 2019, which serves as manufacturing support center for Asia.</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a 7,070 square-foot facility in Austin, Texas - under the terms of an operating lease expiring in October 2019. This facility support our sales, marketing, customer support, and research and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2020. This office supports our research and development and customer support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6,175 square-foot facility in Chennai, India - under the terms of an operating lease expiring in August 2021. This facility support our administrative, marketing, customer support, and research and product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3"/>
              </w:rPr>
              <w:t>ended March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31, 2019</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March 31, 2019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 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remaining lease term for operating leases</w:t>
            </w:r>
          </w:p>
        </w:tc>
        <w:tc>
          <w:tcPr>
            <w:tcW w:w="100" w:type="dxa"/>
            <w:vAlign w:val="bottom"/>
          </w:tcPr>
          <w:p>
            <w:pPr>
              <w:spacing w:after="0"/>
              <w:rPr>
                <w:sz w:val="18"/>
                <w:szCs w:val="18"/>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w w:val="94"/>
              </w:rPr>
              <w:t>5.3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for operating leases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maturities of operating lease liabilities as of March 31,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Remainder of 2019</w:t>
            </w:r>
          </w:p>
        </w:tc>
        <w:tc>
          <w:tcPr>
            <w:tcW w:w="2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2021</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2023</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660"/>
              <w:spacing w:after="0"/>
              <w:rPr>
                <w:sz w:val="20"/>
                <w:szCs w:val="20"/>
                <w:color w:val="auto"/>
              </w:rPr>
            </w:pPr>
            <w:r>
              <w:rPr>
                <w:rFonts w:ascii="Arial" w:cs="Arial" w:eastAsia="Arial" w:hAnsi="Arial"/>
                <w:sz w:val="18"/>
                <w:szCs w:val="18"/>
                <w:color w:val="auto"/>
              </w:rPr>
              <w:t>Total lease payments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3,455</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80" w:type="dxa"/>
            <w:vAlign w:val="bottom"/>
            <w:vMerge w:val="restart"/>
          </w:tcPr>
          <w:p>
            <w:pPr>
              <w:jc w:val="right"/>
              <w:ind w:right="49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8. Shareholders' Equity</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Three months</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ended March</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ended March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31, 2019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31, 2018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paid-in capital</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57,840</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Proceeds from employee stock purchase plan</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57,923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 (accumulated deficit)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(5,475)</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Cash dividends, $0.07 per share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Impact on retained earnings for change in revenue recognition policy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(7,824)</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49,979</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share-based incentive plans offering stock options are offered under the Company’s 2007 Equity Incentive Plan (the “2007 Plan”), which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As of March 31, 2019, there were 570,523 options outstanding under the 2007 Plan. As of March 31, 2019, the 2007 Plan had 924,571 authorized unissued options.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three months ended March 31,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Number of</w:t>
            </w: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(53,733)</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March 31,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Options exercisable at end of March 31, 2019</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514,438</w:t>
            </w:r>
          </w:p>
        </w:tc>
        <w:tc>
          <w:tcPr>
            <w:tcW w:w="1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the total remaining unrecognized compensation cost related to non-vested stock options, net of forfeitures, was approximately $191, which will be recognized over a weighted average period of 1.02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Share-based compensation expense has been recorded as follows:</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900" w:type="dxa"/>
            <w:vAlign w:val="bottom"/>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60" w:type="dxa"/>
            <w:vAlign w:val="bottom"/>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r>
      <w:tr>
        <w:trPr>
          <w:trHeight w:val="250"/>
        </w:trPr>
        <w:tc>
          <w:tcPr>
            <w:tcW w:w="69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March 31, 2019 and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2019</w:t>
            </w: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5,490</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r>
      <w:tr>
        <w:trPr>
          <w:trHeight w:val="20"/>
        </w:trPr>
        <w:tc>
          <w:tcPr>
            <w:tcW w:w="6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9,123</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9,123</w:t>
            </w:r>
          </w:p>
        </w:tc>
      </w:tr>
      <w:tr>
        <w:trPr>
          <w:trHeight w:val="20"/>
        </w:trPr>
        <w:tc>
          <w:tcPr>
            <w:tcW w:w="6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2,881</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r>
      <w:tr>
        <w:trPr>
          <w:trHeight w:val="20"/>
        </w:trPr>
        <w:tc>
          <w:tcPr>
            <w:tcW w:w="6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4,715</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4,715</w:t>
            </w:r>
          </w:p>
        </w:tc>
      </w:tr>
      <w:tr>
        <w:trPr>
          <w:trHeight w:val="20"/>
        </w:trPr>
        <w:tc>
          <w:tcPr>
            <w:tcW w:w="6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20"/>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tob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2018.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2018.</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w:t>
      </w:r>
    </w:p>
    <w:p>
      <w:pPr>
        <w:spacing w:after="0" w:line="14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4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During the first quarter of 2019, we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w:t>
      </w:r>
    </w:p>
    <w:p>
      <w:pPr>
        <w:spacing w:after="0" w:line="199" w:lineRule="exact"/>
        <w:rPr>
          <w:sz w:val="20"/>
          <w:szCs w:val="20"/>
          <w:color w:val="auto"/>
        </w:rPr>
      </w:pPr>
    </w:p>
    <w:p>
      <w:pPr>
        <w:jc w:val="both"/>
        <w:ind w:right="140"/>
        <w:spacing w:after="0" w:line="269" w:lineRule="auto"/>
        <w:rPr>
          <w:sz w:val="20"/>
          <w:szCs w:val="20"/>
          <w:color w:val="auto"/>
        </w:rPr>
      </w:pPr>
      <w:r>
        <w:rPr>
          <w:rFonts w:ascii="Arial" w:cs="Arial" w:eastAsia="Arial" w:hAnsi="Arial"/>
          <w:sz w:val="16"/>
          <w:szCs w:val="16"/>
          <w:color w:val="auto"/>
        </w:rPr>
        <w:t>We also introduced COLLABORATE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Space to our growing family of collaboration solutions. It’s a suite that unifies messaging, calls and meetings and will energize workflows and increase productivity for everyone involved in the enterprise. Designed as a persistent, user-friendly collaboration suite, COLLABORATE Space contains many powerful UCC capabilities, as well as the seamless ability to make calls outside the network. 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16" w:name="page17"/>
    <w:bookmarkEnd w:id="16"/>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During the first quarter, we continued our serious litigation efforts to stop infringement of our strategic patents. We also continue our programs to cut costs and to speed up product development that we believe will enable us to get back to a growth path.</w:t>
      </w:r>
    </w:p>
    <w:p>
      <w:pPr>
        <w:spacing w:after="0" w:line="170" w:lineRule="exact"/>
        <w:rPr>
          <w:sz w:val="20"/>
          <w:szCs w:val="20"/>
          <w:color w:val="auto"/>
        </w:rPr>
      </w:pPr>
    </w:p>
    <w:p>
      <w:pPr>
        <w:ind w:left="20"/>
        <w:spacing w:after="0" w:line="342" w:lineRule="auto"/>
        <w:rPr>
          <w:sz w:val="20"/>
          <w:szCs w:val="20"/>
          <w:color w:val="auto"/>
        </w:rPr>
      </w:pPr>
      <w:r>
        <w:rPr>
          <w:rFonts w:ascii="Arial" w:cs="Arial" w:eastAsia="Arial" w:hAnsi="Arial"/>
          <w:sz w:val="16"/>
          <w:szCs w:val="16"/>
          <w:color w:val="auto"/>
        </w:rPr>
        <w:t>Overall revenue declined in the first quarter of 2019 when compared to the first quarter of 2018, with declines seen in all product categories except video. We believe the on-going infringement of ClearOne’s patents is the major cause of our revenue decline in the audio conferencing and microphones categories.</w:t>
      </w:r>
    </w:p>
    <w:p>
      <w:pPr>
        <w:spacing w:after="0" w:line="124"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Our gross profit margin decreased to 43% during the first quarter of 2019 from 56% for the first quarter of 2018. Gross profit margin decreased primarily due to reduced overhead absorption into inventory as we continue to reduce our net spend on inventory.</w:t>
      </w:r>
    </w:p>
    <w:p>
      <w:pPr>
        <w:spacing w:after="0" w:line="170" w:lineRule="exact"/>
        <w:rPr>
          <w:sz w:val="20"/>
          <w:szCs w:val="20"/>
          <w:color w:val="auto"/>
        </w:rPr>
      </w:pPr>
    </w:p>
    <w:p>
      <w:pPr>
        <w:ind w:left="20" w:right="120"/>
        <w:spacing w:after="0" w:line="277" w:lineRule="auto"/>
        <w:rPr>
          <w:sz w:val="20"/>
          <w:szCs w:val="20"/>
          <w:color w:val="auto"/>
        </w:rPr>
      </w:pPr>
      <w:r>
        <w:rPr>
          <w:rFonts w:ascii="Arial" w:cs="Arial" w:eastAsia="Arial" w:hAnsi="Arial"/>
          <w:sz w:val="18"/>
          <w:szCs w:val="18"/>
          <w:color w:val="auto"/>
        </w:rPr>
        <w:t>Net loss increased from $1.8 million in the first quarter of 2018 to $2.3 million in the first quarter of 2019. The increase in net loss in 2019 was primarily due to reduced gross profit and reduced tax benefit partially offset by reduction in operating expenses.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93"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Revenue from our video products are critical to our long-term growth. We face intense competition in this market from well-established market leaders as well as emerging players rich with marketing funds. We expect our strategy of combining Spontania, our cloud-based video conferencing product, Collaborate, our appliance-based media collaboration product, our high-quality professional cameras, and our high-end audio conferencing technology will generate high growth in the near future. We believe we are also well positioned to capitalize on the continuing migration away from the traditional hardware-based video conferencing systems to software-based video conferencing applications.</w:t>
      </w:r>
    </w:p>
    <w:p>
      <w:pPr>
        <w:spacing w:after="0" w:line="17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derive a major portion of our revenue (approximately 47% for the year ended December 31, 2018)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Results of Operations for the first quarter of 2019</w:t>
      </w:r>
    </w:p>
    <w:p>
      <w:pPr>
        <w:spacing w:after="0" w:line="225" w:lineRule="exact"/>
        <w:rPr>
          <w:sz w:val="20"/>
          <w:szCs w:val="20"/>
          <w:color w:val="auto"/>
        </w:rPr>
      </w:pPr>
    </w:p>
    <w:p>
      <w:pPr>
        <w:ind w:left="20"/>
        <w:spacing w:after="0" w:line="342" w:lineRule="auto"/>
        <w:rPr>
          <w:sz w:val="20"/>
          <w:szCs w:val="20"/>
          <w:color w:val="auto"/>
        </w:rPr>
      </w:pPr>
      <w:r>
        <w:rPr>
          <w:rFonts w:ascii="Arial" w:cs="Arial" w:eastAsia="Arial" w:hAnsi="Arial"/>
          <w:sz w:val="16"/>
          <w:szCs w:val="16"/>
          <w:color w:val="auto"/>
        </w:rPr>
        <w:t>The following table sets forth certain items from our unaudited condensed consolidated statements of operations (dollars in thousands) for the three months ended March 31, 2019 (“2019-Q1”) and 2018 (“2018-Q1”), respectively, together with the percentage of total revenue which each such item represents: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17" w:name="page18"/>
    <w:bookmarkEnd w:id="17"/>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Change 2019-</w:t>
            </w:r>
          </w:p>
        </w:tc>
        <w:tc>
          <w:tcPr>
            <w:tcW w:w="0" w:type="dxa"/>
            <w:vAlign w:val="bottom"/>
          </w:tcPr>
          <w:p>
            <w:pPr>
              <w:spacing w:after="0"/>
              <w:rPr>
                <w:sz w:val="1"/>
                <w:szCs w:val="1"/>
                <w:color w:val="auto"/>
              </w:rPr>
            </w:pPr>
          </w:p>
        </w:tc>
      </w:tr>
      <w:tr>
        <w:trPr>
          <w:trHeight w:val="234"/>
        </w:trPr>
        <w:tc>
          <w:tcPr>
            <w:tcW w:w="32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2019-Q1</w:t>
            </w:r>
          </w:p>
        </w:tc>
        <w:tc>
          <w:tcPr>
            <w:tcW w:w="14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2018-Q1</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Q1 vs 2018-Q1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6,305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7,289</w:t>
            </w:r>
          </w:p>
        </w:tc>
        <w:tc>
          <w:tcPr>
            <w:tcW w:w="140" w:type="dxa"/>
            <w:vAlign w:val="bottom"/>
          </w:tcPr>
          <w:p>
            <w:pPr>
              <w:spacing w:after="0"/>
              <w:rPr>
                <w:sz w:val="16"/>
                <w:szCs w:val="16"/>
                <w:color w:val="auto"/>
              </w:rPr>
            </w:pPr>
          </w:p>
        </w:tc>
        <w:tc>
          <w:tcPr>
            <w:tcW w:w="14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3,190</w:t>
            </w: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2,704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4,099</w:t>
            </w:r>
          </w:p>
        </w:tc>
        <w:tc>
          <w:tcPr>
            <w:tcW w:w="140" w:type="dxa"/>
            <w:vAlign w:val="bottom"/>
          </w:tcPr>
          <w:p>
            <w:pPr>
              <w:spacing w:after="0"/>
              <w:rPr>
                <w:sz w:val="16"/>
                <w:szCs w:val="16"/>
                <w:color w:val="auto"/>
              </w:rPr>
            </w:pPr>
          </w:p>
        </w:tc>
        <w:tc>
          <w:tcPr>
            <w:tcW w:w="14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2,868</w:t>
            </w: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2,056</w:t>
            </w: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1,617</w:t>
            </w: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(2,391)</w:t>
            </w: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(2,442)</w:t>
            </w:r>
          </w:p>
        </w:tc>
        <w:tc>
          <w:tcPr>
            <w:tcW w:w="140" w:type="dxa"/>
            <w:vAlign w:val="bottom"/>
            <w:vMerge w:val="continue"/>
          </w:tcPr>
          <w:p>
            <w:pPr>
              <w:spacing w:after="0"/>
              <w:rPr>
                <w:sz w:val="16"/>
                <w:szCs w:val="16"/>
                <w:color w:val="auto"/>
              </w:rPr>
            </w:pPr>
          </w:p>
        </w:tc>
        <w:tc>
          <w:tcPr>
            <w:tcW w:w="14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(2,349)</w:t>
            </w:r>
          </w:p>
        </w:tc>
        <w:tc>
          <w:tcPr>
            <w:tcW w:w="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(2,418)</w:t>
            </w:r>
          </w:p>
        </w:tc>
        <w:tc>
          <w:tcPr>
            <w:tcW w:w="140" w:type="dxa"/>
            <w:vAlign w:val="bottom"/>
            <w:vMerge w:val="continue"/>
          </w:tcPr>
          <w:p>
            <w:pPr>
              <w:spacing w:after="0"/>
              <w:rPr>
                <w:sz w:val="16"/>
                <w:szCs w:val="16"/>
                <w:color w:val="auto"/>
              </w:rPr>
            </w:pPr>
          </w:p>
        </w:tc>
        <w:tc>
          <w:tcPr>
            <w:tcW w:w="14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w w:val="98"/>
              </w:rPr>
              <w:t>Provision for (benefit from) income taxes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(572)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(2,349)</w:t>
            </w:r>
          </w:p>
        </w:tc>
        <w:tc>
          <w:tcPr>
            <w:tcW w:w="140" w:type="dxa"/>
            <w:vAlign w:val="bottom"/>
            <w:gridSpan w:val="2"/>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(1,846)</w:t>
            </w:r>
          </w:p>
        </w:tc>
        <w:tc>
          <w:tcPr>
            <w:tcW w:w="140" w:type="dxa"/>
            <w:vAlign w:val="bottom"/>
            <w:vMerge w:val="continue"/>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Our revenue decreased to $6.3 million in 2019 compared to $7.3 million in 2018. The highest decline was seen in audio conferencing category with 11% decline followed by microphones with 9% decline. Revenue from video products grew by 13% on the back of growth in sales of videoconferencing appliances, cameras and cloud-based videoconferencing services. The decline in audio conferencing category was due to decline in all subcategories including professional installed audio conferencing, personal conferencing and tabletop conferencing. The decline in microphones category was due to decline in beamforming microphones. The on-going infringement of ClearOne’s patents is the major cause of our revenue decline in audio conferencing and microphones categories.</w:t>
      </w:r>
    </w:p>
    <w:p>
      <w:pPr>
        <w:spacing w:after="0" w:line="19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share of audio conferencing products in our product mix declined marginally from 50% in 2018-Q1 to 43% in 2019-Q1. The share of microphones slightly improved from 32% to 33%. Share of video products in the revenue mix increased from 18% to 24%.</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2019-Q1 revenue declined across all major markets except Middle East, India and Central Europe. The decline was more pronounced in the Canada, Australia, Japan and Northern Europe. Asia Pacific including Middle East decreased by 9%, Europe and Africa declined by 14% and Americas declined by 13%.</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believe, although there can be no assurance, that we will return to growth path when our strategic initiatives namely product innovation, cost reduction and defense of our intellectual property succeed.</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Our gross profit for 2019-Q1 was approximately $2.7 million or 43% compared to approximately $4.1 million, or 56%, for 2018-Q1. Gross margin for 2019-Q1 declined mainly due to reduced overhead absorption into inventory due to continued declined in inventory purchasing activity.</w:t>
      </w:r>
    </w:p>
    <w:p>
      <w:pPr>
        <w:spacing w:after="0" w:line="147" w:lineRule="exact"/>
        <w:rPr>
          <w:sz w:val="20"/>
          <w:szCs w:val="20"/>
          <w:color w:val="auto"/>
        </w:rPr>
      </w:pPr>
    </w:p>
    <w:p>
      <w:pPr>
        <w:jc w:val="both"/>
        <w:ind w:left="20" w:right="20"/>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installed audio conferencing products. We hold long-term inventory and if we are unable to sell our long-term inventory, our profitability might be affected by inventory write-offs and price mark-downs.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include sales and marketing (“S&amp;M”) expenses, research and product development (“R&amp;D”) expenses and general and administrative (“G&amp;A”) expenses. Total operating expenses were $5.1 million for 2019-Q1 compared to $6.5 million for 2018-Q1. The following contains a more detailed discussion of expenses related to sales and marketing, research and product development, general and administrative, and other items.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S&amp;M expenses for 2019-Q1 decreased to $2.0 million from $2.9 million for 2018-Q1. The decrease was mainly due to decreases in employee related costs, marketing expenses related to tradeshows, inventory costs for demonstration purposes and commission payments.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 related costs, outside services, expensed materials, depreciation, and an allocation of overhead expenses.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were approximately $1.6 million for 2019-Q1, as compared to $2.1 million for 2018-Q1. The decrease was primarily due to reductions in employee related costs and allocations of overhead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expenses remained almost the same at $1.6 million in 2019-Q1 and 2018-Q1.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foreign currency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marginally increased in 2019-Q1 compared to higher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2019-Q1, we did not recognize any benefit from the losses incurred due to setting up of full valuation allowance. During 2018-Q1 we accrued income taxes at the forecasted effective tax benefit rate of 27.0%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our cash and cash equivalents were approximately $4.3 million compared to $11.2 million as of December 31, 2018. Our working capital was $22.9 million and $28.3 million as of March 31, 2019 and December 31, 2018,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was approximately $1.3 million in 2019-Q1, an increase of cash used of approximately $1.0 million from $0.3 million of cash used in operating activities in 2018-Q1. The increase was primarily due to an increase in cash outflows due to change in operating assets and liabilities of $1.2 million and an increase in net loss by $0.5 million, partially offset by increase in non-cash charges of $0.7 million.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by investing activities was $5.6 million for 2019-Q1 compared to net cash flows provided by investing activities of $1.0 million during the 2018-Q1, an increase in cash used of $6.6 million. The increase was primarily due to an increase in net purchases of marketable securities of approximately $6.8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 discernible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value will result from the defense and a successful outcome of the legal action is probable. When we capitalize patent defense costs we amortize the costs over the remaining estimated useful life of the patent, which is 15 to 17 years. During 2019-Q1 we spent $1.2 million of legal costs related to the defense of our patents and capitalized the entire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financing activities was $9 thousand during 2019-Q1. Net cash used in financing activities was approximately $0.7 million during 2018-Q1, which consisted of cash outflows of $0.1 million on repurchase and cancellation of stock and $0.6 million for dividend payments.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pursuing all available legal remedies to defend our strategic patents from infringement. We have already spent about $9.7 million from 2016 through March 31, 2019 towards this litigation and may be required to spend more to continue our legal defense. We have been actively engaged in preserving cash by suspending our dividend program, allowing the share repurchase program to expire and implementing company-wide cost reduction measures. In addition, we expect to generate additional cash as our inventory levels are brought down to historical levels. We also believe that the measures taken by us will yield higher revenues in the future. We believe all of these and effective management of working capital will provide the liquidity needed to meet our short-term and long-term operating requirements and finance our growth plans. We also believe that our strong portfolio of intellectual property and our solid brand equity in the market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2019, we had open purchase orders related to our electronics manufacturing service providers of approximately $2.1 million, primarily related to inventory purchases.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we had inventory totaling $20.8 million, of which non-current inventory accounted for $8.5 million. This compares to total inventories of $22.2 million and non-current inventory of $9.0 million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Except with respect to our revenue recognition practices included in Note 1. “Business Description, Basis of Presentation and Significant Accounting Policies” under Item 1 of this Form 10-Q, there have been no changes to the critical accounting policies as explained in our Annual Report on Form 10-K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consolidated financial statements included under Item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March 31, 2019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were not effective at a reasonable assurance level as of March 31, 2019 due to the material weakness in internal control over financial reporting as described below.</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identified a material weakness in the operating effectiveness of internal control over financial reporting relating to the accurate and timely reporting of its financial results and disclosures and its testing and assessment of the design and effectiveness of internal controls over financial reporting in a timely manner.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address the material weakness, management is working with our third party internal controls consultant to assist with the implementation of a remediation plan which will supplement the existing controls. The remediation plan will include an assessment of personnel levels and responsibilities, additional training of financial reporting personnel and ability to handle new requirements and projects on a timely basis with respect to the preparation of the consolidated financial statements and public company reporting requirements and timelines. The material weakness will be fully remediated when, in the opinion of management, the control processes have been operating for a sufficient period of time to provide reasonable assurance as to their effectiveness. The remediation and ultimate resolution of the material weakness will be reviewed with the Audit Committee of the Board of Directors.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Except as noted above, there has been no change in the Company's internal control over financial reporting as of March 31, 2019, that has materially affected, or is reasonably likely to materially affect, the Company's internal control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developments during the three months ended March 31, 2019 in the legal proceedings described in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8"/>
                <w:szCs w:val="18"/>
                <w:color w:val="auto"/>
              </w:rPr>
            </w:pPr>
          </w:p>
        </w:tc>
        <w:tc>
          <w:tcPr>
            <w:tcW w:w="10520" w:type="dxa"/>
            <w:vAlign w:val="bottom"/>
            <w:gridSpan w:val="4"/>
          </w:tcPr>
          <w:p>
            <w:pPr>
              <w:spacing w:after="0"/>
              <w:rPr>
                <w:sz w:val="20"/>
                <w:szCs w:val="20"/>
                <w:color w:val="auto"/>
              </w:rPr>
            </w:pPr>
            <w:r>
              <w:rPr>
                <w:rFonts w:ascii="Arial" w:cs="Arial" w:eastAsia="Arial" w:hAnsi="Arial"/>
                <w:sz w:val="18"/>
                <w:szCs w:val="18"/>
                <w:b w:val="1"/>
                <w:bCs w:val="1"/>
                <w:color w:val="auto"/>
              </w:rPr>
              <w:t>Title of Document</w:t>
            </w:r>
          </w:p>
        </w:tc>
      </w:tr>
      <w:tr>
        <w:trPr>
          <w:trHeight w:val="234"/>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Section 302</w:t>
              </w:r>
            </w:hyperlink>
          </w:p>
        </w:tc>
        <w:tc>
          <w:tcPr>
            <w:tcW w:w="9640" w:type="dxa"/>
            <w:vAlign w:val="bottom"/>
            <w:gridSpan w:val="3"/>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 of Chief Executive Officer (filed herewith)</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302</w:t>
              </w:r>
            </w:hyperlink>
          </w:p>
        </w:tc>
        <w:tc>
          <w:tcPr>
            <w:tcW w:w="9640" w:type="dxa"/>
            <w:vAlign w:val="bottom"/>
            <w:gridSpan w:val="3"/>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of Principal Financial Officer (filed herewith)</w:t>
              </w:r>
            </w:hyperlink>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88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Section 906</w:t>
              </w:r>
            </w:hyperlink>
          </w:p>
        </w:tc>
        <w:tc>
          <w:tcPr>
            <w:tcW w:w="4260" w:type="dxa"/>
            <w:vAlign w:val="bottom"/>
            <w:tcBorders>
              <w:top w:val="single" w:sz="8" w:color="0000EE"/>
            </w:tcBorders>
            <w:gridSpan w:val="2"/>
          </w:tcPr>
          <w:p>
            <w:pPr>
              <w:ind w:left="2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Certification of Chief Executive Officer (filed herewith)</w:t>
              </w:r>
            </w:hyperlink>
          </w:p>
        </w:tc>
        <w:tc>
          <w:tcPr>
            <w:tcW w:w="53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Section 906</w:t>
              </w:r>
            </w:hyperlink>
          </w:p>
        </w:tc>
        <w:tc>
          <w:tcPr>
            <w:tcW w:w="9640" w:type="dxa"/>
            <w:vAlign w:val="bottom"/>
            <w:gridSpan w:val="3"/>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Certification of Principal Financial Officer (filed herewith)</w:t>
              </w:r>
            </w:hyperlink>
          </w:p>
        </w:tc>
      </w:tr>
      <w:tr>
        <w:trPr>
          <w:trHeight w:val="453"/>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51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 (filed herewith)</w:t>
            </w:r>
          </w:p>
        </w:tc>
        <w:tc>
          <w:tcPr>
            <w:tcW w:w="538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ind w:left="3840"/>
              <w:spacing w:after="0"/>
              <w:rPr>
                <w:sz w:val="20"/>
                <w:szCs w:val="20"/>
                <w:color w:val="auto"/>
              </w:rPr>
            </w:pPr>
            <w:r>
              <w:rPr>
                <w:rFonts w:ascii="Arial" w:cs="Arial" w:eastAsia="Arial" w:hAnsi="Arial"/>
                <w:sz w:val="18"/>
                <w:szCs w:val="18"/>
                <w:color w:val="auto"/>
                <w:w w:val="99"/>
              </w:rPr>
              <w:t>21</w:t>
            </w:r>
          </w:p>
        </w:tc>
        <w:tc>
          <w:tcPr>
            <w:tcW w:w="2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6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195"/>
        </w:trPr>
        <w:tc>
          <w:tcPr>
            <w:tcW w:w="616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6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May 17, 2019</w:t>
            </w:r>
          </w:p>
        </w:tc>
        <w:tc>
          <w:tcPr>
            <w:tcW w:w="52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6160" w:type="dxa"/>
            <w:vAlign w:val="bottom"/>
          </w:tcPr>
          <w:p>
            <w:pPr>
              <w:ind w:left="56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195"/>
        </w:trPr>
        <w:tc>
          <w:tcPr>
            <w:tcW w:w="616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6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May 17, 2019</w:t>
            </w:r>
          </w:p>
        </w:tc>
        <w:tc>
          <w:tcPr>
            <w:tcW w:w="52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2"/>
        </w:trPr>
        <w:tc>
          <w:tcPr>
            <w:tcW w:w="6160" w:type="dxa"/>
            <w:vAlign w:val="bottom"/>
          </w:tcPr>
          <w:p>
            <w:pPr>
              <w:ind w:left="5620"/>
              <w:spacing w:after="0"/>
              <w:rPr>
                <w:sz w:val="20"/>
                <w:szCs w:val="20"/>
                <w:color w:val="auto"/>
              </w:rPr>
            </w:pPr>
            <w:r>
              <w:rPr>
                <w:rFonts w:ascii="Arial" w:cs="Arial" w:eastAsia="Arial" w:hAnsi="Arial"/>
                <w:sz w:val="18"/>
                <w:szCs w:val="18"/>
                <w:color w:val="auto"/>
              </w:rPr>
              <w:t>22</w:t>
            </w:r>
          </w:p>
        </w:tc>
        <w:tc>
          <w:tcPr>
            <w:tcW w:w="52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17, 2019</w:t>
            </w:r>
          </w:p>
        </w:tc>
        <w:tc>
          <w:tcPr>
            <w:tcW w:w="2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17, 2019</w:t>
            </w:r>
          </w:p>
        </w:tc>
        <w:tc>
          <w:tcPr>
            <w:tcW w:w="2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2019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17, 2019</w:t>
            </w:r>
          </w:p>
        </w:tc>
        <w:tc>
          <w:tcPr>
            <w:tcW w:w="2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2019,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17, 2019</w:t>
            </w:r>
          </w:p>
        </w:tc>
        <w:tc>
          <w:tcPr>
            <w:tcW w:w="2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2019-12-28T12:05:46Z</dcterms:created>
  <dcterms:modified xsi:type="dcterms:W3CDTF">2019-12-28T12:05:46Z</dcterms:modified>
</cp:coreProperties>
</file>