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15, 2018, (August 9, 2018)</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50"/>
              <w:spacing w:after="0"/>
              <w:rPr>
                <w:sz w:val="20"/>
                <w:szCs w:val="20"/>
                <w:color w:val="auto"/>
              </w:rPr>
            </w:pPr>
            <w:r>
              <w:rPr>
                <w:rFonts w:ascii="Arial" w:cs="Arial" w:eastAsia="Arial" w:hAnsi="Arial"/>
                <w:sz w:val="18"/>
                <w:szCs w:val="18"/>
                <w:b w:val="1"/>
                <w:bCs w:val="1"/>
                <w:color w:val="auto"/>
                <w:w w:val="94"/>
              </w:rPr>
              <w:t>Utah</w:t>
            </w:r>
          </w:p>
        </w:tc>
        <w:tc>
          <w:tcPr>
            <w:tcW w:w="302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0"/>
              </w:rPr>
              <w:t>001-33660</w:t>
            </w:r>
          </w:p>
        </w:tc>
        <w:tc>
          <w:tcPr>
            <w:tcW w:w="1880" w:type="dxa"/>
            <w:vAlign w:val="bottom"/>
          </w:tcPr>
          <w:p>
            <w:pPr>
              <w:spacing w:after="0"/>
              <w:rPr>
                <w:sz w:val="19"/>
                <w:szCs w:val="19"/>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87-0398877</w:t>
            </w:r>
          </w:p>
        </w:tc>
      </w:tr>
      <w:tr>
        <w:trPr>
          <w:trHeight w:val="216"/>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0"/>
              </w:rPr>
              <w:t>(State or Other Jurisdiction</w:t>
            </w:r>
          </w:p>
        </w:tc>
        <w:tc>
          <w:tcPr>
            <w:tcW w:w="1660" w:type="dxa"/>
            <w:vAlign w:val="bottom"/>
          </w:tcPr>
          <w:p>
            <w:pPr>
              <w:spacing w:after="0"/>
              <w:rPr>
                <w:sz w:val="18"/>
                <w:szCs w:val="18"/>
                <w:color w:val="auto"/>
              </w:rPr>
            </w:pPr>
          </w:p>
        </w:tc>
        <w:tc>
          <w:tcPr>
            <w:tcW w:w="3240" w:type="dxa"/>
            <w:vAlign w:val="bottom"/>
            <w:gridSpan w:val="2"/>
          </w:tcPr>
          <w:p>
            <w:pPr>
              <w:jc w:val="center"/>
              <w:ind w:right="1760"/>
              <w:spacing w:after="0"/>
              <w:rPr>
                <w:sz w:val="20"/>
                <w:szCs w:val="20"/>
                <w:color w:val="auto"/>
              </w:rPr>
            </w:pPr>
            <w:r>
              <w:rPr>
                <w:rFonts w:ascii="Arial" w:cs="Arial" w:eastAsia="Arial" w:hAnsi="Arial"/>
                <w:sz w:val="18"/>
                <w:szCs w:val="18"/>
                <w:color w:val="auto"/>
                <w:w w:val="91"/>
              </w:rPr>
              <w:t>(Commission</w:t>
            </w:r>
          </w:p>
        </w:tc>
        <w:tc>
          <w:tcPr>
            <w:tcW w:w="200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3"/>
              </w:rPr>
              <w:t>of Incorporation)</w:t>
            </w:r>
          </w:p>
        </w:tc>
        <w:tc>
          <w:tcPr>
            <w:tcW w:w="1660" w:type="dxa"/>
            <w:vAlign w:val="bottom"/>
          </w:tcPr>
          <w:p>
            <w:pPr>
              <w:spacing w:after="0"/>
              <w:rPr>
                <w:sz w:val="20"/>
                <w:szCs w:val="20"/>
                <w:color w:val="auto"/>
              </w:rPr>
            </w:pPr>
          </w:p>
        </w:tc>
        <w:tc>
          <w:tcPr>
            <w:tcW w:w="3240" w:type="dxa"/>
            <w:vAlign w:val="bottom"/>
            <w:gridSpan w:val="2"/>
          </w:tcPr>
          <w:p>
            <w:pPr>
              <w:jc w:val="center"/>
              <w:ind w:right="1760"/>
              <w:spacing w:after="0"/>
              <w:rPr>
                <w:sz w:val="20"/>
                <w:szCs w:val="20"/>
                <w:color w:val="auto"/>
              </w:rPr>
            </w:pPr>
            <w:r>
              <w:rPr>
                <w:rFonts w:ascii="Arial" w:cs="Arial" w:eastAsia="Arial" w:hAnsi="Arial"/>
                <w:sz w:val="18"/>
                <w:szCs w:val="18"/>
                <w:color w:val="auto"/>
                <w:w w:val="92"/>
              </w:rPr>
              <w:t>File Number)</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280" w:type="dxa"/>
            <w:vAlign w:val="bottom"/>
            <w:gridSpan w:val="4"/>
          </w:tcPr>
          <w:p>
            <w:pPr>
              <w:jc w:val="center"/>
              <w:ind w:right="14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84116</w:t>
            </w:r>
          </w:p>
        </w:tc>
      </w:tr>
      <w:tr>
        <w:trPr>
          <w:trHeight w:val="230"/>
        </w:trPr>
        <w:tc>
          <w:tcPr>
            <w:tcW w:w="7280" w:type="dxa"/>
            <w:vAlign w:val="bottom"/>
            <w:gridSpan w:val="4"/>
          </w:tcPr>
          <w:p>
            <w:pPr>
              <w:jc w:val="center"/>
              <w:ind w:right="1420"/>
              <w:spacing w:after="0"/>
              <w:rPr>
                <w:sz w:val="20"/>
                <w:szCs w:val="20"/>
                <w:color w:val="auto"/>
              </w:rPr>
            </w:pPr>
            <w:r>
              <w:rPr>
                <w:rFonts w:ascii="Arial" w:cs="Arial" w:eastAsia="Arial" w:hAnsi="Arial"/>
                <w:sz w:val="18"/>
                <w:szCs w:val="18"/>
                <w:color w:val="auto"/>
                <w:w w:val="92"/>
              </w:rPr>
              <w:t>(Address of principal executive offices)</w:t>
            </w:r>
          </w:p>
        </w:tc>
        <w:tc>
          <w:tcPr>
            <w:tcW w:w="200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r>
      <w:tr>
        <w:trPr>
          <w:trHeight w:val="392"/>
        </w:trPr>
        <w:tc>
          <w:tcPr>
            <w:tcW w:w="2380" w:type="dxa"/>
            <w:vAlign w:val="bottom"/>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 (801) 975-7200</w:t>
            </w: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2380" w:type="dxa"/>
            <w:vAlign w:val="bottom"/>
          </w:tcPr>
          <w:p>
            <w:pPr>
              <w:spacing w:after="0"/>
              <w:rPr>
                <w:sz w:val="20"/>
                <w:szCs w:val="20"/>
                <w:color w:val="auto"/>
              </w:rPr>
            </w:pPr>
          </w:p>
        </w:tc>
        <w:tc>
          <w:tcPr>
            <w:tcW w:w="49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 ]  Pre-commencement communications pursuant to Rule 14d-2(b) under the Exchange Act (17 CFR 240.14d-2(b))</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 ]  Pre-commencement communication pursuant to Rule 13e-4(c) under the Exchange Act (17 CFR 240.13e-4(c))</w:t>
      </w:r>
    </w:p>
    <w:p>
      <w:pPr>
        <w:spacing w:after="0" w:line="211"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477520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380" w:top="1094"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9, 2018, ClearOne, Inc. (the “Company”) issued a press release announcing its financial results for the three and six months ended June 30, 2018.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5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740" w:type="dxa"/>
            <w:vAlign w:val="bottom"/>
            <w:vMerge w:val="restart"/>
          </w:tcPr>
          <w:p>
            <w:pPr>
              <w:spacing w:after="0"/>
              <w:rPr>
                <w:sz w:val="20"/>
                <w:szCs w:val="20"/>
                <w:color w:val="auto"/>
              </w:rPr>
            </w:pPr>
            <w:r>
              <w:rPr>
                <w:rFonts w:ascii="Arial" w:cs="Arial" w:eastAsia="Arial" w:hAnsi="Arial"/>
                <w:sz w:val="18"/>
                <w:szCs w:val="18"/>
                <w:b w:val="1"/>
                <w:bCs w:val="1"/>
                <w:color w:val="auto"/>
              </w:rPr>
              <w:t>No.</w:t>
            </w:r>
          </w:p>
        </w:tc>
        <w:tc>
          <w:tcPr>
            <w:tcW w:w="7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7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Exhibit</w:t>
            </w:r>
          </w:p>
        </w:tc>
        <w:tc>
          <w:tcPr>
            <w:tcW w:w="7520" w:type="dxa"/>
            <w:vAlign w:val="bottom"/>
          </w:tcPr>
          <w:p>
            <w:pPr>
              <w:ind w:left="140"/>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Press Release dated August 9, 2018 titled "ClearOne Reports Second Quarter 2018 Financial Results".</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7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473710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00"/>
          </w:cols>
          <w:pgMar w:left="380" w:top="580"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40" w:right="10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CLEARONE, INC.</w:t>
            </w:r>
          </w:p>
        </w:tc>
      </w:tr>
      <w:tr>
        <w:trPr>
          <w:trHeight w:val="418"/>
        </w:trPr>
        <w:tc>
          <w:tcPr>
            <w:tcW w:w="3720" w:type="dxa"/>
            <w:vAlign w:val="bottom"/>
          </w:tcPr>
          <w:p>
            <w:pPr>
              <w:ind w:left="160"/>
              <w:spacing w:after="0"/>
              <w:rPr>
                <w:sz w:val="20"/>
                <w:szCs w:val="20"/>
                <w:color w:val="auto"/>
              </w:rPr>
            </w:pPr>
            <w:r>
              <w:rPr>
                <w:rFonts w:ascii="Arial" w:cs="Arial" w:eastAsia="Arial" w:hAnsi="Arial"/>
                <w:sz w:val="18"/>
                <w:szCs w:val="18"/>
                <w:color w:val="auto"/>
              </w:rPr>
              <w:t>Date: August 15, 2018</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340" w:type="dxa"/>
            <w:vAlign w:val="bottom"/>
          </w:tcPr>
          <w:p>
            <w:pPr>
              <w:ind w:left="160"/>
              <w:spacing w:after="0"/>
              <w:rPr>
                <w:sz w:val="20"/>
                <w:szCs w:val="20"/>
                <w:color w:val="auto"/>
              </w:rPr>
            </w:pPr>
            <w:r>
              <w:rPr>
                <w:rFonts w:ascii="Arial" w:cs="Arial" w:eastAsia="Arial" w:hAnsi="Arial"/>
                <w:sz w:val="18"/>
                <w:szCs w:val="18"/>
                <w:i w:val="1"/>
                <w:iCs w:val="1"/>
                <w:color w:val="auto"/>
              </w:rPr>
              <w:t>/s/ Zeynep Hakimoglu</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Zeynep Hakimoglu</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5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740" w:type="dxa"/>
            <w:vAlign w:val="bottom"/>
            <w:vMerge w:val="restart"/>
          </w:tcPr>
          <w:p>
            <w:pPr>
              <w:spacing w:after="0"/>
              <w:rPr>
                <w:sz w:val="20"/>
                <w:szCs w:val="20"/>
                <w:color w:val="auto"/>
              </w:rPr>
            </w:pPr>
            <w:r>
              <w:rPr>
                <w:rFonts w:ascii="Arial" w:cs="Arial" w:eastAsia="Arial" w:hAnsi="Arial"/>
                <w:sz w:val="18"/>
                <w:szCs w:val="18"/>
                <w:b w:val="1"/>
                <w:bCs w:val="1"/>
                <w:color w:val="auto"/>
              </w:rPr>
              <w:t>No.</w:t>
            </w:r>
          </w:p>
        </w:tc>
        <w:tc>
          <w:tcPr>
            <w:tcW w:w="7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Exhibit</w:t>
            </w:r>
          </w:p>
        </w:tc>
        <w:tc>
          <w:tcPr>
            <w:tcW w:w="7520" w:type="dxa"/>
            <w:vAlign w:val="bottom"/>
            <w:gridSpan w:val="2"/>
          </w:tcPr>
          <w:p>
            <w:pPr>
              <w:ind w:left="140"/>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dated August 9, 2018 titled "ClearOne Reports Second Quarter 2018 Financial Results".</w:t>
              </w:r>
            </w:hyperlink>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p>
        </w:tc>
        <w:tc>
          <w:tcPr>
            <w:tcW w:w="73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59"/>
          </w:cols>
          <w:pgMar w:left="400" w:top="796" w:right="1440" w:bottom="1440" w:gutter="0" w:footer="0" w:header="0"/>
        </w:sectPr>
      </w:pPr>
    </w:p>
    <w:bookmarkStart w:id="4" w:name="page5"/>
    <w:bookmarkEnd w:id="4"/>
    <w:p>
      <w:pPr>
        <w:ind w:left="10180"/>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ClearOne Reports Second Quarter 2018 Financial Results</w:t>
      </w:r>
    </w:p>
    <w:p>
      <w:pPr>
        <w:spacing w:after="0" w:line="7" w:lineRule="exact"/>
        <w:rPr>
          <w:sz w:val="20"/>
          <w:szCs w:val="20"/>
          <w:color w:val="auto"/>
        </w:rPr>
      </w:pPr>
    </w:p>
    <w:p>
      <w:pPr>
        <w:ind w:left="500" w:hanging="47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Revenue continued to be impacted by infringement of ClearOne’s strategic patents</w:t>
      </w:r>
    </w:p>
    <w:p>
      <w:pPr>
        <w:spacing w:after="0" w:line="9" w:lineRule="exact"/>
        <w:rPr>
          <w:rFonts w:ascii="Arial" w:cs="Arial" w:eastAsia="Arial" w:hAnsi="Arial"/>
          <w:sz w:val="18"/>
          <w:szCs w:val="18"/>
          <w:color w:val="auto"/>
        </w:rPr>
      </w:pPr>
    </w:p>
    <w:p>
      <w:pPr>
        <w:ind w:left="500" w:hanging="47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Gross Profit Margin declined due to under absorption of overhead costs</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SALT LAKE CITY, UTAH – August 9, 2018 – ClearOne (NASDAQ: CLRO), a global provider of audio and visual communication solutions, reported financial results for the three months and six months ended June 30, 2018.</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“Business conditions we experienced in the first quarter persisted resulting in another challenging quarter for the company” said Zee Hakimoglu, President and Chief Executive Officer. “We have undertaken initiatives to accelerate our pace of product innovation, the results of which are evident in important new products shipping this month and our plan to ship significant new solutions before the end of the year. In addition, the programs that we have undertaken to cut costs through man-power optimization and operating facilities reorganization, among other things, are planned to generate annualized cost savings of approximately $3.9 million when they are fully implemented next year. We will also continue our vigorous litigation efforts to stop continuing harm to our business caused through infringement of our patents.”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11" w:lineRule="exact"/>
        <w:rPr>
          <w:sz w:val="20"/>
          <w:szCs w:val="20"/>
          <w:color w:val="auto"/>
        </w:rPr>
      </w:pPr>
    </w:p>
    <w:p>
      <w:pPr>
        <w:ind w:left="340" w:hanging="31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Q2 2018 revenue was $7.0 million, compared to $10.3 million in Q2 2017 and $7.3 million in Q1 2018. The year-over-year decrease as well as sequential revenue decline reflect an impact of the on-going harm of infringement of ClearOne’s patents resulting in slower adoption of our next generation professional audio conferencing platform. The patent infringement has also negatively impacted revenue from ClearOne’s other products that are sold with professional audio conferencing systems.</w:t>
      </w:r>
    </w:p>
    <w:p>
      <w:pPr>
        <w:spacing w:after="0" w:line="2" w:lineRule="exact"/>
        <w:rPr>
          <w:rFonts w:ascii="Arial" w:cs="Arial" w:eastAsia="Arial" w:hAnsi="Arial"/>
          <w:sz w:val="18"/>
          <w:szCs w:val="18"/>
          <w:color w:val="auto"/>
        </w:rPr>
      </w:pPr>
    </w:p>
    <w:p>
      <w:pPr>
        <w:ind w:left="340" w:right="60" w:hanging="31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profit in Q2 2018 was $3.3 million compared to $6.1 million in Q2 2017 and $4.1 million in Q1 2018. GAAP gross profit margin was 47% in Q2 2018, compared to 59% in Q2 2017 and 56% in Q1 2018. Gross profit margin decrease was primarily due to an increase in inventory obsolescence costs, a decline in licensing revenues and due to reduced overhead absorption into inventory. The proportion of overhead costs absorbed into inventory has declined due to a sharp decline in our inventory purchasing activity causing increased amounts of overhead costs to be expensed.</w:t>
      </w:r>
    </w:p>
    <w:p>
      <w:pPr>
        <w:spacing w:after="0" w:line="2" w:lineRule="exact"/>
        <w:rPr>
          <w:rFonts w:ascii="Arial" w:cs="Arial" w:eastAsia="Arial" w:hAnsi="Arial"/>
          <w:sz w:val="16"/>
          <w:szCs w:val="16"/>
          <w:color w:val="auto"/>
        </w:rPr>
      </w:pPr>
    </w:p>
    <w:p>
      <w:pPr>
        <w:ind w:left="340" w:right="160" w:hanging="31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expenses in Q2 2018 were $6.2 million, compared to $7.2 million in Q2 2017 and $6.5 million in Q1 2018. The majority of the decrease in operating expenses over Q2 2018 is attributable to reduced legal expenses, capitalization of legal expenses related to patent litigation and reduced R&amp;D related project expenses. Non-GAAP operating expenses in Q2 2018 were $5.8 million, compared to $5.9 million in Q2 2017 and $6.1 million in Q1 2018. The sequential decrease in Non-GAAP operating expenses was mainly due to reduced sales commissions and R&amp;D related project costs.</w:t>
      </w:r>
    </w:p>
    <w:p>
      <w:pPr>
        <w:spacing w:after="0" w:line="2" w:lineRule="exact"/>
        <w:rPr>
          <w:rFonts w:ascii="Arial" w:cs="Arial" w:eastAsia="Arial" w:hAnsi="Arial"/>
          <w:sz w:val="16"/>
          <w:szCs w:val="16"/>
          <w:color w:val="auto"/>
        </w:rPr>
      </w:pPr>
    </w:p>
    <w:p>
      <w:pPr>
        <w:ind w:left="340" w:right="80" w:hanging="312"/>
        <w:spacing w:after="0" w:line="29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loss in Q2 2018 was $2.2 million, or $0.26 per share, compared to net loss of $0.8 million, or $0.09 per share, in Q2 2017 and net loss of $1.8 million, or $0.22 per share, in Q1 2018. Net loss in Q2 2018 was largely caused by the reduction in revenue and associated gross profit. Non-GAAP net loss was $1.8 million, or $0.22 per share, in Q2 2018, compared to non-GAAP net loss of $0.1 million in Q2 2017 and net loss of $1.5 million, or $0.18 per share, in Q1 2018. Non-GAAP net loss in Q1 2018 was caused by lower revenues and reduction in associated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112" w:right="25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16"/>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 in 000, except per share)</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60" w:type="dxa"/>
            <w:vAlign w:val="bottom"/>
            <w:gridSpan w:val="7"/>
          </w:tcPr>
          <w:p>
            <w:pPr>
              <w:jc w:val="right"/>
              <w:ind w:right="1000"/>
              <w:spacing w:after="0" w:line="194" w:lineRule="exact"/>
              <w:rPr>
                <w:sz w:val="20"/>
                <w:szCs w:val="20"/>
                <w:color w:val="auto"/>
              </w:rPr>
            </w:pPr>
            <w:r>
              <w:rPr>
                <w:rFonts w:ascii="Arial" w:cs="Arial" w:eastAsia="Arial" w:hAnsi="Arial"/>
                <w:sz w:val="18"/>
                <w:szCs w:val="18"/>
                <w:b w:val="1"/>
                <w:bCs w:val="1"/>
                <w:color w:val="auto"/>
                <w:w w:val="88"/>
              </w:rPr>
              <w:t>Three months ended June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w w:val="87"/>
              </w:rPr>
              <w:t>Six months ended June 30,</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GAAP</w:t>
            </w:r>
          </w:p>
        </w:tc>
        <w:tc>
          <w:tcPr>
            <w:tcW w:w="52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660"/>
              <w:spacing w:after="0" w:line="196" w:lineRule="exact"/>
              <w:rPr>
                <w:sz w:val="20"/>
                <w:szCs w:val="20"/>
                <w:color w:val="auto"/>
              </w:rPr>
            </w:pPr>
            <w:r>
              <w:rPr>
                <w:rFonts w:ascii="Arial" w:cs="Arial" w:eastAsia="Arial" w:hAnsi="Arial"/>
                <w:sz w:val="18"/>
                <w:szCs w:val="18"/>
                <w:b w:val="1"/>
                <w:bCs w:val="1"/>
                <w:color w:val="auto"/>
                <w:w w:val="84"/>
              </w:rPr>
              <w:t>2017</w:t>
            </w:r>
          </w:p>
        </w:tc>
        <w:tc>
          <w:tcPr>
            <w:tcW w:w="1280" w:type="dxa"/>
            <w:vAlign w:val="bottom"/>
            <w:gridSpan w:val="3"/>
          </w:tcPr>
          <w:p>
            <w:pPr>
              <w:jc w:val="right"/>
              <w:ind w:right="480"/>
              <w:spacing w:after="0" w:line="196" w:lineRule="exact"/>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840"/>
              <w:spacing w:after="0" w:line="196" w:lineRule="exact"/>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7"/>
                <w:szCs w:val="17"/>
                <w:color w:val="auto"/>
              </w:rPr>
            </w:pPr>
          </w:p>
        </w:tc>
        <w:tc>
          <w:tcPr>
            <w:tcW w:w="1020" w:type="dxa"/>
            <w:vAlign w:val="bottom"/>
            <w:gridSpan w:val="3"/>
          </w:tcPr>
          <w:p>
            <w:pPr>
              <w:jc w:val="right"/>
              <w:ind w:right="420"/>
              <w:spacing w:after="0" w:line="196" w:lineRule="exact"/>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22"/>
        </w:trPr>
        <w:tc>
          <w:tcPr>
            <w:tcW w:w="30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30"/>
              <w:spacing w:after="0"/>
              <w:rPr>
                <w:sz w:val="20"/>
                <w:szCs w:val="20"/>
                <w:color w:val="auto"/>
              </w:rPr>
            </w:pPr>
            <w:r>
              <w:rPr>
                <w:rFonts w:ascii="Arial" w:cs="Arial" w:eastAsia="Arial" w:hAnsi="Arial"/>
                <w:sz w:val="18"/>
                <w:szCs w:val="18"/>
                <w:color w:val="auto"/>
              </w:rPr>
              <w:t>6,971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10,311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50"/>
              <w:spacing w:after="0"/>
              <w:rPr>
                <w:sz w:val="20"/>
                <w:szCs w:val="20"/>
                <w:color w:val="auto"/>
              </w:rPr>
            </w:pPr>
            <w:r>
              <w:rPr>
                <w:rFonts w:ascii="Arial" w:cs="Arial" w:eastAsia="Arial" w:hAnsi="Arial"/>
                <w:sz w:val="18"/>
                <w:szCs w:val="18"/>
                <w:color w:val="auto"/>
              </w:rPr>
              <w:t>14,260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21,989</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8"/>
                <w:szCs w:val="18"/>
                <w:color w:val="auto"/>
              </w:rPr>
            </w:pPr>
          </w:p>
        </w:tc>
        <w:tc>
          <w:tcPr>
            <w:tcW w:w="1020" w:type="dxa"/>
            <w:vAlign w:val="bottom"/>
            <w:gridSpan w:val="4"/>
          </w:tcPr>
          <w:p>
            <w:pPr>
              <w:jc w:val="right"/>
              <w:ind w:right="30"/>
              <w:spacing w:after="0"/>
              <w:rPr>
                <w:sz w:val="20"/>
                <w:szCs w:val="20"/>
                <w:color w:val="auto"/>
              </w:rPr>
            </w:pPr>
            <w:r>
              <w:rPr>
                <w:rFonts w:ascii="Arial" w:cs="Arial" w:eastAsia="Arial" w:hAnsi="Arial"/>
                <w:sz w:val="18"/>
                <w:szCs w:val="18"/>
                <w:color w:val="auto"/>
              </w:rPr>
              <w:t>3,250</w:t>
            </w: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6,069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40" w:type="dxa"/>
            <w:vAlign w:val="bottom"/>
            <w:gridSpan w:val="4"/>
          </w:tcPr>
          <w:p>
            <w:pPr>
              <w:jc w:val="right"/>
              <w:ind w:right="50"/>
              <w:spacing w:after="0"/>
              <w:rPr>
                <w:sz w:val="20"/>
                <w:szCs w:val="20"/>
                <w:color w:val="auto"/>
              </w:rPr>
            </w:pPr>
            <w:r>
              <w:rPr>
                <w:rFonts w:ascii="Arial" w:cs="Arial" w:eastAsia="Arial" w:hAnsi="Arial"/>
                <w:sz w:val="18"/>
                <w:szCs w:val="18"/>
                <w:color w:val="auto"/>
              </w:rPr>
              <w:t>7,349</w:t>
            </w:r>
          </w:p>
        </w:tc>
        <w:tc>
          <w:tcPr>
            <w:tcW w:w="4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12,747</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(2,972)</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(5,414)</w:t>
            </w:r>
          </w:p>
        </w:tc>
        <w:tc>
          <w:tcPr>
            <w:tcW w:w="4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(2,163)</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(4,009)</w:t>
            </w:r>
          </w:p>
        </w:tc>
        <w:tc>
          <w:tcPr>
            <w:tcW w:w="4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2"/>
        </w:trPr>
        <w:tc>
          <w:tcPr>
            <w:tcW w:w="304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(0.26)</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(0.48)</w:t>
            </w:r>
          </w:p>
        </w:tc>
        <w:tc>
          <w:tcPr>
            <w:tcW w:w="4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94"/>
        </w:trPr>
        <w:tc>
          <w:tcPr>
            <w:tcW w:w="9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4"/>
              </w:rPr>
              <w:t>Non-GAAP</w:t>
            </w:r>
          </w:p>
        </w:tc>
        <w:tc>
          <w:tcPr>
            <w:tcW w:w="2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Non-GAAP Gross Profit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30"/>
              <w:spacing w:after="0"/>
              <w:rPr>
                <w:sz w:val="20"/>
                <w:szCs w:val="20"/>
                <w:color w:val="auto"/>
              </w:rPr>
            </w:pPr>
            <w:r>
              <w:rPr>
                <w:rFonts w:ascii="Arial" w:cs="Arial" w:eastAsia="Arial" w:hAnsi="Arial"/>
                <w:sz w:val="18"/>
                <w:szCs w:val="18"/>
                <w:color w:val="auto"/>
              </w:rPr>
              <w:t>3,254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6,075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50"/>
              <w:spacing w:after="0"/>
              <w:rPr>
                <w:sz w:val="20"/>
                <w:szCs w:val="20"/>
                <w:color w:val="auto"/>
              </w:rPr>
            </w:pPr>
            <w:r>
              <w:rPr>
                <w:rFonts w:ascii="Arial" w:cs="Arial" w:eastAsia="Arial" w:hAnsi="Arial"/>
                <w:sz w:val="18"/>
                <w:szCs w:val="18"/>
                <w:color w:val="auto"/>
              </w:rPr>
              <w:t>7,358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12,761</w:t>
            </w:r>
          </w:p>
        </w:tc>
        <w:tc>
          <w:tcPr>
            <w:tcW w:w="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Non-GAAP Operating Income (Loss)</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(2,558)</w:t>
            </w: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-1981%</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(4,515)</w:t>
            </w:r>
          </w:p>
        </w:tc>
        <w:tc>
          <w:tcPr>
            <w:tcW w:w="4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Non-GAAP Net Income (Loss)</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(1,837)</w:t>
            </w:r>
          </w:p>
        </w:tc>
        <w:tc>
          <w:tcPr>
            <w:tcW w:w="4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-1701%</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(3,303)</w:t>
            </w:r>
          </w:p>
        </w:tc>
        <w:tc>
          <w:tcPr>
            <w:tcW w:w="4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Non-GAAP Adjusted EBITDA</w:t>
            </w:r>
          </w:p>
        </w:tc>
        <w:tc>
          <w:tcPr>
            <w:tcW w:w="5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(2,384)</w:t>
            </w: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-753%</w:t>
            </w:r>
          </w:p>
        </w:tc>
        <w:tc>
          <w:tcPr>
            <w:tcW w:w="3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(4,185)</w:t>
            </w:r>
          </w:p>
        </w:tc>
        <w:tc>
          <w:tcPr>
            <w:tcW w:w="4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Non-GAAP Earnings (Loss) per share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(0.22)</w:t>
            </w: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-2100%</w:t>
            </w:r>
          </w:p>
        </w:tc>
        <w:tc>
          <w:tcPr>
            <w:tcW w:w="3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(0.40)</w:t>
            </w:r>
          </w:p>
        </w:tc>
        <w:tc>
          <w:tcPr>
            <w:tcW w:w="4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At June 30, 2018, cash, cash equivalents and investments were $13.3 million, as compared with $18.6 million at December 31, 2017. The Company continued to have no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487680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20" w:top="580" w:right="49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6"/>
              </w:rPr>
              <w:t>As at</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2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w w:val="87"/>
              </w:rPr>
              <w:t>June 30, 2018</w:t>
            </w:r>
          </w:p>
        </w:tc>
        <w:tc>
          <w:tcPr>
            <w:tcW w:w="80" w:type="dxa"/>
            <w:vAlign w:val="bottom"/>
          </w:tcPr>
          <w:p>
            <w:pPr>
              <w:spacing w:after="0"/>
              <w:rPr>
                <w:sz w:val="17"/>
                <w:szCs w:val="17"/>
                <w:color w:val="auto"/>
              </w:rPr>
            </w:pPr>
          </w:p>
        </w:tc>
        <w:tc>
          <w:tcPr>
            <w:tcW w:w="1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$527 and $472, respectively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14,380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2,339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28,789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6,391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20" w:type="dxa"/>
            <w:vAlign w:val="bottom"/>
          </w:tcPr>
          <w:p>
            <w:pPr>
              <w:spacing w:after="0" w:line="195" w:lineRule="exact"/>
              <w:rPr>
                <w:sz w:val="20"/>
                <w:szCs w:val="20"/>
                <w:color w:val="auto"/>
              </w:rPr>
            </w:pPr>
            <w:r>
              <w:rPr>
                <w:rFonts w:ascii="Arial" w:cs="Arial" w:eastAsia="Arial" w:hAnsi="Arial"/>
                <w:sz w:val="18"/>
                <w:szCs w:val="18"/>
                <w:color w:val="auto"/>
              </w:rPr>
              <w:t>Long-term inventories,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8,351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8,708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Intangibles,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8,511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7,458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61,241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195"/>
        </w:trPr>
        <w:tc>
          <w:tcPr>
            <w:tcW w:w="8120" w:type="dxa"/>
            <w:vAlign w:val="bottom"/>
          </w:tcPr>
          <w:p>
            <w:pPr>
              <w:spacing w:after="0" w:line="195" w:lineRule="exact"/>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5,630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10,600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1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w w:val="92"/>
              </w:rPr>
              <w:t>Common stock, par value $0.001, 50,000,000 shares authorized, 8,306,935 and 8,319,022 shares issued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47,750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7,203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54,787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61,241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88"/>
              </w:rPr>
              <w:t>Three months ended June 30,</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87"/>
              </w:rPr>
              <w:t>Six months ended June 30,</w:t>
            </w: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tcPr>
          <w:p>
            <w:pPr>
              <w:jc w:val="right"/>
              <w:ind w:right="380"/>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6,971</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10,311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14,260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21,989</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4,242</w:t>
            </w: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6,911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6,069</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2,322</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3,159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7,178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14,382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4"/>
                <w:szCs w:val="24"/>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(820)</w:t>
            </w:r>
          </w:p>
        </w:tc>
        <w:tc>
          <w:tcPr>
            <w:tcW w:w="2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(4,009)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(1,288)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8,301,094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8,301,094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Basic loss per 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24"/>
                <w:szCs w:val="24"/>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foreign currency translation adjustment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(2,224)</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(Dollars in thousands, except per share values)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88"/>
              </w:rPr>
              <w:t>Three months ended June 30,</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87"/>
              </w:rPr>
              <w:t>Six months ended June 30,</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GAAP gross profit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tcPr>
          <w:p>
            <w:pPr>
              <w:jc w:val="right"/>
              <w:ind w:right="380"/>
              <w:spacing w:after="0" w:line="19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6,069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7,349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Non-GAAP gross profit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b w:val="1"/>
                <w:bCs w:val="1"/>
                <w:color w:val="auto"/>
              </w:rPr>
              <w:t>GAAP operating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(2,972)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(1,109)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(5,414)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4"/>
              </w:rPr>
              <w:t>Legal expenses, acquisition expenses, restructuring expenses, etc. not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vMerge w:val="restart"/>
          </w:tcPr>
          <w:p>
            <w:pPr>
              <w:jc w:val="right"/>
              <w:ind w:right="20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120" w:type="dxa"/>
            <w:vAlign w:val="bottom"/>
            <w:gridSpan w:val="5"/>
            <w:vMerge w:val="restart"/>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regular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Non-GAAP operating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(2,558)</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4"/>
              </w:rPr>
              <w:t>Legal expenses, acquisition expenses, restructuring expenses, etc. not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regular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Tax effect of non-GAAP adjustments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0"/>
                <w:szCs w:val="20"/>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Non-GAAP net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(1,837)</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color w:val="auto"/>
              </w:rPr>
              <w:t>GAAP net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Number of shares used in computing GAAP income per share (diluted)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8,301,094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(1,837)</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(3,303)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Number of shares used in computing Non-GAAP income per share (diluted)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8,301,094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Non-GAAP income (loss) per share (diluted)</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(0.01)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(0.40)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b w:val="1"/>
                <w:bCs w:val="1"/>
                <w:color w:val="auto"/>
              </w:rPr>
              <w:t>GAAP total net income (loss)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4"/>
              </w:rPr>
              <w:t>Legal expenses, acquisition expenses, restructuring expenses, etc. not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regular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0"/>
                <w:szCs w:val="20"/>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Non-GAAP Adjusted EBITDA</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(2,384)</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2019-12-28T20:03:01Z</dcterms:created>
  <dcterms:modified xsi:type="dcterms:W3CDTF">2019-12-28T20:03:01Z</dcterms:modified>
</cp:coreProperties>
</file>