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10, 2016</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4214"/>
        <w:spacing w:after="0" w:line="277" w:lineRule="auto"/>
        <w:rPr>
          <w:sz w:val="20"/>
          <w:szCs w:val="20"/>
          <w:color w:val="auto"/>
        </w:rPr>
      </w:pPr>
      <w:r>
        <w:rPr>
          <w:rFonts w:ascii="Arial" w:cs="Arial" w:eastAsia="Arial" w:hAnsi="Arial"/>
          <w:sz w:val="18"/>
          <w:szCs w:val="18"/>
          <w:color w:val="auto"/>
        </w:rPr>
        <w:t>On March 10, 2016, ClearOne, Inc. issued a press release announcing preliminary financial results for the three and twelve months ended December 31, 2015.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March 10, 2016 titled “ClearOne Reports Year End 2015 Financial Results”.</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March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Fourth Quarter and Full-Year 2015 Financial Results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--Full-Year Profitability Up Significantly; Fourth-Quarter Revenues Down;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Company Authorizes $10 Million Stock Repurchase Program --</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March 10, 2016</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2015 vs 2014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down 7% to $14.3 million</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down 4%</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down 27%</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adjusted EBITDA down 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2015 vs. 2014 Highlights:</w:t>
      </w:r>
    </w:p>
    <w:p>
      <w:pPr>
        <w:spacing w:after="0" w:line="12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$57.8 million essentially unchanged from $57.9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up 4% to $36.7 million from $35.3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operating income up 29%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up 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adjusted EBITDA up 27%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Fourth Quarter</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1080" w:type="dxa"/>
            <w:vAlign w:val="bottom"/>
            <w:tcBorders>
              <w:bottom w:val="single" w:sz="8" w:color="auto"/>
            </w:tcBorders>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57,796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57,909</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35,323</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29%</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(27)%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21%</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11,324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27%</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Diluted EPS</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(27)%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21%</w:t>
            </w:r>
          </w:p>
        </w:tc>
      </w:tr>
    </w:tbl>
    <w:p>
      <w:pPr>
        <w:spacing w:after="0" w:line="283" w:lineRule="exact"/>
        <w:rPr>
          <w:sz w:val="20"/>
          <w:szCs w:val="20"/>
          <w:color w:val="auto"/>
        </w:rPr>
      </w:pPr>
    </w:p>
    <w:p>
      <w:pPr>
        <w:jc w:val="both"/>
        <w:ind w:right="56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and twelve months ended December 31, 2015.</w:t>
      </w:r>
    </w:p>
    <w:p>
      <w:pPr>
        <w:sectPr>
          <w:pgSz w:w="11900" w:h="16838" w:orient="portrait"/>
          <w:cols w:equalWidth="0" w:num="1">
            <w:col w:w="11420"/>
          </w:cols>
          <w:pgMar w:left="240" w:top="580" w:right="239" w:bottom="1440" w:gutter="0" w:footer="0" w:header="0"/>
        </w:sectPr>
      </w:pPr>
    </w:p>
    <w:bookmarkStart w:id="3" w:name="page4"/>
    <w:bookmarkEnd w:id="3"/>
    <w:p>
      <w:pPr>
        <w:spacing w:after="0" w:line="366" w:lineRule="auto"/>
        <w:rPr>
          <w:sz w:val="20"/>
          <w:szCs w:val="20"/>
          <w:color w:val="auto"/>
        </w:rPr>
      </w:pPr>
      <w:r>
        <w:rPr>
          <w:rFonts w:ascii="Arial" w:cs="Arial" w:eastAsia="Arial" w:hAnsi="Arial"/>
          <w:sz w:val="18"/>
          <w:szCs w:val="18"/>
          <w:color w:val="auto"/>
        </w:rPr>
        <w:t>For the 2015 fourth quarter, revenue decreased 7% to $14.3 million from $15.4 million for the fourth quarter of 2014. Gross profit was $9.1 million, or 64% of revenue, compared with $9.9 million, or 65% of revenue, for the fourth quarter of 2014. Non-GAAP operating income decreased 4% to $3.7 million from $3.8 million for the fourth quarter of 2014. Non-GAAP net income decreased 27% to $2.3 million, or $0.24 per diluted share, from $3.2 million, or $0.33 per diluted share, for the fourth quarter of 2014. Non-GAAP Adjusted EBITDA decreased 4% to $3.9 million, or $0.41 per diluted share, from $4.1 million, or $0.43 per diluted share, for the fourth quarter of 2014.</w:t>
      </w:r>
    </w:p>
    <w:p>
      <w:pPr>
        <w:spacing w:after="0" w:line="137"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For the year ended December 31, 2015, revenue remained steady at $57.8 million compared with $57.9 million for the year ended December 31, 2014. Gross profit was $36.7 million, or 64% of revenue, compared with $35.3 million, or 61% of revenue, for the year ended December 31, 2014. Non-GAAP operating income increased 29% to $13.3 million from $10.3 million for the year ended December 31, 2014. Non-GAAP net income increased 21% to $8.7 million, or $0.91 per diluted share, from $7.2 million, or $0.75 per diluted share, for the year ended December 31, 2014. Non-GAAP Adjusted EBITDA increased 27% to $14.4 million, or $1.50 per diluted share, from $11.3 million, or $1.18 per diluted share, for the year ended December 31, 2014.</w:t>
      </w:r>
    </w:p>
    <w:p>
      <w:pPr>
        <w:spacing w:after="0" w:line="105" w:lineRule="exact"/>
        <w:rPr>
          <w:sz w:val="20"/>
          <w:szCs w:val="20"/>
          <w:color w:val="auto"/>
        </w:rPr>
      </w:pPr>
    </w:p>
    <w:p>
      <w:pPr>
        <w:ind w:right="40"/>
        <w:spacing w:after="0" w:line="369" w:lineRule="auto"/>
        <w:rPr>
          <w:sz w:val="20"/>
          <w:szCs w:val="20"/>
          <w:color w:val="auto"/>
        </w:rPr>
      </w:pPr>
      <w:r>
        <w:rPr>
          <w:rFonts w:ascii="Arial" w:cs="Arial" w:eastAsia="Arial" w:hAnsi="Arial"/>
          <w:sz w:val="18"/>
          <w:szCs w:val="18"/>
          <w:color w:val="auto"/>
        </w:rPr>
        <w:t>Cash, cash equivalents and investments were $39.8 million at December 31, 2015, up from $33.6 million at December 31, 2014. The $6.2 million increase comes after the company paid dividends totaling $1.4 million in 2015. The company has no debt. In March 2016, the company declared a $0.05 per share cash dividend, continuing its quarterly dividend program, and today, ClearOne announced a stock repurchase program of up to $10 million of its outstanding shares.</w:t>
      </w:r>
    </w:p>
    <w:p>
      <w:pPr>
        <w:spacing w:after="0" w:line="132" w:lineRule="exact"/>
        <w:rPr>
          <w:sz w:val="20"/>
          <w:szCs w:val="20"/>
          <w:color w:val="auto"/>
        </w:rPr>
      </w:pPr>
    </w:p>
    <w:p>
      <w:pPr>
        <w:ind w:right="60"/>
        <w:spacing w:after="0" w:line="420" w:lineRule="auto"/>
        <w:rPr>
          <w:sz w:val="20"/>
          <w:szCs w:val="20"/>
          <w:color w:val="auto"/>
        </w:rPr>
      </w:pPr>
      <w:r>
        <w:rPr>
          <w:rFonts w:ascii="Arial" w:cs="Arial" w:eastAsia="Arial" w:hAnsi="Arial"/>
          <w:sz w:val="16"/>
          <w:szCs w:val="16"/>
          <w:color w:val="auto"/>
        </w:rPr>
        <w:t>“For the 2015 full year, profitability was up significantly on stable revenue compared with the prior year,” said Zee Hakimoglu, President, Chief Executive Officer and Chairman of ClearOne. “For the fourth quarter, our topline was impacted by economic headwinds in certain key markets, overshadowing continued growth in our Middle East and India markets. Also in the fourth quarter, net income was adversely affected by a substantially higher provision for income taxes. Looking ahead, our strong balance sheet, the loyal support of our established channel partners and the most comprehensive and complete line-up of products in our industry give us confidence that we are well positioned for growth as economic conditions improve.”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Patents Awarded</w:t>
      </w:r>
    </w:p>
    <w:p>
      <w:pPr>
        <w:spacing w:after="0" w:line="108" w:lineRule="exact"/>
        <w:rPr>
          <w:sz w:val="20"/>
          <w:szCs w:val="20"/>
          <w:color w:val="auto"/>
        </w:rPr>
      </w:pPr>
    </w:p>
    <w:p>
      <w:pPr>
        <w:ind w:right="260"/>
        <w:spacing w:after="0" w:line="373" w:lineRule="auto"/>
        <w:rPr>
          <w:sz w:val="20"/>
          <w:szCs w:val="20"/>
          <w:color w:val="auto"/>
        </w:rPr>
      </w:pPr>
      <w:r>
        <w:rPr>
          <w:rFonts w:ascii="Arial" w:cs="Arial" w:eastAsia="Arial" w:hAnsi="Arial"/>
          <w:sz w:val="18"/>
          <w:szCs w:val="18"/>
          <w:color w:val="auto"/>
        </w:rPr>
        <w:t>Between November 2015 and February 2016, ClearOne was granted seven new patents by the U.S. Patent and Trademark Office (USPTO). These patents related to technologies including network media streaming, beamforming microphone arrays, spatial audio, audio for all-in-one displays, and multi-camera/multi-display video conferencing for intelligent spatial imaging.</w:t>
      </w:r>
    </w:p>
    <w:p>
      <w:pPr>
        <w:spacing w:after="0" w:line="129" w:lineRule="exact"/>
        <w:rPr>
          <w:sz w:val="20"/>
          <w:szCs w:val="20"/>
          <w:color w:val="auto"/>
        </w:rPr>
      </w:pPr>
    </w:p>
    <w:p>
      <w:pPr>
        <w:jc w:val="both"/>
        <w:ind w:right="160"/>
        <w:spacing w:after="0" w:line="402" w:lineRule="auto"/>
        <w:rPr>
          <w:sz w:val="20"/>
          <w:szCs w:val="20"/>
          <w:color w:val="auto"/>
        </w:rPr>
      </w:pPr>
      <w:r>
        <w:rPr>
          <w:rFonts w:ascii="Arial" w:cs="Arial" w:eastAsia="Arial" w:hAnsi="Arial"/>
          <w:sz w:val="17"/>
          <w:szCs w:val="17"/>
          <w:color w:val="auto"/>
        </w:rPr>
        <w:t>ClearOne now has a patent portfolio consisting of 71 granted patents and 29 pending applications covering multiple new technologies in the fields of audio and video processing, audio and video streaming, and communication technologies. The company believes its patents and intellectual property are a direct link to its market leadership position and strong history of product innovation and development of cutting-edge technologies.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grade PTZ camera launched</w:t>
      </w:r>
    </w:p>
    <w:p>
      <w:pPr>
        <w:spacing w:after="0" w:line="162" w:lineRule="exact"/>
        <w:rPr>
          <w:sz w:val="20"/>
          <w:szCs w:val="20"/>
          <w:color w:val="auto"/>
        </w:rPr>
      </w:pPr>
    </w:p>
    <w:p>
      <w:pPr>
        <w:ind w:right="20"/>
        <w:spacing w:after="0" w:line="369" w:lineRule="auto"/>
        <w:rPr>
          <w:sz w:val="20"/>
          <w:szCs w:val="20"/>
          <w:color w:val="auto"/>
        </w:rPr>
      </w:pPr>
      <w:r>
        <w:rPr>
          <w:rFonts w:ascii="Arial" w:cs="Arial" w:eastAsia="Arial" w:hAnsi="Arial"/>
          <w:sz w:val="18"/>
          <w:szCs w:val="18"/>
          <w:color w:val="auto"/>
        </w:rPr>
        <w:t>In January, ClearOne announced the launch of UNITE® 200 PTZ Camera, a superbly versatile, professional-grade, HD video camera complete with USB, HDMI and IP connections that can be used for the widest possible range of applications including network streaming and video conferencing at a price significantly lower than competitive models. The camera features full HD 1080p@60fps video resolution to deliver the sharpest possible picture and its USB (3.0 or 2.0), HDMI and IP connections can be used simultaneously or individually.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ectPr>
          <w:pgSz w:w="11900" w:h="16838" w:orient="portrait"/>
          <w:cols w:equalWidth="0" w:num="1">
            <w:col w:w="11340"/>
          </w:cols>
          <w:pgMar w:left="240" w:top="638" w:right="319" w:bottom="1440" w:gutter="0" w:footer="0" w:header="0"/>
        </w:sectPr>
      </w:pPr>
    </w:p>
    <w:bookmarkStart w:id="4" w:name="page5"/>
    <w:bookmarkEnd w:id="4"/>
    <w:p>
      <w:pPr>
        <w:spacing w:after="0" w:line="410" w:lineRule="auto"/>
        <w:rPr>
          <w:sz w:val="20"/>
          <w:szCs w:val="20"/>
          <w:color w:val="auto"/>
        </w:rPr>
      </w:pPr>
      <w:r>
        <w:rPr>
          <w:rFonts w:ascii="Arial" w:cs="Arial" w:eastAsia="Arial" w:hAnsi="Arial"/>
          <w:sz w:val="16"/>
          <w:szCs w:val="16"/>
          <w:color w:val="auto"/>
        </w:rPr>
        <w:t>ClearOne provides non-GAAP financial information in the form of non-GAAP operating income, non-GAAP net income, non-GAAP Adjusted Earnings Before Interest, Taxes, Depreciation, and Amortization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operating income, non-GAAP net income, non-GAAP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108" w:lineRule="exact"/>
        <w:rPr>
          <w:sz w:val="20"/>
          <w:szCs w:val="20"/>
          <w:color w:val="auto"/>
        </w:rPr>
      </w:pPr>
    </w:p>
    <w:p>
      <w:pPr>
        <w:jc w:val="both"/>
        <w:ind w:right="54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420"/>
          </w:cols>
          <w:pgMar w:left="240" w:top="638"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9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As of December 31, 2015</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2014</w:t>
            </w:r>
          </w:p>
        </w:tc>
        <w:tc>
          <w:tcPr>
            <w:tcW w:w="0" w:type="dxa"/>
            <w:vAlign w:val="bottom"/>
          </w:tcPr>
          <w:p>
            <w:pPr>
              <w:spacing w:after="0"/>
              <w:rPr>
                <w:sz w:val="1"/>
                <w:szCs w:val="1"/>
                <w:color w:val="auto"/>
              </w:rPr>
            </w:pPr>
          </w:p>
        </w:tc>
      </w:tr>
      <w:tr>
        <w:trPr>
          <w:trHeight w:val="33"/>
        </w:trPr>
        <w:tc>
          <w:tcPr>
            <w:tcW w:w="69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13,412</w:t>
            </w:r>
          </w:p>
        </w:tc>
        <w:tc>
          <w:tcPr>
            <w:tcW w:w="100" w:type="dxa"/>
            <w:vAlign w:val="bottom"/>
          </w:tcPr>
          <w:p>
            <w:pPr>
              <w:spacing w:after="0"/>
              <w:rPr>
                <w:sz w:val="23"/>
                <w:szCs w:val="23"/>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7,440</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Marketable securities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7,161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6,994</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$54 and $58, respectively</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9,916</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13,447</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12,766</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current assets</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46,146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40,957</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19,204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19,162</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Intangibles, net</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6,638</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7,896</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12,724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5,093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5,089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vMerge w:val="continue"/>
          </w:tcPr>
          <w:p>
            <w:pPr>
              <w:spacing w:after="0"/>
              <w:rPr>
                <w:sz w:val="21"/>
                <w:szCs w:val="21"/>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93,529</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Accounts payable</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23"/>
                <w:szCs w:val="23"/>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Accrued liabilities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4,549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9,607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10,755</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Deferred rent</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10,960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7"/>
        </w:trPr>
        <w:tc>
          <w:tcPr>
            <w:tcW w:w="69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0"/>
                <w:szCs w:val="20"/>
                <w:color w:val="auto"/>
              </w:rPr>
            </w:pPr>
            <w:r>
              <w:rPr>
                <w:rFonts w:ascii="Arial" w:cs="Arial" w:eastAsia="Arial" w:hAnsi="Arial"/>
                <w:sz w:val="18"/>
                <w:szCs w:val="18"/>
                <w:color w:val="auto"/>
                <w:w w:val="96"/>
              </w:rPr>
              <w:t>Common stock, par value $0.001, 50,000,000 shares authorized, 9,183,957 and 9,097,827</w:t>
            </w: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60"/>
              <w:spacing w:after="0"/>
              <w:rPr>
                <w:sz w:val="20"/>
                <w:szCs w:val="20"/>
                <w:color w:val="auto"/>
              </w:rPr>
            </w:pPr>
            <w:r>
              <w:rPr>
                <w:rFonts w:ascii="Arial" w:cs="Arial" w:eastAsia="Arial" w:hAnsi="Arial"/>
                <w:sz w:val="18"/>
                <w:szCs w:val="18"/>
                <w:color w:val="auto"/>
              </w:rPr>
              <w:t>shares issued and outstanding</w:t>
            </w:r>
          </w:p>
        </w:tc>
        <w:tc>
          <w:tcPr>
            <w:tcW w:w="7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46,291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44,939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7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Retained earnings</w:t>
            </w:r>
          </w:p>
        </w:tc>
        <w:tc>
          <w:tcPr>
            <w:tcW w:w="7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36,435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31,076</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shareholders' equity</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82,569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76,016</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vMerge w:val="continue"/>
          </w:tcPr>
          <w:p>
            <w:pPr>
              <w:spacing w:after="0"/>
              <w:rPr>
                <w:sz w:val="21"/>
                <w:szCs w:val="21"/>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93,529</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40"/>
          </w:cols>
          <w:pgMar w:left="600" w:top="580" w:right="5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18"/>
                <w:szCs w:val="18"/>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57,796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57,909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21,077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22,586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36,719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35,323</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26,457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27,348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10,262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7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540"/>
        </w:trPr>
        <w:tc>
          <w:tcPr>
            <w:tcW w:w="47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9,149,524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9,118,977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9,127,385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9,166,769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9,641,623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9,510,957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9,594,659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9,581,326</w:t>
            </w:r>
          </w:p>
        </w:tc>
        <w:tc>
          <w:tcPr>
            <w:tcW w:w="0" w:type="dxa"/>
            <w:vAlign w:val="bottom"/>
          </w:tcPr>
          <w:p>
            <w:pPr>
              <w:spacing w:after="0"/>
              <w:rPr>
                <w:sz w:val="1"/>
                <w:szCs w:val="1"/>
                <w:color w:val="auto"/>
              </w:rPr>
            </w:pPr>
          </w:p>
        </w:tc>
      </w:tr>
      <w:tr>
        <w:trPr>
          <w:trHeight w:val="567"/>
        </w:trPr>
        <w:tc>
          <w:tcPr>
            <w:tcW w:w="476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Unrealized gain(loss) on available-for-sale securities,</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Change in foreign currency translation adjustment</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40"/>
          </w:cols>
          <w:pgMar w:left="600" w:top="580" w:right="5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6"/>
                <w:szCs w:val="16"/>
                <w:b w:val="1"/>
                <w:bCs w:val="1"/>
                <w:color w:val="auto"/>
              </w:rPr>
              <w:t>Quarter ended December 31,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Non-GAAP Operating Income</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3,661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3,831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13,282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10,309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3,706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3,869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10,563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1,417</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715</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2,289</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3,154</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4"/>
                <w:szCs w:val="24"/>
                <w:color w:val="auto"/>
              </w:rPr>
            </w:pPr>
          </w:p>
        </w:tc>
        <w:tc>
          <w:tcPr>
            <w:tcW w:w="98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20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3"/>
                <w:szCs w:val="23"/>
                <w:color w:val="auto"/>
              </w:rPr>
            </w:pPr>
          </w:p>
        </w:tc>
        <w:tc>
          <w:tcPr>
            <w:tcW w:w="98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20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1,572</w:t>
            </w:r>
          </w:p>
        </w:tc>
        <w:tc>
          <w:tcPr>
            <w:tcW w:w="100" w:type="dxa"/>
            <w:vAlign w:val="bottom"/>
          </w:tcPr>
          <w:p>
            <w:pPr>
              <w:spacing w:after="0"/>
              <w:rPr>
                <w:sz w:val="24"/>
                <w:szCs w:val="24"/>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2,634</w:t>
            </w:r>
          </w:p>
        </w:tc>
        <w:tc>
          <w:tcPr>
            <w:tcW w:w="2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6,776</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62"/>
        </w:trPr>
        <w:tc>
          <w:tcPr>
            <w:tcW w:w="5000" w:type="dxa"/>
            <w:vAlign w:val="bottom"/>
          </w:tcPr>
          <w:p>
            <w:pPr>
              <w:spacing w:after="0"/>
              <w:rPr>
                <w:sz w:val="20"/>
                <w:szCs w:val="20"/>
                <w:color w:val="auto"/>
              </w:rPr>
            </w:pPr>
            <w:r>
              <w:rPr>
                <w:rFonts w:ascii="Arial" w:cs="Arial" w:eastAsia="Arial" w:hAnsi="Arial"/>
                <w:sz w:val="18"/>
                <w:szCs w:val="18"/>
                <w:color w:val="auto"/>
                <w:w w:val="94"/>
              </w:rPr>
              <w:t>Legal expenses, acquisition expenses, re-audit expenses, etc. not</w:t>
            </w: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60"/>
              <w:spacing w:after="0"/>
              <w:rPr>
                <w:sz w:val="20"/>
                <w:szCs w:val="20"/>
                <w:color w:val="auto"/>
              </w:rPr>
            </w:pPr>
            <w:r>
              <w:rPr>
                <w:rFonts w:ascii="Arial" w:cs="Arial" w:eastAsia="Arial" w:hAnsi="Arial"/>
                <w:sz w:val="18"/>
                <w:szCs w:val="18"/>
                <w:color w:val="auto"/>
              </w:rPr>
              <w:t>related to regular operations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1,099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2,289</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3,154</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6"/>
                <w:szCs w:val="16"/>
                <w:b w:val="1"/>
                <w:bCs w:val="1"/>
                <w:color w:val="auto"/>
              </w:rPr>
              <w:t>Quarter ended December 31,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GAAP Net Income</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gridSpan w:val="2"/>
            <w:vMerge w:val="continue"/>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1,572</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2,634</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6,776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1,035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3"/>
                <w:szCs w:val="23"/>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96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3,125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3,792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10,200</w:t>
            </w:r>
          </w:p>
        </w:tc>
        <w:tc>
          <w:tcPr>
            <w:tcW w:w="0" w:type="dxa"/>
            <w:vAlign w:val="bottom"/>
          </w:tcPr>
          <w:p>
            <w:pPr>
              <w:spacing w:after="0"/>
              <w:rPr>
                <w:sz w:val="1"/>
                <w:szCs w:val="1"/>
                <w:color w:val="auto"/>
              </w:rPr>
            </w:pPr>
          </w:p>
        </w:tc>
      </w:tr>
      <w:tr>
        <w:trPr>
          <w:trHeight w:val="249"/>
        </w:trPr>
        <w:tc>
          <w:tcPr>
            <w:tcW w:w="500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21"/>
                <w:szCs w:val="21"/>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62"/>
        </w:trPr>
        <w:tc>
          <w:tcPr>
            <w:tcW w:w="5000" w:type="dxa"/>
            <w:vAlign w:val="bottom"/>
            <w:gridSpan w:val="2"/>
          </w:tcPr>
          <w:p>
            <w:pPr>
              <w:spacing w:after="0"/>
              <w:rPr>
                <w:sz w:val="20"/>
                <w:szCs w:val="20"/>
                <w:color w:val="auto"/>
              </w:rPr>
            </w:pPr>
            <w:r>
              <w:rPr>
                <w:rFonts w:ascii="Arial" w:cs="Arial" w:eastAsia="Arial" w:hAnsi="Arial"/>
                <w:sz w:val="18"/>
                <w:szCs w:val="18"/>
                <w:color w:val="auto"/>
                <w:w w:val="94"/>
              </w:rPr>
              <w:t>Legal expenses, acquisition expenses, re-audit expenses, etc. not</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60"/>
              <w:spacing w:after="0"/>
              <w:rPr>
                <w:sz w:val="20"/>
                <w:szCs w:val="20"/>
                <w:color w:val="auto"/>
              </w:rPr>
            </w:pPr>
            <w:r>
              <w:rPr>
                <w:rFonts w:ascii="Arial" w:cs="Arial" w:eastAsia="Arial" w:hAnsi="Arial"/>
                <w:sz w:val="18"/>
                <w:szCs w:val="18"/>
                <w:color w:val="auto"/>
              </w:rPr>
              <w:t>related to regular operations</w:t>
            </w:r>
          </w:p>
        </w:tc>
        <w:tc>
          <w:tcPr>
            <w:tcW w:w="96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4"/>
              </w:rPr>
              <w:t>3,909</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4,075</w:t>
            </w:r>
          </w:p>
        </w:tc>
        <w:tc>
          <w:tcPr>
            <w:tcW w:w="2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14,379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00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4"/>
                <w:szCs w:val="24"/>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2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3"/>
                <w:szCs w:val="23"/>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2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2019-12-05T21:47:45Z</dcterms:created>
  <dcterms:modified xsi:type="dcterms:W3CDTF">2019-12-05T21:47:45Z</dcterms:modified>
</cp:coreProperties>
</file>