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ind w:left="3800"/>
        <w:spacing w:after="0"/>
        <w:rPr>
          <w:sz w:val="20"/>
          <w:szCs w:val="20"/>
          <w:color w:val="auto"/>
        </w:rPr>
      </w:pPr>
      <w:r>
        <w:rPr>
          <w:rFonts w:ascii="Arial" w:cs="Arial" w:eastAsia="Arial" w:hAnsi="Arial"/>
          <w:sz w:val="25"/>
          <w:szCs w:val="25"/>
          <w:b w:val="1"/>
          <w:bCs w:val="1"/>
          <w:color w:val="auto"/>
        </w:rPr>
        <w:t>SCHEDULE 13D/A</w:t>
      </w:r>
    </w:p>
    <w:p>
      <w:pPr>
        <w:spacing w:after="0" w:line="200" w:lineRule="exact"/>
        <w:rPr>
          <w:sz w:val="24"/>
          <w:szCs w:val="24"/>
          <w:color w:val="auto"/>
        </w:rPr>
      </w:pPr>
    </w:p>
    <w:p>
      <w:pPr>
        <w:spacing w:after="0" w:line="29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(Amendment No. 4)*</w:t>
      </w:r>
    </w:p>
    <w:p>
      <w:pPr>
        <w:spacing w:after="0" w:line="200" w:lineRule="exact"/>
        <w:rPr>
          <w:sz w:val="24"/>
          <w:szCs w:val="24"/>
          <w:color w:val="auto"/>
        </w:rPr>
      </w:pP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185060100</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Edward Dallin Bagley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2350 Oakhill Drive</w:t>
      </w:r>
    </w:p>
    <w:p>
      <w:pPr>
        <w:jc w:val="center"/>
        <w:ind w:right="479"/>
        <w:spacing w:after="0" w:line="230" w:lineRule="auto"/>
        <w:rPr>
          <w:sz w:val="20"/>
          <w:szCs w:val="20"/>
          <w:color w:val="auto"/>
        </w:rPr>
      </w:pPr>
      <w:r>
        <w:rPr>
          <w:rFonts w:ascii="Arial" w:cs="Arial" w:eastAsia="Arial" w:hAnsi="Arial"/>
          <w:sz w:val="22"/>
          <w:szCs w:val="22"/>
          <w:b w:val="1"/>
          <w:bCs w:val="1"/>
          <w:color w:val="auto"/>
        </w:rPr>
        <w:t>Salt Lake City, Utah 84121</w:t>
      </w:r>
    </w:p>
    <w:p>
      <w:pPr>
        <w:jc w:val="center"/>
        <w:ind w:right="479"/>
        <w:spacing w:after="0" w:line="231" w:lineRule="auto"/>
        <w:rPr>
          <w:sz w:val="20"/>
          <w:szCs w:val="20"/>
          <w:color w:val="auto"/>
        </w:rPr>
      </w:pPr>
      <w:r>
        <w:rPr>
          <w:rFonts w:ascii="Arial" w:cs="Arial" w:eastAsia="Arial" w:hAnsi="Arial"/>
          <w:sz w:val="22"/>
          <w:szCs w:val="22"/>
          <w:b w:val="1"/>
          <w:bCs w:val="1"/>
          <w:u w:val="single" w:color="auto"/>
          <w:color w:val="auto"/>
        </w:rPr>
        <w:t>Tel. (801) 573-8227</w:t>
      </w:r>
    </w:p>
    <w:p>
      <w:pPr>
        <w:jc w:val="center"/>
        <w:ind w:right="479"/>
        <w:spacing w:after="0"/>
        <w:rPr>
          <w:sz w:val="20"/>
          <w:szCs w:val="20"/>
          <w:color w:val="auto"/>
        </w:rPr>
      </w:pPr>
      <w:r>
        <w:rPr>
          <w:rFonts w:ascii="Arial" w:cs="Arial" w:eastAsia="Arial" w:hAnsi="Arial"/>
          <w:sz w:val="19"/>
          <w:szCs w:val="19"/>
          <w:color w:val="auto"/>
        </w:rPr>
        <w:t>(Name, Address and Telephone Number of Person Authorized to Receive Notices and Communications)</w:t>
      </w:r>
    </w:p>
    <w:p>
      <w:pPr>
        <w:spacing w:after="0" w:line="200" w:lineRule="exact"/>
        <w:rPr>
          <w:sz w:val="24"/>
          <w:szCs w:val="24"/>
          <w:color w:val="auto"/>
        </w:rPr>
      </w:pPr>
    </w:p>
    <w:p>
      <w:pPr>
        <w:spacing w:after="0" w:line="287"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November 5, 2013</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which is the subject of this Schedule 13D, and is filing this schedule because of Rule 13d-1(e), (f) (g), check the following box </w:t>
      </w:r>
      <w:r>
        <w:rPr>
          <w:sz w:val="1"/>
          <w:szCs w:val="1"/>
          <w:color w:val="auto"/>
        </w:rPr>
        <w:drawing>
          <wp:inline distT="0" distB="0" distL="0" distR="0">
            <wp:extent cx="107315" cy="107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wp:posOffset>
            </wp:positionH>
            <wp:positionV relativeFrom="paragraph">
              <wp:posOffset>-23495</wp:posOffset>
            </wp:positionV>
            <wp:extent cx="10731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187" w:lineRule="exact"/>
        <w:rPr>
          <w:sz w:val="24"/>
          <w:szCs w:val="24"/>
          <w:color w:val="auto"/>
        </w:rPr>
      </w:pPr>
    </w:p>
    <w:p>
      <w:pPr>
        <w:jc w:val="both"/>
        <w:ind w:right="499"/>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exhibits. See Rule 13d-7 for other parties to who copies are to be sent.</w:t>
      </w:r>
    </w:p>
    <w:p>
      <w:pPr>
        <w:spacing w:after="0" w:line="196"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right="499"/>
        <w:spacing w:after="0" w:line="29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617474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288405" cy="383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8405" cy="3835400"/>
                    </a:xfrm>
                    <a:prstGeom prst="rect">
                      <a:avLst/>
                    </a:prstGeom>
                    <a:noFill/>
                  </pic:spPr>
                </pic:pic>
              </a:graphicData>
            </a:graphic>
          </wp:anchor>
        </w:drawing>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Edward Dallin Bagley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3SEC Use Only</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4Source of Funds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5Check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6Citizenship or Place of Organization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6"/>
                <w:szCs w:val="16"/>
                <w:color w:val="auto"/>
              </w:rPr>
            </w:pPr>
          </w:p>
        </w:tc>
        <w:tc>
          <w:tcPr>
            <w:tcW w:w="8200" w:type="dxa"/>
            <w:vAlign w:val="bottom"/>
          </w:tcPr>
          <w:p>
            <w:pPr>
              <w:spacing w:after="0" w:line="195" w:lineRule="exact"/>
              <w:rPr>
                <w:sz w:val="20"/>
                <w:szCs w:val="20"/>
                <w:color w:val="auto"/>
              </w:rPr>
            </w:pPr>
            <w:r>
              <w:rPr>
                <w:rFonts w:ascii="Arial" w:cs="Arial" w:eastAsia="Arial" w:hAnsi="Arial"/>
                <w:sz w:val="18"/>
                <w:szCs w:val="18"/>
                <w:color w:val="auto"/>
              </w:rPr>
              <w:t>7Sole Voting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1,834,794</w:t>
            </w:r>
          </w:p>
        </w:tc>
        <w:tc>
          <w:tcPr>
            <w:tcW w:w="0" w:type="dxa"/>
            <w:vAlign w:val="bottom"/>
          </w:tcPr>
          <w:p>
            <w:pPr>
              <w:spacing w:after="0"/>
              <w:rPr>
                <w:sz w:val="1"/>
                <w:szCs w:val="1"/>
                <w:color w:val="auto"/>
              </w:rPr>
            </w:pPr>
          </w:p>
        </w:tc>
      </w:tr>
      <w:tr>
        <w:trPr>
          <w:trHeight w:val="109"/>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8Shared Voting Power</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80" w:type="dxa"/>
            <w:vAlign w:val="bottom"/>
            <w:tcBorders>
              <w:right w:val="single" w:sz="8" w:color="auto"/>
            </w:tcBorders>
            <w:vMerge w:val="continue"/>
          </w:tcPr>
          <w:p>
            <w:pPr>
              <w:spacing w:after="0"/>
              <w:rPr>
                <w:sz w:val="6"/>
                <w:szCs w:val="6"/>
                <w:color w:val="auto"/>
              </w:rPr>
            </w:pPr>
          </w:p>
        </w:tc>
        <w:tc>
          <w:tcPr>
            <w:tcW w:w="420" w:type="dxa"/>
            <w:vAlign w:val="bottom"/>
          </w:tcPr>
          <w:p>
            <w:pPr>
              <w:spacing w:after="0"/>
              <w:rPr>
                <w:sz w:val="6"/>
                <w:szCs w:val="6"/>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9Sole Dispositive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1,834,794</w:t>
            </w:r>
          </w:p>
        </w:tc>
        <w:tc>
          <w:tcPr>
            <w:tcW w:w="0" w:type="dxa"/>
            <w:vAlign w:val="bottom"/>
          </w:tcPr>
          <w:p>
            <w:pPr>
              <w:spacing w:after="0"/>
              <w:rPr>
                <w:sz w:val="1"/>
                <w:szCs w:val="1"/>
                <w:color w:val="auto"/>
              </w:rPr>
            </w:pPr>
          </w:p>
        </w:tc>
      </w:tr>
      <w:tr>
        <w:trPr>
          <w:trHeight w:val="136"/>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80" w:type="dxa"/>
            <w:vAlign w:val="bottom"/>
            <w:tcBorders>
              <w:right w:val="single" w:sz="8" w:color="auto"/>
            </w:tcBorders>
            <w:vMerge w:val="continue"/>
          </w:tcPr>
          <w:p>
            <w:pPr>
              <w:spacing w:after="0"/>
              <w:rPr>
                <w:sz w:val="5"/>
                <w:szCs w:val="5"/>
                <w:color w:val="auto"/>
              </w:rPr>
            </w:pPr>
          </w:p>
        </w:tc>
        <w:tc>
          <w:tcPr>
            <w:tcW w:w="8620" w:type="dxa"/>
            <w:vAlign w:val="bottom"/>
            <w:gridSpan w:val="2"/>
            <w:vMerge w:val="restart"/>
          </w:tcPr>
          <w:p>
            <w:pPr>
              <w:ind w:left="220"/>
              <w:spacing w:after="0" w:line="195" w:lineRule="exact"/>
              <w:rPr>
                <w:sz w:val="20"/>
                <w:szCs w:val="20"/>
                <w:color w:val="auto"/>
              </w:rPr>
            </w:pPr>
            <w:r>
              <w:rPr>
                <w:rFonts w:ascii="Arial" w:cs="Arial" w:eastAsia="Arial" w:hAnsi="Arial"/>
                <w:sz w:val="18"/>
                <w:szCs w:val="18"/>
                <w:color w:val="auto"/>
              </w:rPr>
              <w:t>10Shared Dispositive Power</w:t>
            </w:r>
          </w:p>
        </w:tc>
        <w:tc>
          <w:tcPr>
            <w:tcW w:w="0" w:type="dxa"/>
            <w:vAlign w:val="bottom"/>
          </w:tcPr>
          <w:p>
            <w:pPr>
              <w:spacing w:after="0"/>
              <w:rPr>
                <w:sz w:val="1"/>
                <w:szCs w:val="1"/>
                <w:color w:val="auto"/>
              </w:rPr>
            </w:pPr>
          </w:p>
        </w:tc>
      </w:tr>
      <w:tr>
        <w:trPr>
          <w:trHeight w:val="13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8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8620" w:type="dxa"/>
            <w:vAlign w:val="bottom"/>
            <w:gridSpan w:val="2"/>
            <w:vMerge w:val="restart"/>
          </w:tcPr>
          <w:p>
            <w:pPr>
              <w:ind w:left="104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9900" w:type="dxa"/>
            <w:vAlign w:val="bottom"/>
            <w:gridSpan w:val="3"/>
          </w:tcPr>
          <w:p>
            <w:pPr>
              <w:ind w:left="620"/>
              <w:spacing w:after="0" w:line="195" w:lineRule="exact"/>
              <w:rPr>
                <w:sz w:val="20"/>
                <w:szCs w:val="20"/>
                <w:color w:val="auto"/>
              </w:rPr>
            </w:pPr>
            <w:r>
              <w:rPr>
                <w:rFonts w:ascii="Arial" w:cs="Arial" w:eastAsia="Arial" w:hAnsi="Arial"/>
                <w:sz w:val="18"/>
                <w:szCs w:val="18"/>
                <w:color w:val="auto"/>
              </w:rPr>
              <w:t>11Aggregate Amount Beneficially Owned by Each Reporting Person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1,834,794</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420"/>
              <w:spacing w:after="0" w:line="207" w:lineRule="exact"/>
              <w:rPr>
                <w:sz w:val="20"/>
                <w:szCs w:val="20"/>
                <w:color w:val="auto"/>
              </w:rPr>
            </w:pPr>
            <w:r>
              <w:rPr>
                <w:rFonts w:ascii="Arial" w:cs="Arial" w:eastAsia="Arial" w:hAnsi="Arial"/>
                <w:sz w:val="18"/>
                <w:szCs w:val="18"/>
                <w:color w:val="auto"/>
              </w:rPr>
              <w:t xml:space="preserve">12Check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13Percentage of Class Represented by Amount in Row (11)</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14Type of Reporting Person (See Instructions)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479" w:firstLine="8"/>
        <w:spacing w:after="0" w:line="238" w:lineRule="auto"/>
        <w:tabs>
          <w:tab w:leader="none" w:pos="163" w:val="left"/>
        </w:tabs>
        <w:numPr>
          <w:ilvl w:val="0"/>
          <w:numId w:val="1"/>
        </w:numPr>
        <w:rPr>
          <w:rFonts w:ascii="Arial" w:cs="Arial" w:eastAsia="Arial" w:hAnsi="Arial"/>
          <w:sz w:val="22"/>
          <w:szCs w:val="22"/>
          <w:color w:val="auto"/>
        </w:rPr>
      </w:pPr>
      <w:r>
        <w:rPr>
          <w:rFonts w:ascii="Arial" w:cs="Arial" w:eastAsia="Arial" w:hAnsi="Arial"/>
          <w:sz w:val="22"/>
          <w:szCs w:val="22"/>
          <w:color w:val="auto"/>
        </w:rPr>
        <w:t>Mr. Bagley may be deemed to own 800,000 shares of common stock that are deemed to be owned by his wife, Carolyn Bagley, as a result of her acting as one of four co-trustees of a trust. Mr. Bagley may also be deemed to own 126,166 shares of common stock that Carolyn Bagley owns individually. Mr. Bagley, however, disclaims beneficial ownership of these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 Security and Issuer</w:t>
      </w:r>
    </w:p>
    <w:p>
      <w:pPr>
        <w:spacing w:after="0" w:line="239" w:lineRule="exact"/>
        <w:rPr>
          <w:sz w:val="20"/>
          <w:szCs w:val="20"/>
          <w:color w:val="auto"/>
        </w:rPr>
      </w:pPr>
    </w:p>
    <w:p>
      <w:pPr>
        <w:jc w:val="both"/>
        <w:ind w:right="479" w:firstLine="648"/>
        <w:spacing w:after="0" w:line="258" w:lineRule="auto"/>
        <w:rPr>
          <w:sz w:val="20"/>
          <w:szCs w:val="20"/>
          <w:color w:val="auto"/>
        </w:rPr>
      </w:pPr>
      <w:r>
        <w:rPr>
          <w:rFonts w:ascii="Arial" w:cs="Arial" w:eastAsia="Arial" w:hAnsi="Arial"/>
          <w:sz w:val="21"/>
          <w:szCs w:val="21"/>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Identity and Background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Name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statement is being filed by Edward Dallin Bagley.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Residence or business address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Bagley’s address is 2350 Oakhill Drive, Salt Lake City, Utah 84121.</w:t>
      </w:r>
    </w:p>
    <w:p>
      <w:pPr>
        <w:spacing w:after="0" w:line="227" w:lineRule="exact"/>
        <w:rPr>
          <w:sz w:val="20"/>
          <w:szCs w:val="20"/>
          <w:color w:val="auto"/>
        </w:rPr>
      </w:pPr>
    </w:p>
    <w:p>
      <w:pPr>
        <w:ind w:right="499" w:firstLine="656"/>
        <w:spacing w:after="0" w:line="256" w:lineRule="auto"/>
        <w:tabs>
          <w:tab w:leader="none" w:pos="958"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Present principal occupation or employment and the name, principal business and address of any corporation or other organization in which such employment is conducted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principally self-employed as an investor and attorney.</w:t>
      </w:r>
    </w:p>
    <w:p>
      <w:pPr>
        <w:spacing w:after="0" w:line="227" w:lineRule="exact"/>
        <w:rPr>
          <w:sz w:val="20"/>
          <w:szCs w:val="20"/>
          <w:color w:val="auto"/>
        </w:rPr>
      </w:pPr>
    </w:p>
    <w:p>
      <w:pPr>
        <w:jc w:val="both"/>
        <w:ind w:right="479" w:firstLine="656"/>
        <w:spacing w:after="0" w:line="301" w:lineRule="auto"/>
        <w:tabs>
          <w:tab w:leader="none" w:pos="1011"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right="499" w:firstLine="656"/>
        <w:spacing w:after="0" w:line="236" w:lineRule="auto"/>
        <w:tabs>
          <w:tab w:leader="none" w:pos="959"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 Citizenship.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a citizen of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Source and Amount of Funds or Other Consideration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3" w:name="page4"/>
    <w:bookmarkEnd w:id="3"/>
    <w:p>
      <w:pPr>
        <w:ind w:left="28"/>
        <w:spacing w:after="0"/>
        <w:rPr>
          <w:sz w:val="20"/>
          <w:szCs w:val="20"/>
          <w:color w:val="auto"/>
        </w:rPr>
      </w:pPr>
      <w:r>
        <w:rPr>
          <w:rFonts w:ascii="Arial" w:cs="Arial" w:eastAsia="Arial" w:hAnsi="Arial"/>
          <w:sz w:val="22"/>
          <w:szCs w:val="22"/>
          <w:b w:val="1"/>
          <w:bCs w:val="1"/>
          <w:color w:val="auto"/>
        </w:rPr>
        <w:t>Item 4.Purpose of Transaction</w:t>
      </w:r>
    </w:p>
    <w:p>
      <w:pPr>
        <w:spacing w:after="0" w:line="239" w:lineRule="exact"/>
        <w:rPr>
          <w:sz w:val="20"/>
          <w:szCs w:val="20"/>
          <w:color w:val="auto"/>
        </w:rPr>
      </w:pPr>
    </w:p>
    <w:p>
      <w:pPr>
        <w:jc w:val="both"/>
        <w:ind w:left="28" w:right="499" w:firstLine="648"/>
        <w:spacing w:after="0"/>
        <w:rPr>
          <w:sz w:val="20"/>
          <w:szCs w:val="20"/>
          <w:color w:val="auto"/>
        </w:rPr>
      </w:pPr>
      <w:r>
        <w:rPr>
          <w:rFonts w:ascii="Arial" w:cs="Arial" w:eastAsia="Arial" w:hAnsi="Arial"/>
          <w:sz w:val="22"/>
          <w:szCs w:val="22"/>
          <w:color w:val="auto"/>
        </w:rPr>
        <w:t>Mr. Bagley gifted 800,000 shares of Common Stock to the E. Dallin Bagley Irrevocable Trust (the “EDB Transaction”). Mr. Bagley is not a trustee or a beneficiary of the above referenced trust. Mr. Bagley entered into this transaction for estate planning purposes.</w:t>
      </w:r>
    </w:p>
    <w:p>
      <w:pPr>
        <w:spacing w:after="0" w:line="213" w:lineRule="exact"/>
        <w:rPr>
          <w:sz w:val="20"/>
          <w:szCs w:val="20"/>
          <w:color w:val="auto"/>
        </w:rPr>
      </w:pPr>
    </w:p>
    <w:p>
      <w:pPr>
        <w:jc w:val="both"/>
        <w:ind w:left="28" w:right="479" w:firstLine="648"/>
        <w:spacing w:after="0" w:line="271" w:lineRule="auto"/>
        <w:rPr>
          <w:sz w:val="20"/>
          <w:szCs w:val="20"/>
          <w:color w:val="auto"/>
        </w:rPr>
      </w:pPr>
      <w:r>
        <w:rPr>
          <w:rFonts w:ascii="Arial" w:cs="Arial" w:eastAsia="Arial" w:hAnsi="Arial"/>
          <w:sz w:val="19"/>
          <w:szCs w:val="19"/>
          <w:color w:val="auto"/>
        </w:rPr>
        <w:t>Mr. Bagley holds the remaining shares of Common Stock for investment purposes. 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200" w:lineRule="exact"/>
        <w:rPr>
          <w:sz w:val="20"/>
          <w:szCs w:val="20"/>
          <w:color w:val="auto"/>
        </w:rPr>
      </w:pPr>
    </w:p>
    <w:p>
      <w:pPr>
        <w:spacing w:after="0" w:line="239" w:lineRule="exact"/>
        <w:rPr>
          <w:sz w:val="20"/>
          <w:szCs w:val="20"/>
          <w:color w:val="auto"/>
        </w:rPr>
      </w:pPr>
    </w:p>
    <w:p>
      <w:pPr>
        <w:jc w:val="both"/>
        <w:ind w:left="28" w:right="499" w:firstLine="648"/>
        <w:spacing w:after="0"/>
        <w:rPr>
          <w:sz w:val="20"/>
          <w:szCs w:val="20"/>
          <w:color w:val="auto"/>
        </w:rPr>
      </w:pPr>
      <w:r>
        <w:rPr>
          <w:rFonts w:ascii="Arial" w:cs="Arial" w:eastAsia="Arial" w:hAnsi="Arial"/>
          <w:sz w:val="22"/>
          <w:szCs w:val="22"/>
          <w:color w:val="auto"/>
        </w:rPr>
        <w:t>Mr. Bagley is dissatisfied with the board of directors’ failure to authorize the Company to pay a one-time dividend in light of the Company’s current cash position. At this time, Mr. Bagley does not intend to support the reelection of the current board of directors.</w:t>
      </w:r>
    </w:p>
    <w:p>
      <w:pPr>
        <w:spacing w:after="0" w:line="213" w:lineRule="exact"/>
        <w:rPr>
          <w:sz w:val="20"/>
          <w:szCs w:val="20"/>
          <w:color w:val="auto"/>
        </w:rPr>
      </w:pPr>
    </w:p>
    <w:p>
      <w:pPr>
        <w:jc w:val="both"/>
        <w:ind w:left="28" w:right="499" w:firstLine="648"/>
        <w:spacing w:after="0" w:line="282" w:lineRule="auto"/>
        <w:rPr>
          <w:sz w:val="20"/>
          <w:szCs w:val="20"/>
          <w:color w:val="auto"/>
        </w:rPr>
      </w:pPr>
      <w:r>
        <w:rPr>
          <w:rFonts w:ascii="Arial" w:cs="Arial" w:eastAsia="Arial" w:hAnsi="Arial"/>
          <w:sz w:val="19"/>
          <w:szCs w:val="19"/>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175" w:lineRule="exact"/>
        <w:rPr>
          <w:sz w:val="20"/>
          <w:szCs w:val="20"/>
          <w:color w:val="auto"/>
        </w:rPr>
      </w:pPr>
    </w:p>
    <w:p>
      <w:pPr>
        <w:jc w:val="both"/>
        <w:ind w:left="28" w:right="499" w:firstLine="648"/>
        <w:spacing w:after="0" w:line="251" w:lineRule="auto"/>
        <w:rPr>
          <w:sz w:val="20"/>
          <w:szCs w:val="20"/>
          <w:color w:val="auto"/>
        </w:rPr>
      </w:pPr>
      <w:r>
        <w:rPr>
          <w:rFonts w:ascii="Arial" w:cs="Arial" w:eastAsia="Arial" w:hAnsi="Arial"/>
          <w:sz w:val="22"/>
          <w:szCs w:val="22"/>
          <w:color w:val="auto"/>
        </w:rPr>
        <w:t>Mr. Bagley had previously entered into a written stock purchase plans with a broker-dealer relating to the Common Stock which plans previously terminated in accordance with their terms.</w:t>
      </w:r>
    </w:p>
    <w:p>
      <w:pPr>
        <w:spacing w:after="0" w:line="194" w:lineRule="exact"/>
        <w:rPr>
          <w:sz w:val="20"/>
          <w:szCs w:val="20"/>
          <w:color w:val="auto"/>
        </w:rPr>
      </w:pPr>
    </w:p>
    <w:p>
      <w:pPr>
        <w:ind w:left="28"/>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239" w:lineRule="exact"/>
        <w:rPr>
          <w:sz w:val="20"/>
          <w:szCs w:val="20"/>
          <w:color w:val="auto"/>
        </w:rPr>
      </w:pPr>
    </w:p>
    <w:p>
      <w:pPr>
        <w:jc w:val="both"/>
        <w:ind w:left="28" w:right="499" w:firstLine="8"/>
        <w:spacing w:after="0" w:line="252" w:lineRule="auto"/>
        <w:tabs>
          <w:tab w:leader="none" w:pos="649" w:val="left"/>
        </w:tabs>
        <w:numPr>
          <w:ilvl w:val="0"/>
          <w:numId w:val="5"/>
        </w:numPr>
        <w:rPr>
          <w:rFonts w:ascii="Arial" w:cs="Arial" w:eastAsia="Arial" w:hAnsi="Arial"/>
          <w:sz w:val="21"/>
          <w:szCs w:val="21"/>
          <w:color w:val="auto"/>
        </w:rPr>
      </w:pPr>
      <w:r>
        <w:rPr>
          <w:rFonts w:ascii="Arial" w:cs="Arial" w:eastAsia="Arial" w:hAnsi="Arial"/>
          <w:sz w:val="21"/>
          <w:szCs w:val="21"/>
          <w:color w:val="auto"/>
        </w:rPr>
        <w:t>As of the date hereof and except for the option described below, Mr. Bagley is the beneficial owner of 1,833,960 shares of the Common Stock, representing approximately 20.4% of the Issuer’s outstanding Common Stock. Mr. Bagley also holds stock options that are currently exercisable or are exercisable within 60 days with respect to 834 shares of Common Stock which are currently vested.</w:t>
      </w:r>
    </w:p>
    <w:p>
      <w:pPr>
        <w:spacing w:after="0" w:line="201" w:lineRule="exact"/>
        <w:rPr>
          <w:sz w:val="20"/>
          <w:szCs w:val="20"/>
          <w:color w:val="auto"/>
        </w:rPr>
      </w:pPr>
    </w:p>
    <w:p>
      <w:pPr>
        <w:jc w:val="both"/>
        <w:ind w:left="28" w:right="499" w:firstLine="648"/>
        <w:spacing w:after="0" w:line="238" w:lineRule="auto"/>
        <w:rPr>
          <w:sz w:val="20"/>
          <w:szCs w:val="20"/>
          <w:color w:val="auto"/>
        </w:rPr>
      </w:pPr>
      <w:r>
        <w:rPr>
          <w:rFonts w:ascii="Arial" w:cs="Arial" w:eastAsia="Arial" w:hAnsi="Arial"/>
          <w:sz w:val="22"/>
          <w:szCs w:val="22"/>
          <w:color w:val="auto"/>
        </w:rPr>
        <w:t>Mr. Bagley may be deemed to own 800,000 shares of common stock that are deemed to be owned by his wife, Carolyn Bagley, as a result of her acting as one of four co-trustees of a trust. Mr. Bagley may also be deemed to own 126,166 shares of common stock that Carolyn Bagley owns individually. Mr. Bagley, however, disclaims beneficial ownership of these shares.</w:t>
      </w:r>
    </w:p>
    <w:p>
      <w:pPr>
        <w:spacing w:after="0" w:line="212" w:lineRule="exact"/>
        <w:rPr>
          <w:sz w:val="20"/>
          <w:szCs w:val="20"/>
          <w:color w:val="auto"/>
        </w:rPr>
      </w:pPr>
    </w:p>
    <w:p>
      <w:pPr>
        <w:ind w:left="648" w:hanging="648"/>
        <w:spacing w:after="0"/>
        <w:tabs>
          <w:tab w:leader="none" w:pos="648"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of Common Stock as to which the Reporting Person has:</w:t>
      </w:r>
    </w:p>
    <w:p>
      <w:pPr>
        <w:spacing w:after="0" w:line="233" w:lineRule="exact"/>
        <w:rPr>
          <w:rFonts w:ascii="Arial" w:cs="Arial" w:eastAsia="Arial" w:hAnsi="Arial"/>
          <w:sz w:val="22"/>
          <w:szCs w:val="22"/>
          <w:color w:val="auto"/>
        </w:rPr>
      </w:pPr>
    </w:p>
    <w:p>
      <w:pPr>
        <w:ind w:left="948" w:hanging="264"/>
        <w:spacing w:after="0"/>
        <w:tabs>
          <w:tab w:leader="none" w:pos="948"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direct the vote: 1,834,794</w:t>
      </w:r>
    </w:p>
    <w:p>
      <w:pPr>
        <w:spacing w:after="0" w:line="8" w:lineRule="exact"/>
        <w:rPr>
          <w:rFonts w:ascii="Arial" w:cs="Arial" w:eastAsia="Arial" w:hAnsi="Arial"/>
          <w:sz w:val="22"/>
          <w:szCs w:val="22"/>
          <w:color w:val="auto"/>
        </w:rPr>
      </w:pPr>
    </w:p>
    <w:p>
      <w:pPr>
        <w:ind w:left="1008" w:hanging="324"/>
        <w:spacing w:after="0" w:line="230" w:lineRule="auto"/>
        <w:tabs>
          <w:tab w:leader="none" w:pos="1008"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direct the vote: 0 *</w:t>
      </w:r>
    </w:p>
    <w:p>
      <w:pPr>
        <w:ind w:left="1068" w:hanging="384"/>
        <w:spacing w:after="0" w:line="230" w:lineRule="auto"/>
        <w:tabs>
          <w:tab w:leader="none" w:pos="1068"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dispose or direct the disposition: 1,834,794</w:t>
      </w:r>
    </w:p>
    <w:p>
      <w:pPr>
        <w:ind w:left="1048" w:hanging="364"/>
        <w:spacing w:after="0"/>
        <w:tabs>
          <w:tab w:leader="none" w:pos="1048"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0 *</w:t>
      </w:r>
    </w:p>
    <w:p>
      <w:pPr>
        <w:spacing w:after="0" w:line="215" w:lineRule="exact"/>
        <w:rPr>
          <w:sz w:val="20"/>
          <w:szCs w:val="20"/>
          <w:color w:val="auto"/>
        </w:rPr>
      </w:pPr>
    </w:p>
    <w:p>
      <w:pPr>
        <w:jc w:val="both"/>
        <w:ind w:left="28" w:right="479" w:firstLine="8"/>
        <w:spacing w:after="0" w:line="238" w:lineRule="auto"/>
        <w:tabs>
          <w:tab w:leader="none" w:pos="191" w:val="left"/>
        </w:tabs>
        <w:numPr>
          <w:ilvl w:val="0"/>
          <w:numId w:val="7"/>
        </w:numPr>
        <w:rPr>
          <w:rFonts w:ascii="Arial" w:cs="Arial" w:eastAsia="Arial" w:hAnsi="Arial"/>
          <w:sz w:val="22"/>
          <w:szCs w:val="22"/>
          <w:color w:val="auto"/>
        </w:rPr>
      </w:pPr>
      <w:r>
        <w:rPr>
          <w:rFonts w:ascii="Arial" w:cs="Arial" w:eastAsia="Arial" w:hAnsi="Arial"/>
          <w:sz w:val="22"/>
          <w:szCs w:val="22"/>
          <w:color w:val="auto"/>
        </w:rPr>
        <w:t>Mr. Bagley may be deemed to own 800,000 shares of common stock that are deemed to be owned by his wife, Carolyn Bagley, as a result of her acting as one of four co-trustees of a trust. Mr. Bagley may also be deemed to own 126,166 shares of common stock that Carolyn Bagley owns individually. Mr. Bagley, however, disclaims beneficial ownership of these shares.</w:t>
      </w:r>
    </w:p>
    <w:p>
      <w:pPr>
        <w:spacing w:after="0" w:line="212" w:lineRule="exact"/>
        <w:rPr>
          <w:sz w:val="20"/>
          <w:szCs w:val="20"/>
          <w:color w:val="auto"/>
        </w:rPr>
      </w:pPr>
    </w:p>
    <w:p>
      <w:pPr>
        <w:ind w:left="88" w:right="499" w:hanging="52"/>
        <w:spacing w:after="0" w:line="251"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EDB Transaction is the only transaction executed by Mr. Bagley with respect to the Common Stock during the past sixty (60) days by Mr. Bagley.</w:t>
      </w:r>
    </w:p>
    <w:p>
      <w:pPr>
        <w:spacing w:after="0" w:line="200" w:lineRule="exact"/>
        <w:rPr>
          <w:rFonts w:ascii="Arial" w:cs="Arial" w:eastAsia="Arial" w:hAnsi="Arial"/>
          <w:sz w:val="22"/>
          <w:szCs w:val="22"/>
          <w:color w:val="auto"/>
        </w:rPr>
      </w:pPr>
    </w:p>
    <w:p>
      <w:pPr>
        <w:ind w:left="28" w:right="499" w:firstLine="8"/>
        <w:spacing w:after="0" w:line="251" w:lineRule="auto"/>
        <w:tabs>
          <w:tab w:leader="none" w:pos="649" w:val="left"/>
        </w:tabs>
        <w:numPr>
          <w:ilvl w:val="0"/>
          <w:numId w:val="8"/>
        </w:numPr>
        <w:rPr>
          <w:rFonts w:ascii="Arial" w:cs="Arial" w:eastAsia="Arial" w:hAnsi="Arial"/>
          <w:sz w:val="22"/>
          <w:szCs w:val="22"/>
          <w:color w:val="auto"/>
        </w:rPr>
      </w:pPr>
      <w:r>
        <w:rPr>
          <w:rFonts w:ascii="Arial" w:cs="Arial" w:eastAsia="Arial" w:hAnsi="Arial"/>
          <w:sz w:val="22"/>
          <w:szCs w:val="22"/>
          <w:color w:val="auto"/>
        </w:rPr>
        <w:t>No person, other than Mr. Bagley, has the power to direct the receipt of dividends on and the proceeds of sales on the shares of Common Stock beneficially owned by Mr. Bagley.</w:t>
      </w:r>
    </w:p>
    <w:p>
      <w:pPr>
        <w:sectPr>
          <w:pgSz w:w="11900" w:h="16838" w:orient="portrait"/>
          <w:cols w:equalWidth="0" w:num="1">
            <w:col w:w="10247"/>
          </w:cols>
          <w:pgMar w:left="212" w:top="841" w:right="1440" w:bottom="68" w:gutter="0" w:footer="0" w:header="0"/>
        </w:sectPr>
      </w:pPr>
    </w:p>
    <w:bookmarkStart w:id="4" w:name="page5"/>
    <w:bookmarkEnd w:id="4"/>
    <w:p>
      <w:pPr>
        <w:ind w:left="36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617474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620" w:hanging="612"/>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right="499"/>
        <w:spacing w:after="0" w:line="256" w:lineRule="auto"/>
        <w:rPr>
          <w:sz w:val="20"/>
          <w:szCs w:val="20"/>
          <w:color w:val="auto"/>
        </w:rPr>
      </w:pPr>
      <w:r>
        <w:rPr>
          <w:rFonts w:ascii="Arial" w:cs="Arial" w:eastAsia="Arial" w:hAnsi="Arial"/>
          <w:sz w:val="22"/>
          <w:szCs w:val="22"/>
          <w:b w:val="1"/>
          <w:bCs w:val="1"/>
          <w:color w:val="auto"/>
        </w:rPr>
        <w:t>Item 6. Contracts, Arrangements, Understandings or Relationships With Respect to Securities of the Issuer</w:t>
      </w:r>
    </w:p>
    <w:p>
      <w:pPr>
        <w:spacing w:after="0" w:line="196" w:lineRule="exact"/>
        <w:rPr>
          <w:sz w:val="20"/>
          <w:szCs w:val="20"/>
          <w:color w:val="auto"/>
        </w:rPr>
      </w:pPr>
    </w:p>
    <w:p>
      <w:pPr>
        <w:jc w:val="both"/>
        <w:ind w:right="479" w:firstLine="648"/>
        <w:spacing w:after="0" w:line="248" w:lineRule="auto"/>
        <w:rPr>
          <w:sz w:val="20"/>
          <w:szCs w:val="20"/>
          <w:color w:val="auto"/>
        </w:rPr>
      </w:pPr>
      <w:r>
        <w:rPr>
          <w:rFonts w:ascii="Arial" w:cs="Arial" w:eastAsia="Arial" w:hAnsi="Arial"/>
          <w:sz w:val="21"/>
          <w:szCs w:val="21"/>
          <w:color w:val="auto"/>
        </w:rPr>
        <w:t>Except as otherwise described herein,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Materials to be Filed as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auto"/>
              </w:rPr>
              <w:t>Dated: November 12, 2013</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2"/>
              </w:rPr>
              <w:t>/s/ E. Dallin Bagley</w:t>
            </w:r>
          </w:p>
        </w:tc>
      </w:tr>
      <w:tr>
        <w:trPr>
          <w:trHeight w:val="237"/>
        </w:trPr>
        <w:tc>
          <w:tcPr>
            <w:tcW w:w="40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E. Dallin Bagley</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5</w:t>
      </w:r>
    </w:p>
    <w:sectPr>
      <w:pgSz w:w="11900" w:h="16838" w:orient="portrait"/>
      <w:cols w:equalWidth="0" w:num="1">
        <w:col w:w="10219"/>
      </w:cols>
      <w:pgMar w:left="240" w:top="8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3"/>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lvl w:ilvl="1">
      <w:lvlJc w:val="left"/>
      <w:lvlText w:val="(%2)"/>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2019-12-06T03:11:47Z</dcterms:created>
  <dcterms:modified xsi:type="dcterms:W3CDTF">2019-12-06T03:11:47Z</dcterms:modified>
</cp:coreProperties>
</file>