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0" w:right="1680" w:hanging="372"/>
        <w:spacing w:after="0" w:line="286" w:lineRule="auto"/>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September 30, 2022</w:t>
      </w:r>
    </w:p>
    <w:p>
      <w:pPr>
        <w:spacing w:after="0" w:line="155" w:lineRule="exact"/>
        <w:rPr>
          <w:sz w:val="24"/>
          <w:szCs w:val="24"/>
          <w:color w:val="auto"/>
        </w:rPr>
      </w:pPr>
    </w:p>
    <w:p>
      <w:pPr>
        <w:ind w:left="380" w:right="1700" w:hanging="372"/>
        <w:spacing w:after="0" w:line="286" w:lineRule="auto"/>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_______ to _______</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w:t>
      </w:r>
      <w:r>
        <w:rPr>
          <w:rFonts w:ascii="Times New Roman" w:cs="Times New Roman" w:eastAsia="Times New Roman" w:hAnsi="Times New Roman"/>
          <w:sz w:val="18"/>
          <w:szCs w:val="18"/>
          <w:b w:val="1"/>
          <w:bCs w:val="1"/>
          <w:u w:val="single" w:color="auto"/>
          <w:color w:val="auto"/>
        </w:rPr>
        <w:t>001-33660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CLEARONE, INC.</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9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34"/>
        </w:trPr>
        <w:tc>
          <w:tcPr>
            <w:tcW w:w="492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40" w:type="dxa"/>
            <w:vAlign w:val="bottom"/>
            <w:gridSpan w:val="3"/>
          </w:tcPr>
          <w:p>
            <w:pPr>
              <w:jc w:val="center"/>
              <w:ind w:right="8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34"/>
        </w:trPr>
        <w:tc>
          <w:tcPr>
            <w:tcW w:w="49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34"/>
        </w:trPr>
        <w:tc>
          <w:tcPr>
            <w:tcW w:w="49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(801) 975-7200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80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53"/>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492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7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CLRO</w:t>
            </w: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16" w:right="339" w:bottom="1440" w:gutter="0" w:footer="0" w:header="0"/>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Larger Accelerated Filer </w:t>
      </w:r>
      <w:r>
        <w:rPr>
          <w:rFonts w:ascii="MS PGothic" w:cs="MS PGothic" w:eastAsia="MS PGothic" w:hAnsi="MS PGothic"/>
          <w:sz w:val="17"/>
          <w:szCs w:val="17"/>
          <w:color w:val="auto"/>
        </w:rPr>
        <w:t>☐</w:t>
      </w:r>
    </w:p>
    <w:p>
      <w:pPr>
        <w:spacing w:after="0" w:line="8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16" w:right="339" w:bottom="1440" w:gutter="0" w:footer="0" w:header="0"/>
          <w:type w:val="continuous"/>
        </w:sectPr>
      </w:pPr>
    </w:p>
    <w:p>
      <w:pPr>
        <w:spacing w:after="0" w:line="1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ClearOne common stock outstanding as of November 11, 2022 was 23,952,555.</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 ENDED SEPTEMBER 30,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INDEX</w:t>
            </w: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rPr>
                <w:sz w:val="18"/>
                <w:szCs w:val="18"/>
                <w:color w:val="auto"/>
              </w:rPr>
            </w:pPr>
          </w:p>
        </w:tc>
        <w:tc>
          <w:tcPr>
            <w:tcW w:w="9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September 30, 2022 and December 31, 2021</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9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Loss for the three and nine months ended</w:t>
            </w: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28"/>
        </w:trPr>
        <w:tc>
          <w:tcPr>
            <w:tcW w:w="920" w:type="dxa"/>
            <w:vAlign w:val="bottom"/>
            <w:tcBorders>
              <w:top w:val="single" w:sz="8" w:color="CCEEFF"/>
            </w:tcBorders>
            <w:shd w:val="clear" w:color="auto" w:fill="CCEEFF"/>
          </w:tcPr>
          <w:p>
            <w:pPr>
              <w:spacing w:after="0"/>
              <w:rPr>
                <w:sz w:val="11"/>
                <w:szCs w:val="11"/>
                <w:color w:val="auto"/>
              </w:rPr>
            </w:pPr>
          </w:p>
        </w:tc>
        <w:tc>
          <w:tcPr>
            <w:tcW w:w="8940" w:type="dxa"/>
            <w:vAlign w:val="bottom"/>
            <w:tcBorders>
              <w:top w:val="single" w:sz="8" w:color="0000EE"/>
            </w:tcBorders>
            <w:gridSpan w:val="17"/>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2022 and 2021</w:t>
            </w:r>
          </w:p>
        </w:tc>
        <w:tc>
          <w:tcPr>
            <w:tcW w:w="420" w:type="dxa"/>
            <w:vAlign w:val="bottom"/>
            <w:tcBorders>
              <w:top w:val="single" w:sz="8" w:color="CCEEFF"/>
            </w:tcBorders>
            <w:vMerge w:val="restart"/>
            <w:shd w:val="clear" w:color="auto" w:fill="CCEEFF"/>
          </w:tcPr>
          <w:p>
            <w:pPr>
              <w:spacing w:after="0"/>
              <w:rPr>
                <w:sz w:val="11"/>
                <w:szCs w:val="11"/>
                <w:color w:val="auto"/>
              </w:rPr>
            </w:pPr>
          </w:p>
        </w:tc>
        <w:tc>
          <w:tcPr>
            <w:tcW w:w="96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920" w:type="dxa"/>
            <w:vAlign w:val="bottom"/>
            <w:shd w:val="clear" w:color="auto" w:fill="CCEEFF"/>
          </w:tcPr>
          <w:p>
            <w:pPr>
              <w:spacing w:after="0"/>
              <w:rPr>
                <w:sz w:val="7"/>
                <w:szCs w:val="7"/>
                <w:color w:val="auto"/>
              </w:rPr>
            </w:pPr>
          </w:p>
        </w:tc>
        <w:tc>
          <w:tcPr>
            <w:tcW w:w="8940" w:type="dxa"/>
            <w:vAlign w:val="bottom"/>
            <w:gridSpan w:val="17"/>
            <w:vMerge w:val="continue"/>
            <w:shd w:val="clear" w:color="auto" w:fill="CCEEFF"/>
          </w:tcPr>
          <w:p>
            <w:pPr>
              <w:spacing w:after="0"/>
              <w:rPr>
                <w:sz w:val="7"/>
                <w:szCs w:val="7"/>
                <w:color w:val="auto"/>
              </w:rPr>
            </w:pPr>
          </w:p>
        </w:tc>
        <w:tc>
          <w:tcPr>
            <w:tcW w:w="420" w:type="dxa"/>
            <w:vAlign w:val="bottom"/>
            <w:vMerge w:val="continue"/>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rPr>
                <w:sz w:val="18"/>
                <w:szCs w:val="18"/>
                <w:color w:val="auto"/>
              </w:rPr>
            </w:pPr>
          </w:p>
        </w:tc>
        <w:tc>
          <w:tcPr>
            <w:tcW w:w="9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nine months ended September 30, 2022 and 2021</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1260" w:type="dxa"/>
            <w:vAlign w:val="bottom"/>
            <w:tcBorders>
              <w:top w:val="single" w:sz="8" w:color="0000EE"/>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Notes to Condensed Consolidated Financial Statements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8760" w:type="dxa"/>
            <w:vAlign w:val="bottom"/>
            <w:tcBorders>
              <w:bottom w:val="single" w:sz="8" w:color="CCEEFF"/>
            </w:tcBorders>
            <w:gridSpan w:val="17"/>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4780" w:type="dxa"/>
            <w:vAlign w:val="bottom"/>
            <w:gridSpan w:val="13"/>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82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820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1,790</w:t>
            </w: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 of allowance for doubtful accounts of $326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4,991</w:t>
            </w: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10,033</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7,535</w:t>
            </w:r>
          </w:p>
        </w:tc>
      </w:tr>
      <w:tr>
        <w:trPr>
          <w:trHeight w:val="24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4,021</w:t>
            </w:r>
          </w:p>
        </w:tc>
      </w:tr>
      <w:tr>
        <w:trPr>
          <w:trHeight w:val="209"/>
        </w:trPr>
        <w:tc>
          <w:tcPr>
            <w:tcW w:w="8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3,567</w:t>
            </w: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1,537</w:t>
            </w: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25,086</w:t>
            </w:r>
          </w:p>
        </w:tc>
      </w:tr>
      <w:tr>
        <w:trPr>
          <w:trHeight w:val="2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4,597</w:t>
            </w:r>
          </w:p>
        </w:tc>
      </w:tr>
      <w:tr>
        <w:trPr>
          <w:trHeight w:val="263"/>
        </w:trPr>
        <w:tc>
          <w:tcPr>
            <w:tcW w:w="8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57,757</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0" w:type="dxa"/>
            <w:vAlign w:val="bottom"/>
            <w:tcBorders>
              <w:bottom w:val="single" w:sz="8" w:color="CCEEFF"/>
            </w:tcBorders>
          </w:tcPr>
          <w:p>
            <w:pPr>
              <w:spacing w:after="0"/>
              <w:rPr>
                <w:sz w:val="22"/>
                <w:szCs w:val="22"/>
                <w:color w:val="auto"/>
              </w:rPr>
            </w:pPr>
          </w:p>
        </w:tc>
      </w:tr>
      <w:tr>
        <w:trPr>
          <w:trHeight w:val="197"/>
        </w:trPr>
        <w:tc>
          <w:tcPr>
            <w:tcW w:w="8200" w:type="dxa"/>
            <w:vAlign w:val="bottom"/>
            <w:shd w:val="clear" w:color="auto" w:fill="CCEEFF"/>
          </w:tcPr>
          <w:p>
            <w:pPr>
              <w:ind w:left="22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5,388</w:t>
            </w: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2,549</w:t>
            </w:r>
          </w:p>
        </w:tc>
      </w:tr>
      <w:tr>
        <w:trPr>
          <w:trHeight w:val="2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3,481</w:t>
            </w:r>
          </w:p>
        </w:tc>
      </w:tr>
      <w:tr>
        <w:trPr>
          <w:trHeight w:val="210"/>
        </w:trPr>
        <w:tc>
          <w:tcPr>
            <w:tcW w:w="8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w:t>
            </w: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r>
      <w:tr>
        <w:trPr>
          <w:trHeight w:val="24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r>
      <w:tr>
        <w:trPr>
          <w:trHeight w:val="223"/>
        </w:trPr>
        <w:tc>
          <w:tcPr>
            <w:tcW w:w="8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8"/>
        </w:trPr>
        <w:tc>
          <w:tcPr>
            <w:tcW w:w="8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23,952,555 and 22,410,126 shares issued and</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respectively</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74,886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72,795</w:t>
            </w: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(24,544)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(21,072)</w:t>
            </w:r>
          </w:p>
        </w:tc>
      </w:tr>
      <w:tr>
        <w:trPr>
          <w:trHeight w:val="223"/>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51,504</w:t>
            </w:r>
          </w:p>
        </w:tc>
        <w:tc>
          <w:tcPr>
            <w:tcW w:w="100" w:type="dxa"/>
            <w:vAlign w:val="bottom"/>
            <w:tcBorders>
              <w:bottom w:val="single" w:sz="8" w:color="CCEEFF"/>
            </w:tcBorders>
          </w:tcPr>
          <w:p>
            <w:pPr>
              <w:spacing w:after="0"/>
              <w:rPr>
                <w:sz w:val="19"/>
                <w:szCs w:val="19"/>
                <w:color w:val="auto"/>
              </w:rPr>
            </w:pPr>
          </w:p>
        </w:tc>
      </w:tr>
      <w:tr>
        <w:trPr>
          <w:trHeight w:val="223"/>
        </w:trPr>
        <w:tc>
          <w:tcPr>
            <w:tcW w:w="8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5"/>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0" w:type="dxa"/>
            <w:vAlign w:val="bottom"/>
          </w:tcPr>
          <w:p>
            <w:pPr>
              <w:spacing w:after="0"/>
              <w:rPr>
                <w:sz w:val="18"/>
                <w:szCs w:val="18"/>
                <w:color w:val="auto"/>
              </w:rPr>
            </w:pPr>
          </w:p>
        </w:tc>
        <w:tc>
          <w:tcPr>
            <w:tcW w:w="278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8"/>
        </w:trPr>
        <w:tc>
          <w:tcPr>
            <w:tcW w:w="4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21,184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4,141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12,991</w:t>
            </w:r>
          </w:p>
        </w:tc>
        <w:tc>
          <w:tcPr>
            <w:tcW w:w="2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12,487</w:t>
            </w: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200" w:type="dxa"/>
            <w:vAlign w:val="bottom"/>
            <w:tcBorders>
              <w:top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1,692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4,273</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1,492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4,253</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1,676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5,146</w:t>
            </w:r>
          </w:p>
        </w:tc>
        <w:tc>
          <w:tcPr>
            <w:tcW w:w="2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200" w:type="dxa"/>
            <w:vAlign w:val="bottom"/>
            <w:tcBorders>
              <w:top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(1,130)</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(4,632)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(5,019)</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1,505</w:t>
            </w:r>
          </w:p>
        </w:tc>
        <w:tc>
          <w:tcPr>
            <w:tcW w:w="2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(3,412)</w:t>
            </w: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(5,371)</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spacing w:after="0"/>
              <w:rPr>
                <w:sz w:val="13"/>
                <w:szCs w:val="13"/>
                <w:color w:val="auto"/>
              </w:rPr>
            </w:pPr>
          </w:p>
        </w:tc>
        <w:tc>
          <w:tcPr>
            <w:tcW w:w="1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(3,472)</w:t>
            </w:r>
          </w:p>
        </w:tc>
        <w:tc>
          <w:tcPr>
            <w:tcW w:w="200" w:type="dxa"/>
            <w:vAlign w:val="bottom"/>
          </w:tcPr>
          <w:p>
            <w:pPr>
              <w:spacing w:after="0"/>
              <w:rPr>
                <w:sz w:val="13"/>
                <w:szCs w:val="13"/>
                <w:color w:val="auto"/>
              </w:rPr>
            </w:pPr>
          </w:p>
        </w:tc>
        <w:tc>
          <w:tcPr>
            <w:tcW w:w="260" w:type="dxa"/>
            <w:vAlign w:val="bottom"/>
          </w:tcPr>
          <w:p>
            <w:pPr>
              <w:jc w:val="right"/>
              <w:ind w:right="7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(5,410)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9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060" w:type="dxa"/>
            <w:vAlign w:val="bottom"/>
            <w:gridSpan w:val="2"/>
          </w:tcPr>
          <w:p>
            <w:pPr>
              <w:jc w:val="right"/>
              <w:ind w:right="1"/>
              <w:spacing w:after="0" w:line="68" w:lineRule="exact"/>
              <w:rPr>
                <w:sz w:val="20"/>
                <w:szCs w:val="20"/>
                <w:color w:val="auto"/>
              </w:rPr>
            </w:pPr>
            <w:r>
              <w:rPr>
                <w:rFonts w:ascii="Times New Roman" w:cs="Times New Roman" w:eastAsia="Times New Roman" w:hAnsi="Times New Roman"/>
                <w:sz w:val="7"/>
                <w:szCs w:val="7"/>
                <w:color w:val="auto"/>
              </w:rPr>
              <w:t>(2,169</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49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23,952,555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19,449,283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23,933,033</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19,002,758</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23,952,555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19,449,283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23,933,033</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19,002,758</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(1,248)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vMerge w:val="restart"/>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20" w:type="dxa"/>
            <w:vAlign w:val="bottom"/>
            <w:vMerge w:val="continue"/>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13"/>
                <w:szCs w:val="13"/>
                <w:color w:val="auto"/>
              </w:rPr>
            </w:pPr>
          </w:p>
        </w:tc>
        <w:tc>
          <w:tcPr>
            <w:tcW w:w="10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(3,519)</w:t>
            </w:r>
          </w:p>
        </w:tc>
        <w:tc>
          <w:tcPr>
            <w:tcW w:w="200" w:type="dxa"/>
            <w:vAlign w:val="bottom"/>
            <w:tcBorders>
              <w:right w:val="single" w:sz="8" w:color="CCEEFF"/>
            </w:tcBorders>
            <w:vMerge w:val="continue"/>
            <w:shd w:val="clear" w:color="auto" w:fill="CCEEFF"/>
          </w:tcPr>
          <w:p>
            <w:pPr>
              <w:spacing w:after="0"/>
              <w:rPr>
                <w:sz w:val="13"/>
                <w:szCs w:val="13"/>
                <w:color w:val="auto"/>
              </w:rPr>
            </w:pPr>
          </w:p>
        </w:tc>
        <w:tc>
          <w:tcPr>
            <w:tcW w:w="260" w:type="dxa"/>
            <w:vAlign w:val="bottom"/>
            <w:shd w:val="clear" w:color="auto" w:fill="CCEEFF"/>
          </w:tcPr>
          <w:p>
            <w:pPr>
              <w:jc w:val="right"/>
              <w:ind w:right="70"/>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(5,449)</w:t>
            </w:r>
          </w:p>
        </w:tc>
        <w:tc>
          <w:tcPr>
            <w:tcW w:w="1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980" w:type="dxa"/>
            <w:vAlign w:val="bottom"/>
            <w:vMerge w:val="continue"/>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060" w:type="dxa"/>
            <w:vAlign w:val="bottom"/>
            <w:gridSpan w:val="2"/>
            <w:shd w:val="clear" w:color="auto" w:fill="CCEEFF"/>
          </w:tcPr>
          <w:p>
            <w:pPr>
              <w:jc w:val="right"/>
              <w:ind w:right="1"/>
              <w:spacing w:after="0" w:line="68" w:lineRule="exact"/>
              <w:rPr>
                <w:sz w:val="20"/>
                <w:szCs w:val="20"/>
                <w:color w:val="auto"/>
              </w:rPr>
            </w:pPr>
            <w:r>
              <w:rPr>
                <w:rFonts w:ascii="Times New Roman" w:cs="Times New Roman" w:eastAsia="Times New Roman" w:hAnsi="Times New Roman"/>
                <w:sz w:val="7"/>
                <w:szCs w:val="7"/>
                <w:color w:val="auto"/>
              </w:rPr>
              <w:t>(2,181</w:t>
            </w:r>
          </w:p>
        </w:tc>
        <w:tc>
          <w:tcPr>
            <w:tcW w:w="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80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(3,472)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(5,410)</w:t>
            </w: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2,390</w:t>
            </w: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2,042</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 net</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of inventory to net realizable value</w:t>
            </w:r>
          </w:p>
        </w:tc>
        <w:tc>
          <w:tcPr>
            <w:tcW w:w="14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recognized on Paycheck Protection Plan Loan forgiveness</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(1,528)</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868</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710</w:t>
            </w: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1,724</w:t>
            </w: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2,051</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(973)</w:t>
            </w: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(3,336)</w:t>
            </w: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14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product revenue</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(468)</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(474)</w:t>
            </w:r>
          </w:p>
        </w:tc>
      </w:tr>
      <w:tr>
        <w:trPr>
          <w:trHeight w:val="223"/>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4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20" w:type="dxa"/>
            <w:vAlign w:val="bottom"/>
            <w:tcBorders>
              <w:top w:val="single" w:sz="8" w:color="CCEEFF"/>
            </w:tcBorders>
            <w:shd w:val="clear" w:color="auto" w:fill="CCEEFF"/>
          </w:tcPr>
          <w:p>
            <w:pPr>
              <w:spacing w:after="0"/>
              <w:rPr>
                <w:sz w:val="19"/>
                <w:szCs w:val="19"/>
                <w:color w:val="auto"/>
              </w:rPr>
            </w:pPr>
          </w:p>
        </w:tc>
      </w:tr>
      <w:tr>
        <w:trPr>
          <w:trHeight w:val="209"/>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40" w:type="dxa"/>
            <w:vAlign w:val="bottom"/>
          </w:tcPr>
          <w:p>
            <w:pPr>
              <w:spacing w:after="0"/>
              <w:rPr>
                <w:sz w:val="19"/>
                <w:szCs w:val="19"/>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intangibles</w:t>
            </w:r>
          </w:p>
        </w:tc>
        <w:tc>
          <w:tcPr>
            <w:tcW w:w="1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patent defense costs</w:t>
            </w:r>
          </w:p>
        </w:tc>
        <w:tc>
          <w:tcPr>
            <w:tcW w:w="140" w:type="dxa"/>
            <w:vAlign w:val="bottom"/>
          </w:tcPr>
          <w:p>
            <w:pPr>
              <w:spacing w:after="0"/>
              <w:rPr>
                <w:sz w:val="19"/>
                <w:szCs w:val="19"/>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(642)</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(5,348)</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3,008</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1,971</w:t>
            </w:r>
          </w:p>
        </w:tc>
      </w:tr>
      <w:tr>
        <w:trPr>
          <w:trHeight w:val="24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0" w:type="dxa"/>
            <w:vAlign w:val="bottom"/>
          </w:tcPr>
          <w:p>
            <w:pPr>
              <w:spacing w:after="0"/>
              <w:rPr>
                <w:sz w:val="21"/>
                <w:szCs w:val="21"/>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w:t>
            </w:r>
          </w:p>
        </w:tc>
      </w:tr>
      <w:tr>
        <w:trPr>
          <w:trHeight w:val="223"/>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4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220" w:type="dxa"/>
            <w:vAlign w:val="bottom"/>
            <w:tcBorders>
              <w:top w:val="single" w:sz="8" w:color="CCEEFF"/>
            </w:tcBorders>
            <w:shd w:val="clear" w:color="auto" w:fill="CCEEFF"/>
          </w:tcPr>
          <w:p>
            <w:pPr>
              <w:spacing w:after="0"/>
              <w:rPr>
                <w:sz w:val="19"/>
                <w:szCs w:val="19"/>
                <w:color w:val="auto"/>
              </w:rPr>
            </w:pPr>
          </w:p>
        </w:tc>
      </w:tr>
      <w:tr>
        <w:trPr>
          <w:trHeight w:val="210"/>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issuance of common stock and warrants</w:t>
            </w:r>
          </w:p>
        </w:tc>
        <w:tc>
          <w:tcPr>
            <w:tcW w:w="14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9,288</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short-term notes</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proceeds from equity-based compensation programs</w:t>
            </w:r>
          </w:p>
        </w:tc>
        <w:tc>
          <w:tcPr>
            <w:tcW w:w="14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Paycheck Protection Program loan refund upon full forgiveness net of loan payments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768</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140" w:type="dxa"/>
            <w:vAlign w:val="bottom"/>
          </w:tcPr>
          <w:p>
            <w:pPr>
              <w:spacing w:after="0"/>
              <w:rPr>
                <w:sz w:val="21"/>
                <w:szCs w:val="21"/>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(540)</w:t>
            </w: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220" w:type="dxa"/>
            <w:vAlign w:val="bottom"/>
            <w:tcBorders>
              <w:top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36" w:lineRule="exact"/>
        <w:rPr>
          <w:sz w:val="20"/>
          <w:szCs w:val="20"/>
          <w:color w:val="auto"/>
        </w:rPr>
      </w:pPr>
    </w:p>
    <w:p>
      <w:pPr>
        <w:ind w:right="340"/>
        <w:spacing w:after="0" w:line="329" w:lineRule="auto"/>
        <w:rPr>
          <w:sz w:val="20"/>
          <w:szCs w:val="20"/>
          <w:color w:val="auto"/>
        </w:rPr>
      </w:pPr>
      <w:r>
        <w:rPr>
          <w:rFonts w:ascii="Times New Roman" w:cs="Times New Roman" w:eastAsia="Times New Roman" w:hAnsi="Times New Roman"/>
          <w:sz w:val="18"/>
          <w:szCs w:val="18"/>
          <w:color w:val="auto"/>
        </w:rPr>
        <w:t>Cash and cash equivalents at the beginning of the period Cash and cash equivalents at the end of the period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32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59"/>
        </w:trPr>
        <w:tc>
          <w:tcPr>
            <w:tcW w:w="50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379</w:t>
            </w:r>
          </w:p>
        </w:tc>
        <w:tc>
          <w:tcPr>
            <w:tcW w:w="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60" w:type="dxa"/>
            <w:vAlign w:val="bottom"/>
          </w:tcPr>
          <w:p>
            <w:pPr>
              <w:spacing w:after="0"/>
              <w:rPr>
                <w:sz w:val="24"/>
                <w:szCs w:val="24"/>
                <w:color w:val="auto"/>
              </w:rPr>
            </w:pPr>
          </w:p>
        </w:tc>
      </w:tr>
      <w:tr>
        <w:trPr>
          <w:trHeight w:val="243"/>
        </w:trPr>
        <w:tc>
          <w:tcPr>
            <w:tcW w:w="500" w:type="dxa"/>
            <w:vAlign w:val="bottom"/>
          </w:tcPr>
          <w:p>
            <w:pPr>
              <w:spacing w:after="0"/>
              <w:rPr>
                <w:sz w:val="21"/>
                <w:szCs w:val="21"/>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1,071</w:t>
            </w: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60" w:type="dxa"/>
            <w:vAlign w:val="bottom"/>
          </w:tcPr>
          <w:p>
            <w:pPr>
              <w:spacing w:after="0"/>
              <w:rPr>
                <w:sz w:val="21"/>
                <w:szCs w:val="21"/>
                <w:color w:val="auto"/>
              </w:rPr>
            </w:pPr>
          </w:p>
        </w:tc>
      </w:tr>
      <w:tr>
        <w:trPr>
          <w:trHeight w:val="223"/>
        </w:trPr>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4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60" w:type="dxa"/>
            <w:vAlign w:val="bottom"/>
          </w:tcPr>
          <w:p>
            <w:pPr>
              <w:spacing w:after="0"/>
              <w:rPr>
                <w:sz w:val="19"/>
                <w:szCs w:val="19"/>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-479425</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-179070</wp:posOffset>
            </wp:positionV>
            <wp:extent cx="7132320"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6"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6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420" w:space="320"/>
            <w:col w:w="650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supplemental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8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20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UNAUIDTED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Description,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Description: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fiscal year for ClearOne is the twelve months ending on December 31. The condensed consolidated financial statements include the accounts of ClearOne and its subsidiaries. All significant inter-company accounts and transactions have been eliminated.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September 30, 2022 and December 31, 2021, the results of operations for the three and nine months ended September 30, 2022 and 2021, and the cash flows for the nine months ended September 30, 2022 and 2021. The results of operations for the three and nine months ended September 30, 2022 and 2021 are not necessarily indicative of the results for a full-year period. These interim unaudited condensed consolidated financial statements should be read in conjunction with the financial statements included in our Annual Report on Form 10-K for the year ended December 31, 2021 filed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were described in Note 1 to the audited consolidated financial statements included in the Company’s annual report on Form 10-K for the year ended December 31, 2021. There have been no changes to these policies during the September 30, 2022 that are of significance or potential significance to the Company.</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Recent accounting pronouncements: </w:t>
      </w:r>
      <w:r>
        <w:rPr>
          <w:rFonts w:ascii="Times New Roman" w:cs="Times New Roman" w:eastAsia="Times New Roman" w:hAnsi="Times New Roman"/>
          <w:sz w:val="18"/>
          <w:szCs w:val="18"/>
          <w:color w:val="auto"/>
        </w:rPr>
        <w:t>The Company has determined that recently issued accounting standards will not have a material impact on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position, results of operations or cash flows.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2022, our cash and cash equivalents were approximately $1,450 compared to $1,071 as of December 31, 2021. Our working capital was $19,329 as of September 30, 2022. Net cash used in operating activities was $2,060 for the nine months ended September 30, 2022, an increase of $583 from $1,477 of cash used in operating activities in the nine months ended September 30, 2021. The Company is currently pursuing all reasonably available legal remedies to defend its strategic patents from infringement. The Company has already spent approximately $28,798 from 2016 through September 30, 2022 towards this litigation and may be required to spend more to continue its legal defense. In order to maintain liquidity, the Company has been actively engaged in preserving cash by implementing company-wide cost reduction measures and raising additional capital. The company raised additional capital in 2019 by issuing senior convertible notes, in 2020 by borrowing through the CARES Act Paycheck Protection Program and issuing common stock and warrants and in 2021 by issuing short-term notes and issuing common stock and warrants. In January 2022, the Company issued $2,000 in common stock as consideration for the cancellation and termination of the short-term notes. In October 2022, the Company issued short term notes to raise $2,000. In addition, the Company has been generating additional cash as our inventory levels are brought down to historical levels.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believes that the Company's core strategies of product innovation and prudent cost management will bring the company back to profitability in the future. The Company believes, although there can be no assurance, that all of these measures and effective management of working capital, including collecting on the income taxes receivable balance, will provide the liquidity needed to meet our operating needs through at least November 14, 2023. The Company also believes that its strong portfolio of intellectual property and its solid brand equity in the market will enable it to raise additional capital if and when needed to meet its short and long-term financing needs; however, there can be no assurance that, if needed, the Company will be successful in obtaining the necessary funds through equity or debt financing. If the Company needs additional capital and is unable to secure financing, it may be required to further reduce expenses, delay product development and enhancement, or revise its strategy regarding ongoing litigation.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primary product groups: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94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8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8"/>
        </w:trPr>
        <w:tc>
          <w:tcPr>
            <w:tcW w:w="3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Audio conferencing</w:t>
            </w: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Microphones</w:t>
            </w:r>
          </w:p>
        </w:tc>
        <w:tc>
          <w:tcPr>
            <w:tcW w:w="2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2,475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2,659</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8,525</w:t>
            </w: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products</w:t>
            </w:r>
          </w:p>
        </w:tc>
        <w:tc>
          <w:tcPr>
            <w:tcW w:w="20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1,417</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3,004</w:t>
            </w: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6,264</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6,992</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21,184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21,765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major regions: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4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8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and South America</w:t>
            </w: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(includes Middle East, India and Australia)</w:t>
            </w: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2,018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2,130</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6,153</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and Africa</w:t>
            </w:r>
          </w:p>
        </w:tc>
        <w:tc>
          <w:tcPr>
            <w:tcW w:w="7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995</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6,264</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6,992</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21,184</w:t>
            </w:r>
          </w:p>
        </w:tc>
        <w:tc>
          <w:tcPr>
            <w:tcW w:w="1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21,765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tcPr>
          <w:p>
            <w:pPr>
              <w:spacing w:after="0"/>
              <w:rPr>
                <w:sz w:val="24"/>
                <w:szCs w:val="24"/>
                <w:color w:val="auto"/>
              </w:rPr>
            </w:pPr>
          </w:p>
        </w:tc>
        <w:tc>
          <w:tcPr>
            <w:tcW w:w="15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7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per common share is computed based on the weighted-average number of common shares outstanding and, when appropriate, dilutive potential common stock outstanding during the period. Stock options, warrants and the convertible portion of senior convertible notes are considered to be potential common stock. The computation of diluted earnings (loss) per share does not assume exercise or conversion of securities that would have an anti-dilutive effect.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common share: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7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52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CCEEFF"/>
            </w:tcBorders>
          </w:tcPr>
          <w:p>
            <w:pPr>
              <w:spacing w:after="0"/>
              <w:rPr>
                <w:sz w:val="19"/>
                <w:szCs w:val="19"/>
                <w:color w:val="auto"/>
              </w:rPr>
            </w:pP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(1,248)</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(2,169)</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(5,410)</w:t>
            </w:r>
          </w:p>
        </w:tc>
      </w:tr>
      <w:tr>
        <w:trPr>
          <w:trHeight w:val="22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9"/>
        </w:trPr>
        <w:tc>
          <w:tcPr>
            <w:tcW w:w="5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23,952,555</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19,449,283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23,933,033</w:t>
            </w: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19,002,758</w:t>
            </w:r>
          </w:p>
        </w:tc>
      </w:tr>
      <w:tr>
        <w:trPr>
          <w:trHeight w:val="243"/>
        </w:trPr>
        <w:tc>
          <w:tcPr>
            <w:tcW w:w="5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Dilutive common stock equivalents using treasury stock method</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23,952,555</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19,449,283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23,933,033</w:t>
            </w:r>
          </w:p>
        </w:tc>
        <w:tc>
          <w:tcPr>
            <w:tcW w:w="2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19,002,758</w:t>
            </w:r>
          </w:p>
        </w:tc>
      </w:tr>
      <w:tr>
        <w:trPr>
          <w:trHeight w:val="197"/>
        </w:trPr>
        <w:tc>
          <w:tcPr>
            <w:tcW w:w="5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3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9"/>
        </w:trPr>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8"/>
        </w:trPr>
        <w:tc>
          <w:tcPr>
            <w:tcW w:w="5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options, warrants and convertible portion of senior</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outstanding</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6,694,433</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4,240,247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6,896,803</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3,826,807</w:t>
            </w:r>
          </w:p>
        </w:tc>
      </w:tr>
      <w:tr>
        <w:trPr>
          <w:trHeight w:val="198"/>
        </w:trPr>
        <w:tc>
          <w:tcPr>
            <w:tcW w:w="5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Anti-dilutive options, warrants and convertible portion of senior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not included in the computation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6,694,433</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4,240,247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6,896,803</w:t>
            </w:r>
          </w:p>
        </w:tc>
        <w:tc>
          <w:tcPr>
            <w:tcW w:w="26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3,826,807</w:t>
            </w:r>
          </w:p>
        </w:tc>
      </w:tr>
      <w:tr>
        <w:trPr>
          <w:trHeight w:val="459"/>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991"/>
              <w:spacing w:after="0"/>
              <w:rPr>
                <w:sz w:val="20"/>
                <w:szCs w:val="20"/>
                <w:color w:val="auto"/>
              </w:rPr>
            </w:pPr>
            <w:r>
              <w:rPr>
                <w:rFonts w:ascii="Times New Roman" w:cs="Times New Roman" w:eastAsia="Times New Roman" w:hAnsi="Times New Roman"/>
                <w:sz w:val="17"/>
                <w:szCs w:val="17"/>
                <w:color w:val="auto"/>
                <w:w w:val="70"/>
              </w:rPr>
              <w:t>9</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8"/>
        </w:trPr>
        <w:tc>
          <w:tcPr>
            <w:tcW w:w="5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classified its marketable securities as available-for-sale securities. These securities are carried at estimated fair value with unrealized holding gains and losses included in accumulated other comprehensive loss in stockholders’ equity until realized. Gains and losses on marketable security transactions are reported on the specific-identification method. Dividend and interest income are recognized when earned.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holding gains, gross unrealized holding losses, and fair value for available-for-sale securities by major security type and class of securities at December 31, 2021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8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holding gains</w:t>
            </w: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9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4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8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2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available-for-sale securities as of September 30, 2022.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as of September 30, 2022 and December 31, 2021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280" w:type="dxa"/>
            <w:vAlign w:val="bottom"/>
          </w:tcPr>
          <w:p>
            <w:pPr>
              <w:spacing w:after="0"/>
              <w:rPr>
                <w:sz w:val="20"/>
                <w:szCs w:val="20"/>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lives (years)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technological know-how</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34,288</w:t>
            </w:r>
          </w:p>
        </w:tc>
        <w:tc>
          <w:tcPr>
            <w:tcW w:w="5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33,553</w:t>
            </w:r>
          </w:p>
        </w:tc>
      </w:tr>
      <w:tr>
        <w:trPr>
          <w:trHeight w:val="22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software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2,981</w:t>
            </w: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2,981</w:t>
            </w: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323</w:t>
            </w:r>
          </w:p>
        </w:tc>
        <w:tc>
          <w:tcPr>
            <w:tcW w:w="5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r>
      <w:tr>
        <w:trPr>
          <w:trHeight w:val="209"/>
        </w:trPr>
        <w:tc>
          <w:tcPr>
            <w:tcW w:w="5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38,147</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(14,364)</w:t>
            </w: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(12,326)</w:t>
            </w:r>
          </w:p>
        </w:tc>
      </w:tr>
      <w:tr>
        <w:trPr>
          <w:trHeight w:val="223"/>
        </w:trPr>
        <w:tc>
          <w:tcPr>
            <w:tcW w:w="5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amortization of intangible assets for the three and nine months ended September 30, 2022 and 2021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84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78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2,038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is as follows: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w:t>
            </w: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2,748</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2,484</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2,423</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2,423</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13,016</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5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of reserves, as of September 30, 2022 and December 31, 2021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3880" w:type="dxa"/>
            <w:vAlign w:val="bottom"/>
            <w:gridSpan w:val="2"/>
          </w:tcPr>
          <w:p>
            <w:pPr>
              <w:jc w:val="right"/>
              <w:ind w:right="45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4,835</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4,085</w:t>
            </w:r>
          </w:p>
        </w:tc>
      </w:tr>
      <w:tr>
        <w:trPr>
          <w:trHeight w:val="243"/>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3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4,873</w:t>
            </w:r>
          </w:p>
        </w:tc>
        <w:tc>
          <w:tcPr>
            <w:tcW w:w="5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5,948</w:t>
            </w:r>
          </w:p>
        </w:tc>
      </w:tr>
      <w:tr>
        <w:trPr>
          <w:trHeight w:val="263"/>
        </w:trPr>
        <w:tc>
          <w:tcPr>
            <w:tcW w:w="4520" w:type="dxa"/>
            <w:vAlign w:val="bottom"/>
            <w:tcBorders>
              <w:bottom w:val="single" w:sz="8" w:color="CCEEFF"/>
            </w:tcBorders>
          </w:tcPr>
          <w:p>
            <w:pPr>
              <w:spacing w:after="0"/>
              <w:rPr>
                <w:sz w:val="22"/>
                <w:szCs w:val="22"/>
                <w:color w:val="auto"/>
              </w:rPr>
            </w:pPr>
          </w:p>
        </w:tc>
        <w:tc>
          <w:tcPr>
            <w:tcW w:w="3260" w:type="dxa"/>
            <w:vAlign w:val="bottom"/>
            <w:tcBorders>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3"/>
              </w:rPr>
              <w:t>9,708</w:t>
            </w:r>
          </w:p>
        </w:tc>
        <w:tc>
          <w:tcPr>
            <w:tcW w:w="220" w:type="dxa"/>
            <w:vAlign w:val="bottom"/>
            <w:tcBorders>
              <w:bottom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00" w:type="dxa"/>
            <w:vAlign w:val="bottom"/>
            <w:tcBorders>
              <w:bottom w:val="single" w:sz="8" w:color="CCEEFF"/>
            </w:tcBorders>
          </w:tcPr>
          <w:p>
            <w:pPr>
              <w:spacing w:after="0"/>
              <w:rPr>
                <w:sz w:val="22"/>
                <w:szCs w:val="22"/>
                <w:color w:val="auto"/>
              </w:rPr>
            </w:pPr>
          </w:p>
        </w:tc>
      </w:tr>
      <w:tr>
        <w:trPr>
          <w:trHeight w:val="196"/>
        </w:trPr>
        <w:tc>
          <w:tcPr>
            <w:tcW w:w="45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3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3880" w:type="dxa"/>
            <w:vAlign w:val="bottom"/>
            <w:gridSpan w:val="2"/>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1,380</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1,980</w:t>
            </w: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3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1,581</w:t>
            </w:r>
          </w:p>
        </w:tc>
        <w:tc>
          <w:tcPr>
            <w:tcW w:w="5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w:t>
            </w:r>
          </w:p>
        </w:tc>
      </w:tr>
      <w:tr>
        <w:trPr>
          <w:trHeight w:val="223"/>
        </w:trPr>
        <w:tc>
          <w:tcPr>
            <w:tcW w:w="4520" w:type="dxa"/>
            <w:vAlign w:val="bottom"/>
            <w:tcBorders>
              <w:top w:val="single" w:sz="8" w:color="CCEEFF"/>
              <w:bottom w:val="single" w:sz="8" w:color="CCEEFF"/>
            </w:tcBorders>
            <w:shd w:val="clear" w:color="auto" w:fill="CCEEFF"/>
          </w:tcPr>
          <w:p>
            <w:pPr>
              <w:spacing w:after="0"/>
              <w:rPr>
                <w:sz w:val="19"/>
                <w:szCs w:val="19"/>
                <w:color w:val="auto"/>
              </w:rPr>
            </w:pP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3"/>
              </w:rPr>
              <w:t>2,961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incurred on valuation of inventory at lower of cost or market value and write-off of obsolete inventory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2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178"/>
        </w:trPr>
        <w:tc>
          <w:tcPr>
            <w:tcW w:w="52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loss incurred on valuation of inventory at lower of cost or market</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and write-off of obsolete inventory</w:t>
            </w:r>
          </w:p>
        </w:tc>
        <w:tc>
          <w:tcPr>
            <w:tcW w:w="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is recognized on a straight-line basis over the period of the lease taking into account future rent escalation and holiday periods.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for the three and nine months ended September 30, 2022 and 2021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8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17"/>
        </w:trPr>
        <w:tc>
          <w:tcPr>
            <w:tcW w:w="5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occupies a 1,350 square-foot facility in Gainesville, Florida under the terms of an operating lease expiring in February 2023. The Gainesville facility is used primarily to support the Company's research and development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occupies a 21,443 square-foot facility in Salt Lake City, Utah under the terms of an operating lease expiring in March 2024, with an option to extend for additional five years. The facility supports the Company's principal administrative, sales, marketing, customer support, and research and product development activities.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occupied a 950 square-foot facility in Austin, Texas under the terms of an operating lease that expired in October 2022. This facility supported the Company's sales, marketing, customer support, and research and development activities.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occupies a 6,175 square-foot facility in Chennai, India under the terms of an operating lease expiring in August 2023. This facility supports the Company's administrative, marketing, customer support, and research and product development activities.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occupies a 40,000 square-foot warehouse in Salt Lake City, Utah under the terms of an operating lease expiring in April 2025, which serves as the Company's primary inventory fulfillment center.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10"/>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531</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41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7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 included in accrued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9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 (in years)</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432"/>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September 30, 2022: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(Remainder)</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343</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lease payments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1,255</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90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Shareholders' Equity</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8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280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and additional paid-in capital</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74,885</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63,450</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72,817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63,378</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and warrants, 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9,288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9,288</w:t>
            </w:r>
          </w:p>
        </w:tc>
        <w:tc>
          <w:tcPr>
            <w:tcW w:w="0" w:type="dxa"/>
            <w:vAlign w:val="bottom"/>
          </w:tcPr>
          <w:p>
            <w:pPr>
              <w:spacing w:after="0"/>
              <w:rPr>
                <w:sz w:val="1"/>
                <w:szCs w:val="1"/>
                <w:color w:val="auto"/>
              </w:rPr>
            </w:pPr>
          </w:p>
        </w:tc>
      </w:tr>
      <w:tr>
        <w:trPr>
          <w:trHeight w:val="22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72,778</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74,910</w:t>
            </w: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72,778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(23,296)</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(16,619)</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(21,072)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(13,378)</w:t>
            </w:r>
          </w:p>
        </w:tc>
        <w:tc>
          <w:tcPr>
            <w:tcW w:w="0" w:type="dxa"/>
            <w:vAlign w:val="bottom"/>
          </w:tcPr>
          <w:p>
            <w:pPr>
              <w:spacing w:after="0"/>
              <w:rPr>
                <w:sz w:val="1"/>
                <w:szCs w:val="1"/>
                <w:color w:val="auto"/>
              </w:rPr>
            </w:pPr>
          </w:p>
        </w:tc>
      </w:tr>
      <w:tr>
        <w:trPr>
          <w:trHeight w:val="243"/>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(2,169)</w:t>
            </w:r>
          </w:p>
        </w:tc>
        <w:tc>
          <w:tcPr>
            <w:tcW w:w="26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(3,472)</w:t>
            </w:r>
          </w:p>
        </w:tc>
        <w:tc>
          <w:tcPr>
            <w:tcW w:w="2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(5,410)</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(24,544)</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(18,788)</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(24,544)</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(18,788)</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50,078</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53,765</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50,078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53,765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Issue of Common Stock and Warrants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13, 2020, the Company entered into a securities purchase agreement with certain purchasers named therein, pursuant to which the Company issued and sold in a registered direct offering 2,116,050 shares of the Company's common stock, par value $0.001 per share at an offering price of $2.4925 per share. The Company received gross proceeds of approximately $5,275 and net proceeds $4,764 after deducting placement agent fees and related offering expenses. In a concurring private placement, the Company also issued to the same purchasers warrants exercisable for an aggregate of 1,058,025 shares of common stock at an exercise price of $2.43 per share. Each warrant became immediately exercisable and will expire five years from the issuance date.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12, 2021, the Company entered into a securities purchase agreement with certain purchasers named therein, pursuant to which the Company issued 3,623,189 shares of the Company's common stock, par value $0.001 per share at an offering price of $2.76 per share. The Company received gross proceeds of approximately $10,000 and net proceeds of $9,288 after deducting placement agent fees and related offering expenses. In a concurring private placement the Company also issued to the same purchasers warrants exercisable for an aggregate of 3,623,189 shares of common stock at an exercise price of $2.76 per share. Each warrant became immediately exercisable and will expire on March 15, 2027.</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4, 2022, the Company entered into a Securities Purchase Agreement with Edward D. Bagley, an affiliate of the Company, pursuant to which the Company agreed to issue and sell, in a private placement 1,538,461 shares (the “Shares”) of the Company’s common stock, par value $0.001 per share, at a purchase price of $1.30 per share of Common Stock. The consideration for the Shares is the cancellation and termination of Mr. Bagley’s outstanding bridge loan to the Company in the principal amount of $2,000 originally issued on July 2, 2021 and amended and restated on September 11, 2021. Mr. Bagley is an affiliate of the Company and the Company’s single largest stockholder.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9.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Convertible Notes and Warrants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was the beneficial owner of approximately 46.6% of the Company’s issued and outstanding shares of Common Stock at the time that the Notes and Warrants were issued to him.</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will mature on December 17, 2023 (the “Maturity Date”) and will accrue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proceeds after original issue discount and issuance costs of $346 were approximately $2,654. The Company expects to use the proceeds from the sale of the Notes and Warrants for general corporate purposes and working capital.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accounting for the issuance of the Notes, the Company separated Notes and Warrants into liability and equity components. The carrying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being an equity component, was first calculated using Black-Scholes method with the following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7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price volatility</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7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original issue discount and issuance costs are netted against the liability. The following table represents the carrying value of Notes and Warrants: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1280" w:type="dxa"/>
            <w:vAlign w:val="bottom"/>
            <w:tcBorders>
              <w:top w:val="single" w:sz="8" w:color="0000EE"/>
            </w:tcBorders>
          </w:tcPr>
          <w:p>
            <w:pPr>
              <w:spacing w:after="0"/>
              <w:rPr>
                <w:sz w:val="24"/>
                <w:szCs w:val="24"/>
                <w:color w:val="auto"/>
              </w:rPr>
            </w:pPr>
          </w:p>
        </w:tc>
        <w:tc>
          <w:tcPr>
            <w:tcW w:w="8400" w:type="dxa"/>
            <w:vAlign w:val="bottom"/>
            <w:gridSpan w:val="5"/>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UNAUDITED NOTES TO CONDENSED CONSOLIDATED 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64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12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Borders>
              <w:bottom w:val="single" w:sz="8" w:color="CFF0FC"/>
            </w:tcBorders>
          </w:tcPr>
          <w:p>
            <w:pPr>
              <w:spacing w:after="0"/>
              <w:rPr>
                <w:sz w:val="20"/>
                <w:szCs w:val="20"/>
                <w:color w:val="auto"/>
              </w:rPr>
            </w:pPr>
          </w:p>
        </w:tc>
        <w:tc>
          <w:tcPr>
            <w:tcW w:w="66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component: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debt discount and issuance costs, net of amortization</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63"/>
        </w:trPr>
        <w:tc>
          <w:tcPr>
            <w:tcW w:w="79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920" w:type="dxa"/>
            <w:vAlign w:val="bottom"/>
            <w:gridSpan w:val="2"/>
            <w:shd w:val="clear" w:color="auto" w:fill="CFF0FC"/>
          </w:tcPr>
          <w:p>
            <w:pPr>
              <w:spacing w:after="0" w:line="223" w:lineRule="exact"/>
              <w:rPr>
                <w:sz w:val="20"/>
                <w:szCs w:val="20"/>
                <w:color w:val="auto"/>
              </w:rPr>
            </w:pPr>
            <w:r>
              <w:rPr>
                <w:rFonts w:ascii="Times New Roman" w:cs="Times New Roman" w:eastAsia="Times New Roman" w:hAnsi="Times New Roman"/>
                <w:sz w:val="16"/>
                <w:szCs w:val="16"/>
                <w:color w:val="auto"/>
              </w:rPr>
              <w:t>Equity component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0"/>
        </w:trPr>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feature</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63"/>
        </w:trPr>
        <w:tc>
          <w:tcPr>
            <w:tcW w:w="79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FF0FC"/>
          </w:tcPr>
          <w:p>
            <w:pPr>
              <w:spacing w:after="0"/>
              <w:rPr>
                <w:sz w:val="18"/>
                <w:szCs w:val="18"/>
                <w:color w:val="auto"/>
              </w:rPr>
            </w:pPr>
          </w:p>
        </w:tc>
        <w:tc>
          <w:tcPr>
            <w:tcW w:w="6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liability component included under short-term debt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 of liability component included under long-term debt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1,245</w:t>
            </w: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23"/>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 component total</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12529"/>
              </w:rPr>
              <w:t>(1) Recorded on the condensed consolidated balance sheets as additional paid-in capital.</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Debt discount and issuance costs are amortized over the life of the note to interest expense using the effective interest method. During the three and nine months ended September 30, 2022, amortization of debt discount and issuance costs was $49 and $147, respectively and for the three and nine months ended September 30, 2021, amortization of debt discount and issuance costs was $49 and $147, respectively. The following table represents schedule of maturities of principal amount contained in the Notes as of September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Principal Amount Maturing</w:t>
            </w:r>
          </w:p>
        </w:tc>
      </w:tr>
      <w:tr>
        <w:trPr>
          <w:trHeight w:val="223"/>
        </w:trPr>
        <w:tc>
          <w:tcPr>
            <w:tcW w:w="4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(Remainder)</w:t>
            </w: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6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principal amount</w:t>
            </w:r>
          </w:p>
        </w:tc>
        <w:tc>
          <w:tcPr>
            <w:tcW w:w="9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Bridge Loan</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July 2, 2021, the Company obtained a bridge loan in the principal amount of $2,000 from Edward D. Bagley (the “Bridge Loan”), an affiliate of the Company. The Bridge Loan is evidenced by a promissory note dated July 2, 2021 (the “Note”) issued by the Company to Mr. Bagley. The Note bears interests at a rate of 8.0% per annum, matures on the earlier to occur of (i) October 1, 2021 or (ii) within two business days of the Company’s receipt of its expected U.S. federal income tax refund, and contains other customary covenants and events of default. On September 11, 2021, the Company amended and restated the terms of the Bridge Loan to extend the latest maturity date from October 1, 2021 to January 3, 2022. All other terms and conditions of the Bridge Loan remained the same. This Bridge Loan of $2,000 is included under short-term debt as of December 31, 2021. On January 4, 2022, the Company entered into a Securities Purchase Agreement with Edward D. Bagley, pursuant to which the Company issued and sold to Mr. Bagley, in a private placement 1,538,461 shares (the “Shares”) of the Company’s common stock, par value $0.001 per share, at a purchase price of $1.30 per share of Common Stock. The consideration for the Shares was the cancellation and termination of Mr. Bagley’s outstanding bridge loan to the Company in the principal amount of $2,000 originally issued on July 2, 2021 and amended and restated on September 11, 2021. Mr. Bagley is an affiliate of the Company and the Company’s single largest stockholder.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w:t>
      </w:r>
    </w:p>
    <w:p>
      <w:pPr>
        <w:spacing w:after="0" w:line="16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On April 18, 2020, the Company, entered into a loan agreement with U.S. Bank National Association Bank, which provided for a loan in the principal amount of $1,499 (“PPP Loan”) pursuant to the Paycheck Protection Program under Division A, Title I of the CARES Act, which was enacted March 27, 2020. The PPP Loan had a two-year term and bears interest at a rate of 1.0% per annum. Monthly principal and interest payments are deferred for approximately sixteen months after the date of disbursement.</w:t>
      </w:r>
    </w:p>
    <w:p>
      <w:pPr>
        <w:spacing w:after="0" w:line="1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Paycheck Protection Program Loan ("PPP Loan") under the CARES Act was forgiven by Small Business Administration effective April 29, 2022. With this forgiveness, the Company is not required to repay the principal amount of $1,499 and the interest of $31. The Company received $953 back that it had already paid towards principal and interest payments toward the PPP Loan. The Company treated the forgiveness as extinguishment of debt in this quarter ended September 30, 2022 and reported the entire principal amount forgiven of $1,499 along with interest already accounted for of $29 as a gain on extinguishment of debt.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gridSpan w:val="4"/>
          </w:tcPr>
          <w:p>
            <w:pPr>
              <w:ind w:left="3580"/>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1"/>
        </w:trPr>
        <w:tc>
          <w:tcPr>
            <w:tcW w:w="7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the PPP Loan included under short-term debt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the PPP Loan included under long-term debt</w:t>
            </w:r>
          </w:p>
        </w:tc>
        <w:tc>
          <w:tcPr>
            <w:tcW w:w="100" w:type="dxa"/>
            <w:vAlign w:val="bottom"/>
          </w:tcPr>
          <w:p>
            <w:pPr>
              <w:spacing w:after="0"/>
              <w:rPr>
                <w:sz w:val="19"/>
                <w:szCs w:val="19"/>
                <w:color w:val="auto"/>
              </w:rPr>
            </w:pPr>
          </w:p>
        </w:tc>
        <w:tc>
          <w:tcPr>
            <w:tcW w:w="18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component 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Quoted prices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Unobservable inputs.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are valued using observable inputs. The following table sets forth the fair value of the financial instruments re-measured by the Company as of September 30, 2022 and December 31,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9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 and notes</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Pr>
          <w:p>
            <w:pPr>
              <w:spacing w:after="0"/>
              <w:rPr>
                <w:sz w:val="19"/>
                <w:szCs w:val="19"/>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1,570</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1,570</w:t>
            </w:r>
          </w:p>
        </w:tc>
        <w:tc>
          <w:tcPr>
            <w:tcW w:w="80" w:type="dxa"/>
            <w:vAlign w:val="bottom"/>
            <w:shd w:val="clear" w:color="auto" w:fill="CCEEFF"/>
          </w:tcPr>
          <w:p>
            <w:pPr>
              <w:spacing w:after="0"/>
              <w:rPr>
                <w:sz w:val="21"/>
                <w:szCs w:val="2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financial instruments that were re-measured by the Company as of September 30,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year loss did not result in income tax benefit due to recording a full valuation allowance against expected benefits. The valuation allowance was recorded as we concluded that it was more likely than not that our deferred tax assets were not realizable primarily due to the Company's recent pre-tax losses. Provision for income taxes for the nine months ended September 30, 2022 mostly represents income tax expense recorded for jurisdictions outside the United States.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approximately $895 of uncertain tax positions as of September 30, 2022. Due to the inherent uncertainty of the underlying tax positions, it is not possible to forecast the payment of this liability for any particular year.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28, 2022 the Company obtained a bridge loan in the principal amount of $2,000 from Edward D. Bagley (the “2022 Bridge Loan”), an affiliate of the Company. The 2022 Bridge Loan is evidenced by a promissory note dated October 28, 2022 (the “2022 Note”) issued by the Company to Mr. Bagley. The 2022 Note bears interest at a rate of 12.0% per annum and matures on October 28, 2023. Mr. Bagley is an affiliate of the Company and the Company’s single largest stockholder.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manufacturing agreements with electronics manufacturing service (“EMS”) providers related to the outsourced manufacturing of our products. Certain manufacturing agreements establish annual volume commitments. We are also obligated to repurchase the Company-forecasted but unused materials. The Company has non-cancellable, non-returnable, and long-lead time commitments with its EMS providers and certain suppliers for inventory components that will be used in production. The Company’s purchase commitments under such agreements are approximately $2,226 as of September 30, 2022.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2021. All subsequent forward-looking statements attributable to us or persons acting on our behalf are expressly qualified in their entirety by these cautionary statements. Additional factors that may have a direct bearing on our operating results are discussed in Part II, Item 1A “Risk Factors” in this Quarterly Report on Form 10-Q and in Part I, Item 1A “Risk Factors” in our Annual Report on Form 10-K for the year ended December 31,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early January 2022, we introduced DIALOG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10 USB, the industry's only pro-quality, single-channel wireless USB microphone system offering professional-quality audio with USB connectivity for webcasting and cloud-based collaboration. In March 2022, this new USB wireless mic system won the 2022 NSCA Excellence in Product Innovation Award. One of only seven winners in this prestigious award program, the DIALOG 10 USB is the industry’s only pro-quality single-channel wireless microphone system with USB connectivity for webcasting and cloud-based collaboration such as Microsoft Teams, Zoom, WebEx, and GotoMeeting. DIALOG 10 USB won its second award in May 2022 by winning the 2022 Top New Technology (TNT) Award in the Microphone category. In June 2022, at Infocomm 2022 in Las Vegas, Nevada, DIALOG 10 USB won two additional awards - Commercial Integrator 2022 BEST Award in the Microphones category and 2022 Sound &amp; Video Contractor Magazine Infocomm Best in Market Award.</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January, at the Las Vegas Customer Electronics Show, CES 2022, the world’s most influential annual tech event, our home office Aura™ Xceed™ BMA was singled out for exceptional innovation with a CES Picks Award, presented by Residential Systems magazine.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early February 2022, our Versa Lite CT, a USB audio-enabled Beamforming Ceiling Tile Microphone that brings cost-effective and superb professional conferencing audio to small- and mid-sized spaces received Google Meet certification. Google Meet ranks among the top 5 for growth in the cloud meetings and team collaboration market according to Frost &amp; Sullivan.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early February 2022, we were awarded a new patent for a beamforming microphone array system with distributed processing. This patent claims a ceiling tile microphone array that can be physically separated from the processors running the beamforming algorithm. It enables a single computing engine to run multiple beamforming algorithms for multiple microphone arrays, which can lower the overall system cost compared to an integrated design that is limited to a single computing engine with a single microphone array. Later in the same month another ClearOne patent was granted which is related to beamforming microphone arrays with acoustic echo cancellation. The patent, titled “Band-Limited Beamforming Microphone Array with Acoustic Echo Cancellation," describes, among other things, a microphone array with one set of microphones used for beamforming, and one or more additional microphones that are not used for beamforming, but instead are used to enhance the audio performance of the microphone array.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early March 2022, we were awarded a new patent titled “Conferencing Apparatus”, that describes, among other things, a beamforming microphone array with acoustic echo cancellation and a set of configurable fixed beams. The patent goes on to describe performing a direction of arrival determination, and in response to that determination, selecting one or more of those fixed beams for audio transmission.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early April 2022, a ClearOne patent issued titled “Ceiling Tile Microphone,” that claims, among other things, a ceiling tile beamforming microphone that is powered through Power over Ethernet (PoE). Later in the same month another ClearOne patent was granted, also titled “Ceiling Tile Microphone,” that claims, among other things, a ceiling tile microphone that includes beamforming, acoustic echo cancellation, and auto voice tracking.</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2022, for the sixth time since its groundbreaking debut in 2020, the ClearOne BMA 360 microphone has been recognized by the world’s most discerning AV buyers with the prestigious Best in Market Award at ISE 2022. The microphone was one of only three winners in this year’s award program. The Best in Market Award program is presented by leading industry publication Sound &amp; Video Contractor at Integrated Systems Europe (ISE), the world’s largest AV and systems integration show. The program recognizes the most innovative technology within the AV industry, and the judges include respected AV and IT managers, directors, engineers, industry consultants and integrators.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Throughout 2022, we have continued our efforts to protect our intellectual property rights, primarily through litigation. See Part II, Item 1. Legal Proceedings.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continued our programs to cut costs and to speed up product development that we believe will enable us to get back to a growth path.</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Overall revenue decreased by 10% in the third quarter of 2022 when compared to the third quarter of 2021, primarily due to a significant decrease in revenues from video products and a further decrease in revenues from microphones, which were partially offset by an increase in revenues from audio conferencing products. Overall revenue decreased by 3% during the first nine months of 2022 when compared to revenue in the first nine months of 2021 due to decrease in revenue from video products, which was largely offset by an increase in revenues from audio conferencing products and microphones. Despite the negative consequences of global supply chain issues and the infringement of our patents on professional installed products, our new solutions incorporating Beamforming Microphone Array Ceiling Tile ("BMA-CT") continued to result in overall Beamforming Microphone Array ("BMA") revenue being higher than last year. However, revenue from BMA products as well as from our pro audio products are still far below the levels prior to infringement of our patents. Our revenue performance in 2022-Q3 was also impacted negatively due to our inability to source adequate inventory to meet the demand for professional audio products and BMA due to the ongoing transition of manufacturing of our products from China to Singapore by our EMS provider and the increased costs associated with the electronic raw material supply shortages that have affected the global manufacturing of high tech products. We expect these supply shortages and associated increased costs to continue through at least the end of 2022.</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gross profit margin increased modestly to 41.0% during the third quarter of 2022 from 40.8% during the third quarter of 2021. Our gross profit margin decreased to 38.7% during the first nine months of 2022 compared to 42.6% during the first nine months of 2021.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loss decreased from $2.2 million in the third quarter of 2021 to $1.2 million in the third quarter of 2022. Our net loss decreased from $5.4 million in the first nine-month of 2021 to $3.5 million in the first nine-month of 2022. The decrease in net loss was mainly due to (a) the recognition of $1.5 million in gain from the forgiveness of CARES Act Paycheck Protection Program Loan and (b) a decrease of $1.9 million in operating expenses after excluding amortization costs relating to our capitalized patent defense costs, which were partially offset by (c) decrease in absolute gross profit dollars as a result of reduced gross margin, and (d) increased amortization costs relating to our capitalized patent defense costs.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conditions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a very dynamic and highly competitive industry which is dominated on the one hand by a few players with respect to certain products like video conferencing appliances while on the other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conditions, challenges and risks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audio-visual products market is characterized by intense competition and rapidly evolving technology. Our competitors vary within each product category. Our installed professional audio conferencing products, which are our flagship product category, continue to be ahead of the competition despite the reduction in revenues. Our strength in this space is largely due to our fully integrated suite of products consisting of DSP mixers, a wide range of professional microphone products and video collaboration products. Despite our strong leadership position in the installed professional audio conferencing market, we face challenges to revenue growth due to the limited size of the market and pricing pressures from new competitors attracted to the commercial market due to higher margins.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video products and beamforming microphone arrays, especially the BMA 360, are critical to our long term growth. We face intense competition in this market from well-established market leaders as well as emerging players rich with marketing funds. We expect our strategy of combining curated audio solutions with our high quality professional cameras, and our high-end audio conferencing technology will generate high growth in the near future.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a major portion of our revenue (approximately 51% for the year ended December 31, 2021)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COVID-19 pandemic caused severe global disruptions and had varying impact on our business. The installed audio conferencing market was negatively impacted due to lockdowns, postponement of projects and restrictions on the ability of installers to visit commercial sites. On the other hand, COVID-19 generated higher than normal demand for our video products and personal conferencing products due to the significant expansion of the work-from-home market. The extent of COVID-19’s effect on our operational and financial performance keeps evolving and depends on multiple factors including the severity and infectiousness of current and future virus strains, the effectiveness of vaccines especially on novel strains of COVID-19, government regulations, etc., all of which are uncertain and difficult to predict considering the rapidly evolving landscape. Supply chain disruptions primarily resulting from COVID-19 have caused significant fluctuations in our costs of goods resulting in a reduction of our gross margins in the first nine months of 2022. We expect these fluctuations to continue through at least the end of 2022. If the global economy’s recovery from the pandemic continues to experience supply chain disruptions, it could have a material adverse effect on our business, results of operations, financial condition and cash flows and adversely impact the trading price of our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Product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product revenue increased to $73 thousand on September 30, 2022 compared to $54 thousand on December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detailed discussion of our results of operations follows below.</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ind w:right="194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Results of Operations for the three and nine months ended September 30, 2022</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items from our unaudited condensed consolidated statements of operations for the three and nine months ended September 30, 2022 (“2022-Q3”) ("2022-YTD") and 2021 ("2021-Q3") ("2021-YTD"), respectively, together with the percentage of total revenue which each such item represents: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60" w:type="dxa"/>
            <w:vAlign w:val="bottom"/>
            <w:gridSpan w:val="7"/>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3920" w:type="dxa"/>
            <w:vAlign w:val="bottom"/>
            <w:gridSpan w:val="9"/>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17"/>
        </w:trPr>
        <w:tc>
          <w:tcPr>
            <w:tcW w:w="2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Favorable</w:t>
            </w:r>
          </w:p>
        </w:tc>
        <w:tc>
          <w:tcPr>
            <w:tcW w:w="2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Favorable</w:t>
            </w: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0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(Adverse) in %</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(Adverse) in %</w:t>
            </w:r>
          </w:p>
        </w:tc>
        <w:tc>
          <w:tcPr>
            <w:tcW w:w="80" w:type="dxa"/>
            <w:vAlign w:val="bottom"/>
            <w:tcBorders>
              <w:bottom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19"/>
                <w:szCs w:val="19"/>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3,694</w:t>
            </w:r>
          </w:p>
        </w:tc>
        <w:tc>
          <w:tcPr>
            <w:tcW w:w="280" w:type="dxa"/>
            <w:vAlign w:val="bottom"/>
          </w:tcPr>
          <w:p>
            <w:pPr>
              <w:spacing w:after="0"/>
              <w:rPr>
                <w:sz w:val="19"/>
                <w:szCs w:val="19"/>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4,141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12,991</w:t>
            </w: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12,487</w:t>
            </w:r>
          </w:p>
        </w:tc>
        <w:tc>
          <w:tcPr>
            <w:tcW w:w="12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Research and product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876</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1,492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3,406</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4,253</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1,673</w:t>
            </w:r>
          </w:p>
        </w:tc>
        <w:tc>
          <w:tcPr>
            <w:tcW w:w="280" w:type="dxa"/>
            <w:vAlign w:val="bottom"/>
          </w:tcPr>
          <w:p>
            <w:pPr>
              <w:spacing w:after="0"/>
              <w:rPr>
                <w:sz w:val="19"/>
                <w:szCs w:val="19"/>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1,676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5,146</w:t>
            </w: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5,024</w:t>
            </w:r>
          </w:p>
        </w:tc>
        <w:tc>
          <w:tcPr>
            <w:tcW w:w="12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1,220</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revenue decreased to $6.3 million in 2022-Q3 compared to $7.0 million in 2021-Q3 primarily due to a 59% decline in video products and a 7% decline in microphones, which were partially offset by a 10% increase in audio conferencing. Our revenues, especially with respect to BMA and professional audio conferencing products were negatively impacted by our inability to source adequate inventory to meet the demand for professional audio products and BMA due to the ongoing transition of manufacturing of our products from China to Singapore by our EMS provider. Our wireless mics and traditional ceiling mics registered significant revenue increases in 2022-Q3. The audio conferencing category as a whole increased mainly due to a significantly strong revenue performance of our professional mixers while other categories declined in revenues. Video products suffered declines in 2022-Q3 compared to 2021-Q3 due to lack of demand for video cameras as well as video conferencing equipment. During the third quarter of 2022, revenues from Americas declined by 5% primarily due to decreased revenues from Latin America. During 2022-Q3 revenues from the Asia Pacific, including the Middle East, India and Australia decline by 5% primarily due to declines in revenues from all sub-markets except the Middle East, Japan and Korea, with the Middle East showing significant increase in revenues. Finally, revenues from Europe and Africa decreased significantly by 31% in 2022-Q3 primarily due to decreases across all the sub-markets except Southern Europe.</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2022 our revenues decreased from $21.8 million to $21.2 million compared to the same period in 2021 due to revenue from video products decreasing by 36%, microphones increasing by 4%, and audio conferencing increasing by 9%. The increase in revenue from microphones was due to growth in revenues from all categories of microphones. The audio conferencing category as a whole increased mainly due to a strong revenue performance by our professional mixers. During 2022-YTD Americas declined by 4%, Asia Pacific, including the Middle East and India increased by 7% and Europe and Africa declined by 12%. India, the Middle East and Northern Europe led in revenue growth while Latina America, China and Southern Europe suffered major revenue decreases.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although there can be no assurance, that we can return to generating operating profits through our strategic initiatives namely product innovation, cost reduction and defense of our intellectual property.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 and Gross Profit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gross profit margin increased from 40.8% during 2021-Q3 to 41.0% during 2022-Q3. The gross profit margin was negatively impacted due to increases in material costs due to continuing supply chain constraints and an increase in inventory obsolescence, which were partially offset by reduced freight, tariff costs and overhead costs.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gross profit margin decreased from 42.6% during 2021-YTD to 38.7% during 2022-YTD. The gross profit margin decreased primarily due to increases in material costs due to continuing supply chain constraints, which was partially offset by reduced inventory obsolescence costs, freight, tariff costs and overhead costs in 2022-YTD.</w:t>
      </w:r>
    </w:p>
    <w:p>
      <w:pPr>
        <w:sectPr>
          <w:pgSz w:w="11900" w:h="16838" w:orient="portrait"/>
          <w:cols w:equalWidth="0" w:num="1">
            <w:col w:w="11240"/>
          </w:cols>
          <w:pgMar w:left="320" w:top="108"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profitability in the near-term continues to depend significantly on our revenues from professional installed audio-conferencing products. We hold long-term inventory and if we are unable to sell our long-term inventory, our profitability might be affected by inventory write-offs and price mark-downs. Our long-term inventory includes approximately $0.5 million of wireless microphone-related finished goods and assemblies, $0.2 million of Converge Pro and Beamforming microphone array products, $0.8 million of video products, and $1.3 million of raw materials that will be used primarily for manufacturing professional audio conferencing products and BMA microphones. Any business changes that are adverse to these product lines could potentially impact our ability to sell our long-term inventory in addition to our current inventory.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include sales and marketing (“S&amp;M”) expenses, research and product development (“R&amp;D”) expenses and general and administrative (“G&amp;A”) expenses. Total operating expenses were $3.7 million in 2022-Q3 compared to $4.9 million in 2021-Q3. Total operating expenses were $12.8 million for 2022-YTD compared to $14.3 million for 2021-YTD. The following contains a more detailed discussion of expenses related to sales and marketing, research and product development, general and administrative, and other items.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Sales and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S&amp;M expenses include selling, customer service, and marketing expenses such as employee-related costs, allocations of overhead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trade shows, and other advertising and selling expenses.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S&amp;M expenses in 2022-Q3 decreased to $1.2 million from $1.7 million for 2021-Q3. The decrease was primarily due to decreases in employment expenses and consultant expenses due to a reduction in the headcount and due to decrease in commissions paid to employees and consultants.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S&amp;M expenses for 2022-YTD decreased to $4.3 million from $5.0 million for 2021-YTD. The decrease was primarily due to decreases in employment expenses and consultant expenses due to a reduction in the headcount and due to decrease in commissions paid to employees and consultants. This overall decrease was partially offset by increase in trade-show related costs.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Product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R&amp;D expenses include research and development, product line management, engineering services, and test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 expenses, including employee-related costs, outside services, expensed materials, depreciation, and an allocation of overhead expenses.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R&amp;D expenses decreased to $0.9 million in 2022-Q3 compared to $1.5 million for 2021-Q3. The decrease was primarily due to reduction in employment expenses due to reduction in the headcount and a decrease in project-related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R&amp;D expenses decreased to $3.4 million in 2022-YTD, from $4.3 million in 2021-YTD. The decrease was primarily due to reduction in employment expenses due to reduction in the headcount and a decrease in project-related expenses.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G&amp;A expenses include employee-related costs, professional service fees, allocations of overhead expenses, litigation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corporate administrative costs, including costs related to finance and human resources teams.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G&amp;A expenses remained almost the same at $1.7 million in 2021-Q3 and 2022-Q3. The reduction in employee related expenses were partially offset by an increase in amortization costs relating to our capitalized patent defense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G&amp;A expenses increased from $5.0 million in 2021-YTD to $5.1 million in 2022-YTD. The increases in amortization costs relating to our capitalized patent defense costs and insurance costs were partially offset by decreases in employee-related expenses, legal expenses and consulting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includes interest income and foreign currency changes. Other income during the first nine months of 2022 includes $1.5 million recognized on the gain arising from the CARES Act Paycheck Protection Program loan forgiveness. Other items remained immaterial during the third quarter of 2022 and 2021.</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decreased to $0.1 million in 2022-Q3 compared to $0.2 million in 2021-Q3. Interest expense decreased to $0.3 million in 2022-YTD compared to $0.4 million in 2021-YTD.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of 2022 and 2021, we did not recognize any benefit from the losses incurred due to setting up a full valuation allowance. Provision for income taxes recognized for 2022-Q3 and 2022-YTD primarily relates to foreign jurisdictions.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0" w:lineRule="exact"/>
        <w:rPr>
          <w:sz w:val="20"/>
          <w:szCs w:val="20"/>
          <w:color w:val="auto"/>
        </w:rPr>
      </w:pPr>
    </w:p>
    <w:p>
      <w:pPr>
        <w:ind w:right="1940"/>
        <w:spacing w:after="0" w:line="458"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LIQUIDITY AND CAPITAL RESOURCES</w:t>
      </w:r>
    </w:p>
    <w:p>
      <w:pPr>
        <w:spacing w:after="0" w:line="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2022, our cash and cash equivalents were approximately $1.5 million compared to $1.1 million as of December 31, 2021. Our working capital was $19.3 million and $18.0 million as of September 30, 2022 and December 31, 2021,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approximately $2.1 million in 2022-YTD, an increase of cash used in operating activities of approximately $0.6 million from $1.5 million of cash provided by operating activities in 2021-YTD. The increase in cash outflow was due to a negative change in operating assets and liabilities of $0.7 million, partially offset by a decrease in net loss by $0.2 million after adjusting for non-cash charges.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were $2.3 million in 2022-YTD compared to net cash used in investing activities of $4.2 million in 2021-YTD, a change in cash flow of $6.4 million. The change in cash flow was primarily due to (a) an increase in proceeds from sale of marketable securities net of any purchases in 2021-YTD to $1.5 million, and (b) a decrease in capitalized patent defense costs by $4.9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 2022-YTD was $0.2 million, comprised primarily of a $0.8 million refund of the CARES Act Paycheck Protection Program Loan with interest offset by $0.5 million repayment of principal amounts due on senior convertible notes. In comparison, cash provided by financing activities was $11.0 million in 2021-YTD, which consisted primarily of issuance of common stock and borrowing through issuance of short-term notes partially offset by repayment of a portion of senior convertible debt.</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Capitalization of patent defense costs</w:t>
      </w:r>
      <w:r>
        <w:rPr>
          <w:rFonts w:ascii="Times New Roman" w:cs="Times New Roman" w:eastAsia="Times New Roman" w:hAnsi="Times New Roman"/>
          <w:sz w:val="18"/>
          <w:szCs w:val="18"/>
          <w:color w:val="auto"/>
        </w:rPr>
        <w:t>. We capitalize external legal costs incurred in the defense of our patents when we believe that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discernible increase in value will result from the defense and a successful outcome of the legal action is probable. When we capitalize patent defense costs we amortize the costs over the remaining estimated useful life of the patents, which is 15 to 17 years. During the nine months ended September 30, 2022 we spent $0.6 million on legal costs related to the defense of our patents and capitalized the entire amount.</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pursuing all reasonably available legal remedies to defend our strategic patents from infringement. See Part II, Item1. Legal Proceedings. We have already spent approximately $28.8 million from 2016 through September 30, 2022 towards this litigation and may be required to spend more to continue our legal defense.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2022, our cash and cash equivalents were approximately $1.5 million compared to $1.1 million as of December 31, 2021. Our working capital was $19.3 million as of September 30, 2022. Net cash used in operating activities was $2.1 million for the nine months ended September 30, 2022, an increase of $0.6 million from $1.5 million of cash used in operating activities in the nine months ended September 30, 2021. In order to maintain liquidity, we have been actively engaged in preserving cash by implementing company-wide cost reduction measures and raising additional capital. We raised additional capital in 2019 by issuing senior convertible notes, in 2020 by borrowing through the CARES Act Paycheck Protection Program and issuing common stock and warrants and in 2021 by issuing short-term notes and issuing common stock and warrants. In January 2022, we issued $2,000 in common stock as consideration for the cancellation and termination of the short-term notes. In addition, we have been generating additional cash as our inventory levels are brought down to historical levels.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believe that our core strategies of product innovation and prudent cost management will bring us back to profitability in the future. We believe, although there can be no assurance, that all of these measures and effective management of working capital, including collecting on the income tax receivable balance, will provide the liquidity needed to meet our operating needs through at least November 14, 2023.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we had open purchase orders of approximately $2.2 million mostly for purchase of inventory.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we had inventory totaling $12.7 million, of which non-current inventory accounted for $3.0 million. This compares to total inventories of $13.6 million and non-current inventory of $3.6 million as of December 31, 2021.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following table summarizes our contractual obligations as of September 30, 2022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Payment Due by Period</w:t>
            </w: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3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More than 5</w:t>
            </w:r>
          </w:p>
        </w:tc>
        <w:tc>
          <w:tcPr>
            <w:tcW w:w="100" w:type="dxa"/>
            <w:vAlign w:val="bottom"/>
          </w:tcPr>
          <w:p>
            <w:pPr>
              <w:spacing w:after="0"/>
              <w:rPr>
                <w:sz w:val="17"/>
                <w:szCs w:val="17"/>
                <w:color w:val="auto"/>
              </w:rPr>
            </w:pPr>
          </w:p>
        </w:tc>
      </w:tr>
      <w:tr>
        <w:trPr>
          <w:trHeight w:val="215"/>
        </w:trPr>
        <w:tc>
          <w:tcPr>
            <w:tcW w:w="3500" w:type="dxa"/>
            <w:vAlign w:val="bottom"/>
          </w:tcPr>
          <w:p>
            <w:pPr>
              <w:spacing w:after="0"/>
              <w:rPr>
                <w:sz w:val="18"/>
                <w:szCs w:val="18"/>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226"/>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1000" w:type="dxa"/>
            <w:vAlign w:val="bottom"/>
            <w:tcBorders>
              <w:top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financial position are based upon our unaudited condensed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evaluation of the effectiveness of our disclosure controls and procedures (as defined in Rules 13a-15(e) and 15d-15(e) of the Exchange Act) as of September 30, 2022 was performed under the supervision and with the participation of our management, including our Chief Executive Officer and our Principal Financial and Accounting Officer. Based upon this evaluation, our Interim Chief Executive Officer and Chief Financial Officer concluded that, as of the end of the period covered by this Quarterly Report, our disclosure controls and procedures are effective at a reasonable assurance level as of September 30, 2022.</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as of September 30, 2022, that has materially affected, or is reasonably likely to materially affect, the Company's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against Shure Incorporated (“Shure”) as further described in Part I, Item 3 of the Company’s Annual Report on Form 10-K for the year ended December 31, 2021 (the “Annual Report”), which information is incorporated herein by reference. The following recent developments amend and supplement the disclosure of the ongoing litigation proceedings against Shure as of September 30, 2022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Shure, Incorporated v. ClearOne, Inc., 17-cv-3078 (N.D. of Illinois)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filed a motion asking the Court to schedule a trial date, but the Court denied that request without prejudice on April 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26, 2022, the Court granted the parties’ joint request to stay the proceedings to engage in settlement negotiations until November 22,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Court also terminated the pending motions without prejudice to be reinstated immediately if settlement negotiations are unsuccessful.</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 2022, the Executive Committee of the Northern District of Illinois reassigned this case from Judge Chang to Judge Maldonado to form the initial calendar of Judge Maldonado.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ClearOne, Inc. v. Shure, Incorporated, 19-cv-02421 (N.D. of Illinois)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filed a motion asking the Court to schedule a trial date, but the Court denied that request without prejudice on April 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26, 2022, the Court granted the parties’ joint request to stay the proceedings to engage in settlement negotiations until November 22,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Court also terminated the pending motions without prejudice to be reinstated immediately if settlement negotiations are unsuccessful.</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 2022, the Executive Committee of the Northern District of Illinois reassigned this case from Judge Chang to Judge Maldonado to form the initial calendar of Judge Maldonado.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Shure, Incorporated v. ClearOne, Inc., 19-cv-1343 (D. of Delaware)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15, 2022, the Court granted the Company’s request to set a trial date on its counterclaims of unfair competition and tortious interference with business relations, scheduling trial for July 5, 2023. The Court also denied Shure’s motion to stay proceedings on ClearOne’s counterclaims.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risk factor set forth below supplements and should be read in conjunction with the risk factors included in our Annual Report on Form 10-K for the fiscal year ended December 31, 2021:</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common stock trades at prices less than $1.00 which is the minimum bid price requirement under Nasdaq’s continued listing standards, as such our common stock may be subject to delisting from the Nasdaq Capital Market.</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22, 2022, we received a letter (the “Notice”) from the Listing Qualifications Department (the “Staff”) of the Nasdaq Stock Market (“Nasdaq”) informing us that because the closing bid price for the Company’s common stock listed on Nasdaq was below $1.00 for 30 consecutive trading days, we are not in compliance with the minimum bid price requirement for continued listing on the Nasdaq Capital Market, as set forth in Nasdaq Marketplace Rule 5550(a)(2) (the “Minimum Bid Price Requirement”). In accordance with Nasdaq Marketplace Rule 5810(c)(3)(A), we were granted a period of 180 calendar days from March 22, 2022, or until September 19, 2022, to regain compliance with the Minimum Bid Price Requirement. Our common stock has continued to trade below $1.00 per share, and the closing price of our common stock on November 8, 2022 was $0.53.</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20, 2022, the Company received a letter from Nasdaq advising that the Company has been granted a 180-day extension to March 20, 2023 to regain compliance with the Minimum Bid Price Requirement, in accordance with Nasdaq Listing Rule 5810(c)(3)(A). If compliance is not achieved within the 180-day extension period, Nasdaq would provide written notification to us that our common stock is subject to delisting. In the event that we fail to regain compliance with Nasdaq continued listing standards by March 20, 2023, Nasdaq will commence suspension and delisting procedures with respect to our common stock, which could impair the value of your investment.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common stock is delisted from Nasdaq Capital Market in the future, such securities may be traded on the over-the-counter markets. Such alternative markets, however, are generally considered to be less efficient than, and not as broad as, Nasdaq. Accordingly, delisting of our common stock from Nasdaq could have a significant negative effect on the trading volume, liquidity and market price of our common stock. In addition, the delisting of our common stock could adversely affect our ability to raise capital on terms acceptable to us or at all and could reduce the number of investors willing to hold or acquire our common stock.</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212121"/>
        </w:rPr>
        <w:t>We are subject to governmental export and import requirements that could subject us to liability and restrict our ability to sell our products and services, which could impair our ability to compete in international markets.</w:t>
      </w:r>
    </w:p>
    <w:p>
      <w:pPr>
        <w:spacing w:after="0" w:line="14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are subject to export controls and economic sanctions laws and regulations that restrict selling, shipping or transmitting our products and services and transferring our technology outside the United States. These requirements also restrict domestic release of software and technology to foreign nationals.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addition, we are subject to customs and other import requirements that regulate imports that are important for our business. If we fail to comply with the U.S. Export Administration Regulations or other U.S. or non-U.S. export requirements (collectively, the “Export Regulations”), we could be subject to substantial civil and criminal penalties, including fines for the Company and the possible loss of the ability to engage in exporting and other international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transactions. Due to the nature of our business and technology, the Export Regulations may also subject us to governmental inquiries regarding transactions between us and certain foreign entities.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2022 the U.S. Bureau of Industry and Security (the “BIS”) promulgated broad, novel restrictions that could cover supply of our products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other aspects of our business in connection with China. Also, BIS has placed certain entities on its entity list (the “Entity List”), which restricts supply of items to or in connection with the named entities. Further, in some circumstances the Export Administration Regulations require a license to export an item if the recipient will use the item to design or produce an item for organizations on the Entity List. These regulations can also require licenses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exports that involve Chinese military or intelligence-related end users or end uses. We are evaluating the potential direct impact of the restrictions adopted by the BIS in October 2022, including the classification of our component parts that we ship to China and any necessary modifications to our business policies and practices in China. We believe that current Export Regulations do not materially impact our business at this time, but we cannot predict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that additional regulatory changes may have on our business in the future.</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Future changes in the Export Regulations, including changes in the enforcement and scope of such regulations, may create delays in the introduction of our products or services in international markets or could delay or prevent our customers with international operations from deploying our products or services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globally. In some cases, such changes could delay or prevent the export or import of our products or services to certain countries, governments or persons altogether. Any such delays or restrictions could adversely affect our business, financial condition and results of operations.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9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Title of Document</w:t>
            </w:r>
          </w:p>
        </w:tc>
      </w:tr>
      <w:tr>
        <w:trPr>
          <w:trHeight w:val="385"/>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0140" w:type="dxa"/>
            <w:vAlign w:val="bottom"/>
            <w:tcBorders>
              <w:top w:val="single" w:sz="8" w:color="auto"/>
            </w:tcBorders>
            <w:gridSpan w:val="8"/>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Securities Purchase Agreement dated January 4, 2022 (filed as Exhibit 10.1 to the Company’s Current Report on Form 8-K as filed with the</w:t>
              </w:r>
            </w:hyperlink>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gridSpan w:val="8"/>
          </w:tcPr>
          <w:p>
            <w:pPr>
              <w:spacing w:after="0" w:line="19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SEC on January 4, 2022 and incorporated herein by reference).</w:t>
              </w:r>
            </w:hyperlink>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10140" w:type="dxa"/>
            <w:vAlign w:val="bottom"/>
            <w:gridSpan w:val="8"/>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Registration Rights Agreement dated January 4, 2022 (filed as Exhibit 10.1 to the Company’s Current Report on Form 8-K as filed with the</w:t>
              </w:r>
            </w:hyperlink>
          </w:p>
        </w:tc>
      </w:tr>
      <w:tr>
        <w:trPr>
          <w:trHeight w:val="196"/>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SEC on January 4, 2022 and incorporated herein by reference).</w:t>
              </w:r>
            </w:hyperlink>
          </w:p>
        </w:tc>
        <w:tc>
          <w:tcPr>
            <w:tcW w:w="5520" w:type="dxa"/>
            <w:vAlign w:val="bottom"/>
            <w:tcBorders>
              <w:top w:val="single" w:sz="8" w:color="0000EE"/>
            </w:tcBorders>
            <w:gridSpan w:val="4"/>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97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Promissory Note dated October 28, 2022 (filed as Exhibit 10.1 to the Company’s Current Report on Form 8-K as filed with the SEC on</w:t>
              </w:r>
            </w:hyperlink>
          </w:p>
        </w:tc>
        <w:tc>
          <w:tcPr>
            <w:tcW w:w="42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gridSpan w:val="8"/>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November 2, 2022 and incorporate herein by reference).</w:t>
              </w:r>
            </w:hyperlink>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302</w:t>
            </w:r>
          </w:p>
        </w:tc>
        <w:tc>
          <w:tcPr>
            <w:tcW w:w="92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(filed herewith)</w:t>
            </w: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80" w:type="dxa"/>
            <w:vAlign w:val="bottom"/>
            <w:tcBorders>
              <w:right w:val="single" w:sz="8" w:color="0000EE"/>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302</w:t>
            </w:r>
          </w:p>
        </w:tc>
        <w:tc>
          <w:tcPr>
            <w:tcW w:w="92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(filed herewith)</w:t>
            </w: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906</w:t>
            </w:r>
          </w:p>
        </w:tc>
        <w:tc>
          <w:tcPr>
            <w:tcW w:w="92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(filed herewith)</w:t>
            </w: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80" w:type="dxa"/>
            <w:vAlign w:val="bottom"/>
            <w:tcBorders>
              <w:right w:val="single" w:sz="8" w:color="0000EE"/>
            </w:tcBorders>
            <w:gridSpan w:val="3"/>
            <w:shd w:val="clear" w:color="auto" w:fill="0000FF"/>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906</w:t>
            </w:r>
          </w:p>
        </w:tc>
        <w:tc>
          <w:tcPr>
            <w:tcW w:w="92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(filed herewith)</w:t>
            </w: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r>
      <w:tr>
        <w:trPr>
          <w:trHeight w:val="45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 (filed herewith)</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(filed herewith)</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(filed herewith)</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Definitions Linkbase (filed herewith)</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(filed herewith)</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(filed herewith)</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Pr>
          <w:p>
            <w:pPr>
              <w:spacing w:after="0"/>
              <w:rPr>
                <w:sz w:val="24"/>
                <w:szCs w:val="24"/>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cover page of this Quarterly Report on Form 10-Q, formatted in Inline XBRL.</w:t>
            </w:r>
          </w:p>
        </w:tc>
      </w:tr>
      <w:tr>
        <w:trPr>
          <w:trHeight w:val="4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80" w:type="dxa"/>
            <w:vAlign w:val="bottom"/>
            <w:gridSpan w:val="3"/>
          </w:tcPr>
          <w:p>
            <w:pPr>
              <w:ind w:left="358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10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ClearOne, Inc.,</w:t>
            </w:r>
          </w:p>
        </w:tc>
      </w:tr>
      <w:tr>
        <w:trPr>
          <w:trHeight w:val="234"/>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(Registrant)</w:t>
            </w:r>
          </w:p>
        </w:tc>
      </w:tr>
      <w:tr>
        <w:trPr>
          <w:trHeight w:val="479"/>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8"/>
        </w:trPr>
        <w:tc>
          <w:tcPr>
            <w:tcW w:w="6080" w:type="dxa"/>
            <w:vAlign w:val="bottom"/>
          </w:tcPr>
          <w:p>
            <w:pPr>
              <w:spacing w:after="0"/>
              <w:rPr>
                <w:sz w:val="17"/>
                <w:szCs w:val="17"/>
                <w:color w:val="auto"/>
              </w:rPr>
            </w:pPr>
          </w:p>
        </w:tc>
        <w:tc>
          <w:tcPr>
            <w:tcW w:w="5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Derek L. Graham</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6"/>
        </w:trPr>
        <w:tc>
          <w:tcPr>
            <w:tcW w:w="6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25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2022</w:t>
            </w:r>
          </w:p>
        </w:tc>
        <w:tc>
          <w:tcPr>
            <w:tcW w:w="5160" w:type="dxa"/>
            <w:vAlign w:val="bottom"/>
          </w:tcPr>
          <w:p>
            <w:pPr>
              <w:spacing w:after="0"/>
              <w:rPr>
                <w:sz w:val="22"/>
                <w:szCs w:val="22"/>
                <w:color w:val="auto"/>
              </w:rPr>
            </w:pPr>
          </w:p>
        </w:tc>
      </w:tr>
      <w:tr>
        <w:trPr>
          <w:trHeight w:val="453"/>
        </w:trPr>
        <w:tc>
          <w:tcPr>
            <w:tcW w:w="60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Narsi Narayanan</w:t>
            </w:r>
          </w:p>
        </w:tc>
      </w:tr>
      <w:tr>
        <w:trPr>
          <w:trHeight w:val="198"/>
        </w:trPr>
        <w:tc>
          <w:tcPr>
            <w:tcW w:w="6080" w:type="dxa"/>
            <w:vAlign w:val="bottom"/>
          </w:tcPr>
          <w:p>
            <w:pPr>
              <w:spacing w:after="0"/>
              <w:rPr>
                <w:sz w:val="17"/>
                <w:szCs w:val="17"/>
                <w:color w:val="auto"/>
              </w:rPr>
            </w:pPr>
          </w:p>
        </w:tc>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Narsi Narayanan</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6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2022</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r>
        <w:trPr>
          <w:trHeight w:val="675"/>
        </w:trPr>
        <w:tc>
          <w:tcPr>
            <w:tcW w:w="60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30</w:t>
            </w:r>
          </w:p>
        </w:tc>
        <w:tc>
          <w:tcPr>
            <w:tcW w:w="5160" w:type="dxa"/>
            <w:vAlign w:val="bottom"/>
          </w:tcPr>
          <w:p>
            <w:pPr>
              <w:spacing w:after="0"/>
              <w:rPr>
                <w:sz w:val="24"/>
                <w:szCs w:val="24"/>
                <w:color w:val="auto"/>
              </w:rPr>
            </w:pPr>
          </w:p>
        </w:tc>
      </w:tr>
      <w:tr>
        <w:trPr>
          <w:trHeight w:val="128"/>
        </w:trPr>
        <w:tc>
          <w:tcPr>
            <w:tcW w:w="6080" w:type="dxa"/>
            <w:vAlign w:val="bottom"/>
            <w:tcBorders>
              <w:bottom w:val="single" w:sz="8" w:color="auto"/>
            </w:tcBorders>
          </w:tcPr>
          <w:p>
            <w:pPr>
              <w:spacing w:after="0"/>
              <w:rPr>
                <w:sz w:val="11"/>
                <w:szCs w:val="11"/>
                <w:color w:val="auto"/>
              </w:rPr>
            </w:pPr>
          </w:p>
        </w:tc>
        <w:tc>
          <w:tcPr>
            <w:tcW w:w="51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L. Graham,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Inc. on Form 10-Q;</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jc w:val="both"/>
        <w:ind w:left="340" w:right="12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jc w:val="both"/>
        <w:ind w:left="340" w:right="12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right="68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L. Graham</w:t>
            </w:r>
          </w:p>
        </w:tc>
      </w:tr>
      <w:tr>
        <w:trPr>
          <w:trHeight w:val="214"/>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2022</w:t>
            </w: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Narsi Narayanan,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Inc. on Form 10-Q;</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Narsi Narayanan</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Narsi Narayanan</w:t>
            </w:r>
          </w:p>
        </w:tc>
      </w:tr>
      <w:tr>
        <w:trPr>
          <w:trHeight w:val="214"/>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2022</w:t>
            </w: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bl>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Derek L. Graham, certify, to my best knowledge and belief, pursuant to 18 U.S.C. Section 1350, as adopted pursuant to Section 906 of the Sarbanes-Oxley Act of 2002, that the Quarterly Report of ClearOne, Inc. on Form 10-Q for the quarter ended September 30, 2022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L. Graham</w:t>
            </w:r>
          </w:p>
        </w:tc>
      </w:tr>
      <w:tr>
        <w:trPr>
          <w:trHeight w:val="214"/>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r>
        <w:trPr>
          <w:trHeight w:val="23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2022</w:t>
            </w: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September 30, 2022,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Narsi Narayanan</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Narsi Narayanan</w:t>
            </w:r>
          </w:p>
        </w:tc>
      </w:tr>
      <w:tr>
        <w:trPr>
          <w:trHeight w:val="214"/>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2022</w:t>
            </w: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44" Type="http://schemas.openxmlformats.org/officeDocument/2006/relationships/hyperlink" Target="http://www.sec.gov/Archives/edgar/data/840715/000175392622000016/ex101_1.htm" TargetMode="External"/><Relationship Id="rId45" Type="http://schemas.openxmlformats.org/officeDocument/2006/relationships/hyperlink" Target="http://www.sec.gov/Archives/edgar/data/840715/000175392622000016/ex102_2.htm" TargetMode="External"/><Relationship Id="rId46" Type="http://schemas.openxmlformats.org/officeDocument/2006/relationships/hyperlink" Target="http://www.sec.gov/Archives/edgar/data/840715/000175392622001414/ex10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2022-11-14T14:23:57Z</dcterms:created>
  <dcterms:modified xsi:type="dcterms:W3CDTF">2022-11-14T14:23:57Z</dcterms:modified>
</cp:coreProperties>
</file>