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r>
        <w:rPr>
          <w:rFonts w:ascii="Arial" w:cs="Arial" w:eastAsia="Arial" w:hAnsi="Arial"/>
          <w:sz w:val="18"/>
          <w:szCs w:val="18"/>
          <w:b w:val="1"/>
          <w:bCs w:val="1"/>
          <w:u w:val="single" w:color="auto"/>
          <w:color w:val="auto"/>
        </w:rPr>
        <w:t>November 14, 2011</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Utah</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1" w:lineRule="exact"/>
        <w:rPr>
          <w:sz w:val="24"/>
          <w:szCs w:val="24"/>
          <w:color w:val="auto"/>
        </w:rPr>
      </w:pPr>
    </w:p>
    <w:tbl>
      <w:tblPr>
        <w:tblLayout w:type="fixed"/>
        <w:tblInd w:w="2750" w:type="dxa"/>
        <w:tblCellMar>
          <w:top w:w="0" w:type="dxa"/>
          <w:left w:w="0" w:type="dxa"/>
          <w:bottom w:w="0" w:type="dxa"/>
          <w:right w:w="0" w:type="dxa"/>
        </w:tblCellMar>
      </w:tblPr>
      <w:tr>
        <w:trPr>
          <w:trHeight w:val="432"/>
        </w:trPr>
        <w:tc>
          <w:tcPr>
            <w:tcW w:w="680" w:type="dxa"/>
            <w:vAlign w:val="bottom"/>
            <w:tcBorders>
              <w:right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2000" w:type="dxa"/>
            <w:vAlign w:val="bottom"/>
            <w:tcBorders>
              <w:top w:val="single" w:sz="8" w:color="808080"/>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001-33660</w:t>
            </w:r>
          </w:p>
        </w:tc>
        <w:tc>
          <w:tcPr>
            <w:tcW w:w="20" w:type="dxa"/>
            <w:vAlign w:val="bottom"/>
            <w:tcBorders>
              <w:top w:val="single" w:sz="8" w:color="808080"/>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40" w:type="dxa"/>
            <w:vAlign w:val="bottom"/>
            <w:tcBorders>
              <w:top w:val="single" w:sz="8" w:color="808080"/>
            </w:tcBorders>
          </w:tcPr>
          <w:p>
            <w:pPr>
              <w:spacing w:after="0"/>
              <w:rPr>
                <w:sz w:val="24"/>
                <w:szCs w:val="24"/>
                <w:color w:val="auto"/>
              </w:rPr>
            </w:pPr>
          </w:p>
        </w:tc>
        <w:tc>
          <w:tcPr>
            <w:tcW w:w="1760" w:type="dxa"/>
            <w:vAlign w:val="bottom"/>
            <w:tcBorders>
              <w:top w:val="single" w:sz="8" w:color="808080"/>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9"/>
              </w:rPr>
              <w:t>87-0398877</w:t>
            </w:r>
          </w:p>
        </w:tc>
        <w:tc>
          <w:tcPr>
            <w:tcW w:w="260" w:type="dxa"/>
            <w:vAlign w:val="bottom"/>
            <w:tcBorders>
              <w:top w:val="single" w:sz="8" w:color="808080"/>
            </w:tcBorders>
          </w:tcPr>
          <w:p>
            <w:pPr>
              <w:spacing w:after="0"/>
              <w:rPr>
                <w:sz w:val="24"/>
                <w:szCs w:val="24"/>
                <w:color w:val="auto"/>
              </w:rPr>
            </w:pPr>
          </w:p>
        </w:tc>
        <w:tc>
          <w:tcPr>
            <w:tcW w:w="60" w:type="dxa"/>
            <w:vAlign w:val="bottom"/>
            <w:tcBorders>
              <w:top w:val="single" w:sz="8" w:color="808080"/>
              <w:right w:val="single" w:sz="8" w:color="808080"/>
            </w:tcBorders>
          </w:tcPr>
          <w:p>
            <w:pPr>
              <w:spacing w:after="0"/>
              <w:rPr>
                <w:sz w:val="24"/>
                <w:szCs w:val="24"/>
                <w:color w:val="auto"/>
              </w:rPr>
            </w:pPr>
          </w:p>
        </w:tc>
        <w:tc>
          <w:tcPr>
            <w:tcW w:w="300" w:type="dxa"/>
            <w:vAlign w:val="bottom"/>
          </w:tcPr>
          <w:p>
            <w:pPr>
              <w:spacing w:after="0"/>
              <w:rPr>
                <w:sz w:val="24"/>
                <w:szCs w:val="24"/>
                <w:color w:val="auto"/>
              </w:rPr>
            </w:pPr>
          </w:p>
        </w:tc>
      </w:tr>
      <w:tr>
        <w:trPr>
          <w:trHeight w:val="276"/>
        </w:trPr>
        <w:tc>
          <w:tcPr>
            <w:tcW w:w="68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color w:val="auto"/>
              </w:rPr>
              <w:t>(Commission File Number)</w:t>
            </w:r>
          </w:p>
        </w:tc>
        <w:tc>
          <w:tcPr>
            <w:tcW w:w="2080" w:type="dxa"/>
            <w:vAlign w:val="bottom"/>
            <w:tcBorders>
              <w:right w:val="single" w:sz="8" w:color="808080"/>
            </w:tcBorders>
            <w:gridSpan w:val="4"/>
          </w:tcPr>
          <w:p>
            <w:pPr>
              <w:jc w:val="center"/>
              <w:ind w:right="200"/>
              <w:spacing w:after="0"/>
              <w:rPr>
                <w:sz w:val="20"/>
                <w:szCs w:val="20"/>
                <w:color w:val="auto"/>
              </w:rPr>
            </w:pPr>
            <w:r>
              <w:rPr>
                <w:rFonts w:ascii="Arial" w:cs="Arial" w:eastAsia="Arial" w:hAnsi="Arial"/>
                <w:sz w:val="18"/>
                <w:szCs w:val="18"/>
                <w:color w:val="auto"/>
                <w:w w:val="92"/>
              </w:rPr>
              <w:t>(I.R.S. employer</w:t>
            </w:r>
          </w:p>
        </w:tc>
        <w:tc>
          <w:tcPr>
            <w:tcW w:w="300" w:type="dxa"/>
            <w:vAlign w:val="bottom"/>
          </w:tcPr>
          <w:p>
            <w:pPr>
              <w:spacing w:after="0"/>
              <w:rPr>
                <w:sz w:val="24"/>
                <w:szCs w:val="24"/>
                <w:color w:val="auto"/>
              </w:rPr>
            </w:pPr>
          </w:p>
        </w:tc>
      </w:tr>
      <w:tr>
        <w:trPr>
          <w:trHeight w:val="251"/>
        </w:trPr>
        <w:tc>
          <w:tcPr>
            <w:tcW w:w="680" w:type="dxa"/>
            <w:vAlign w:val="bottom"/>
            <w:tcBorders>
              <w:right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15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80" w:type="dxa"/>
            <w:vAlign w:val="bottom"/>
            <w:tcBorders>
              <w:bottom w:val="single" w:sz="8" w:color="808080"/>
              <w:right w:val="single" w:sz="8" w:color="808080"/>
            </w:tcBorders>
            <w:gridSpan w:val="4"/>
          </w:tcPr>
          <w:p>
            <w:pPr>
              <w:jc w:val="center"/>
              <w:ind w:right="140"/>
              <w:spacing w:after="0"/>
              <w:rPr>
                <w:sz w:val="20"/>
                <w:szCs w:val="20"/>
                <w:color w:val="auto"/>
              </w:rPr>
            </w:pPr>
            <w:r>
              <w:rPr>
                <w:rFonts w:ascii="Arial" w:cs="Arial" w:eastAsia="Arial" w:hAnsi="Arial"/>
                <w:sz w:val="18"/>
                <w:szCs w:val="18"/>
                <w:color w:val="auto"/>
                <w:w w:val="94"/>
              </w:rPr>
              <w:t>identification number)</w:t>
            </w:r>
          </w:p>
        </w:tc>
        <w:tc>
          <w:tcPr>
            <w:tcW w:w="300" w:type="dxa"/>
            <w:vAlign w:val="bottom"/>
          </w:tcPr>
          <w:p>
            <w:pPr>
              <w:spacing w:after="0"/>
              <w:rPr>
                <w:sz w:val="21"/>
                <w:szCs w:val="21"/>
                <w:color w:val="auto"/>
              </w:rPr>
            </w:pPr>
          </w:p>
        </w:tc>
      </w:tr>
      <w:tr>
        <w:trPr>
          <w:trHeight w:val="264"/>
        </w:trPr>
        <w:tc>
          <w:tcPr>
            <w:tcW w:w="68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156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r>
      <w:tr>
        <w:trPr>
          <w:trHeight w:val="392"/>
        </w:trPr>
        <w:tc>
          <w:tcPr>
            <w:tcW w:w="680" w:type="dxa"/>
            <w:vAlign w:val="bottom"/>
            <w:tcBorders>
              <w:lef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5225 Wiley Post Way, Suite 500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r>
      <w:tr>
        <w:trPr>
          <w:trHeight w:val="250"/>
        </w:trPr>
        <w:tc>
          <w:tcPr>
            <w:tcW w:w="680" w:type="dxa"/>
            <w:vAlign w:val="bottom"/>
            <w:tcBorders>
              <w:left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Salt Lake City, Utah</w:t>
            </w:r>
          </w:p>
        </w:tc>
        <w:tc>
          <w:tcPr>
            <w:tcW w:w="46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84116</w:t>
            </w:r>
          </w:p>
        </w:tc>
        <w:tc>
          <w:tcPr>
            <w:tcW w:w="60" w:type="dxa"/>
            <w:vAlign w:val="bottom"/>
          </w:tcPr>
          <w:p>
            <w:pPr>
              <w:spacing w:after="0"/>
              <w:rPr>
                <w:sz w:val="21"/>
                <w:szCs w:val="21"/>
                <w:color w:val="auto"/>
              </w:rPr>
            </w:pPr>
          </w:p>
        </w:tc>
        <w:tc>
          <w:tcPr>
            <w:tcW w:w="300" w:type="dxa"/>
            <w:vAlign w:val="bottom"/>
            <w:tcBorders>
              <w:right w:val="single" w:sz="8" w:color="808080"/>
            </w:tcBorders>
          </w:tcPr>
          <w:p>
            <w:pPr>
              <w:spacing w:after="0"/>
              <w:rPr>
                <w:sz w:val="21"/>
                <w:szCs w:val="21"/>
                <w:color w:val="auto"/>
              </w:rPr>
            </w:pPr>
          </w:p>
        </w:tc>
      </w:tr>
      <w:tr>
        <w:trPr>
          <w:trHeight w:val="238"/>
        </w:trPr>
        <w:tc>
          <w:tcPr>
            <w:tcW w:w="680" w:type="dxa"/>
            <w:vAlign w:val="bottom"/>
            <w:tcBorders>
              <w:lef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5"/>
          </w:tcPr>
          <w:p>
            <w:pPr>
              <w:jc w:val="center"/>
              <w:ind w:right="40"/>
              <w:spacing w:after="0"/>
              <w:rPr>
                <w:sz w:val="20"/>
                <w:szCs w:val="20"/>
                <w:color w:val="auto"/>
              </w:rPr>
            </w:pPr>
            <w:r>
              <w:rPr>
                <w:rFonts w:ascii="Arial" w:cs="Arial" w:eastAsia="Arial" w:hAnsi="Arial"/>
                <w:sz w:val="14"/>
                <w:szCs w:val="14"/>
                <w:color w:val="auto"/>
                <w:w w:val="95"/>
              </w:rPr>
              <w:t>(Address of principal executive offices)</w:t>
            </w:r>
          </w:p>
        </w:tc>
        <w:tc>
          <w:tcPr>
            <w:tcW w:w="980" w:type="dxa"/>
            <w:vAlign w:val="bottom"/>
          </w:tcPr>
          <w:p>
            <w:pPr>
              <w:spacing w:after="0"/>
              <w:rPr>
                <w:sz w:val="20"/>
                <w:szCs w:val="20"/>
                <w:color w:val="auto"/>
              </w:rPr>
            </w:pPr>
          </w:p>
        </w:tc>
        <w:tc>
          <w:tcPr>
            <w:tcW w:w="1100" w:type="dxa"/>
            <w:vAlign w:val="bottom"/>
            <w:gridSpan w:val="3"/>
          </w:tcPr>
          <w:p>
            <w:pPr>
              <w:ind w:left="320"/>
              <w:spacing w:after="0"/>
              <w:rPr>
                <w:sz w:val="20"/>
                <w:szCs w:val="20"/>
                <w:color w:val="auto"/>
              </w:rPr>
            </w:pPr>
            <w:r>
              <w:rPr>
                <w:rFonts w:ascii="Arial" w:cs="Arial" w:eastAsia="Arial" w:hAnsi="Arial"/>
                <w:sz w:val="14"/>
                <w:szCs w:val="14"/>
                <w:color w:val="auto"/>
              </w:rPr>
              <w:t>(Zip Code)</w:t>
            </w:r>
          </w:p>
        </w:tc>
        <w:tc>
          <w:tcPr>
            <w:tcW w:w="300" w:type="dxa"/>
            <w:vAlign w:val="bottom"/>
            <w:tcBorders>
              <w:right w:val="single" w:sz="8" w:color="808080"/>
            </w:tcBorders>
          </w:tcPr>
          <w:p>
            <w:pPr>
              <w:spacing w:after="0"/>
              <w:rPr>
                <w:sz w:val="20"/>
                <w:szCs w:val="20"/>
                <w:color w:val="auto"/>
              </w:rPr>
            </w:pPr>
          </w:p>
        </w:tc>
      </w:tr>
      <w:tr>
        <w:trPr>
          <w:trHeight w:val="100"/>
        </w:trPr>
        <w:tc>
          <w:tcPr>
            <w:tcW w:w="680" w:type="dxa"/>
            <w:vAlign w:val="bottom"/>
            <w:tcBorders>
              <w:left w:val="single" w:sz="8" w:color="808080"/>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right w:val="single" w:sz="8" w:color="808080"/>
            </w:tcBorders>
          </w:tcPr>
          <w:p>
            <w:pPr>
              <w:spacing w:after="0"/>
              <w:rPr>
                <w:sz w:val="8"/>
                <w:szCs w:val="8"/>
                <w:color w:val="auto"/>
              </w:rPr>
            </w:pP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40.14d-2(b))</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w w:val="91"/>
              </w:rPr>
              <w:t>] Pre-commencement communication pursuant to Rule 13e-4(c) under the Exchange Act (17 CFR 240.13e-4(c))</w:t>
            </w:r>
          </w:p>
        </w:tc>
      </w:tr>
      <w:tr>
        <w:trPr>
          <w:trHeight w:val="459"/>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8.01</w:t>
            </w:r>
          </w:p>
        </w:tc>
        <w:tc>
          <w:tcPr>
            <w:tcW w:w="7300" w:type="dxa"/>
            <w:vAlign w:val="bottom"/>
          </w:tcPr>
          <w:p>
            <w:pPr>
              <w:ind w:left="320"/>
              <w:spacing w:after="0"/>
              <w:rPr>
                <w:sz w:val="20"/>
                <w:szCs w:val="20"/>
                <w:color w:val="auto"/>
              </w:rPr>
            </w:pPr>
            <w:r>
              <w:rPr>
                <w:rFonts w:ascii="Arial" w:cs="Arial" w:eastAsia="Arial" w:hAnsi="Arial"/>
                <w:sz w:val="18"/>
                <w:szCs w:val="18"/>
                <w:b w:val="1"/>
                <w:bCs w:val="1"/>
                <w:color w:val="auto"/>
              </w:rPr>
              <w:t>Other Events</w:t>
            </w:r>
          </w:p>
        </w:tc>
      </w:tr>
    </w:tbl>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On November 14, 2011, E. Dallin Bagley, a former Chairman of the Board of Directors of ClearOne Communications, Inc. (“the Company”) entered into a 10b5-1(c) Stock Purchase Plan (“Plan”) to purchase Company’s common stock (“Plan Shares”).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Principal terms of the Plan include the following:</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 broker (“Broker”) has been engaged to purchase Plan shares at a purchase price of not more than $5.00 per share up to an aggregate of $200,000 in a calendar month. The timing within each calendar month and execution of all purchases will be made at the sole discretion of the Broker to maximize the value to Bagley.</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plan is effective from November 14, 2011 and would terminate no later than December 31, 2012. However, the plan would terminate earlier when a total of $1,000,000 in Plan Shares have been purchased in accordance with the terms of this Plan. The Plan may also be terminated by Bagley at any time upon written notice delivered to Broker with a copy of the notice provided to the Secretary of the Company.</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All purchases under the Plan will be reported by Bagley through Form 4 filings with the Securities and Exchange Commission.</w:t>
      </w:r>
    </w:p>
    <w:p>
      <w:pPr>
        <w:spacing w:after="0" w:line="25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Bagley will cease all purchases under the Plan promptly upon notice from the Secretary of ClearOne that the independent directors of the Company’s Board of Directors have determined that purchases under the Plan must be suspended for the period determined by those directors. In this regard, Bagley acknowledges that it may be necessary or appropriate for the Company to instruct him to suspend purchases under the Plan in connection with events, including without limitation public or private offerings of securities, mergers or acquisitions, tender offers or similar events.</w:t>
      </w:r>
    </w:p>
    <w:p>
      <w:pPr>
        <w:spacing w:after="0" w:line="1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Plan is intended to comply with the requirements of Rule 10b5-1(c) under the Exchange Act and this Plan shall be interpreted to comply with the requirements of Rule 10b5-1(c).</w:t>
      </w:r>
    </w:p>
    <w:p>
      <w:pPr>
        <w:sectPr>
          <w:pgSz w:w="11900" w:h="16838" w:orient="portrait"/>
          <w:cols w:equalWidth="0" w:num="1">
            <w:col w:w="11420"/>
          </w:cols>
          <w:pgMar w:left="240" w:top="229" w:right="239" w:bottom="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5497195"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719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Date: November 25, 2011</w:t>
            </w:r>
          </w:p>
        </w:tc>
        <w:tc>
          <w:tcPr>
            <w:tcW w:w="1360" w:type="dxa"/>
            <w:vAlign w:val="bottom"/>
          </w:tcPr>
          <w:p>
            <w:pPr>
              <w:ind w:left="680"/>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Narsi Narayanan</w:t>
            </w:r>
          </w:p>
        </w:tc>
        <w:tc>
          <w:tcPr>
            <w:tcW w:w="420" w:type="dxa"/>
            <w:vAlign w:val="bottom"/>
          </w:tcPr>
          <w:p>
            <w:pPr>
              <w:spacing w:after="0"/>
              <w:rPr>
                <w:sz w:val="17"/>
                <w:szCs w:val="17"/>
                <w:color w:val="auto"/>
              </w:rPr>
            </w:pPr>
          </w:p>
        </w:tc>
      </w:tr>
      <w:tr>
        <w:trPr>
          <w:trHeight w:val="237"/>
        </w:trPr>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Narsi Narayanan</w:t>
            </w:r>
          </w:p>
        </w:tc>
      </w:tr>
      <w:tr>
        <w:trPr>
          <w:trHeight w:val="243"/>
        </w:trPr>
        <w:tc>
          <w:tcPr>
            <w:tcW w:w="26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89"/>
              </w:rPr>
              <w:t>Vice President of Finance</w:t>
            </w:r>
          </w:p>
        </w:tc>
      </w:tr>
    </w:tbl>
    <w:p>
      <w:pPr>
        <w:spacing w:after="0" w:line="1" w:lineRule="exact"/>
        <w:rPr>
          <w:sz w:val="20"/>
          <w:szCs w:val="20"/>
          <w:color w:val="auto"/>
        </w:rPr>
      </w:pPr>
    </w:p>
    <w:sectPr>
      <w:pgSz w:w="11900" w:h="16838" w:orient="portrait"/>
      <w:cols w:equalWidth="0" w:num="1">
        <w:col w:w="11220"/>
      </w:cols>
      <w:pgMar w:left="2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2019-12-10T08:53:15Z</dcterms:created>
  <dcterms:modified xsi:type="dcterms:W3CDTF">2019-12-10T08:53:15Z</dcterms:modified>
</cp:coreProperties>
</file>