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0" w:right="1700" w:hanging="372"/>
        <w:spacing w:after="0" w:line="281"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2020</w:t>
      </w:r>
    </w:p>
    <w:p>
      <w:pPr>
        <w:spacing w:after="0" w:line="163" w:lineRule="exact"/>
        <w:rPr>
          <w:sz w:val="24"/>
          <w:szCs w:val="24"/>
          <w:color w:val="auto"/>
        </w:rPr>
      </w:pPr>
    </w:p>
    <w:p>
      <w:pPr>
        <w:ind w:left="380" w:right="1700" w:hanging="372"/>
        <w:spacing w:after="0" w:line="281" w:lineRule="auto"/>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_______ to _______</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u w:val="single" w:color="auto"/>
          <w:color w:val="auto"/>
        </w:rPr>
        <w:t>001-33660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2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223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20" w:type="dxa"/>
            <w:vAlign w:val="bottom"/>
          </w:tcPr>
          <w:p>
            <w:pPr>
              <w:spacing w:after="0"/>
              <w:rPr>
                <w:sz w:val="19"/>
                <w:szCs w:val="19"/>
                <w:color w:val="auto"/>
              </w:rPr>
            </w:pPr>
          </w:p>
        </w:tc>
        <w:tc>
          <w:tcPr>
            <w:tcW w:w="5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number)</w:t>
            </w:r>
          </w:p>
        </w:tc>
      </w:tr>
      <w:tr>
        <w:trPr>
          <w:trHeight w:val="417"/>
        </w:trPr>
        <w:tc>
          <w:tcPr>
            <w:tcW w:w="20" w:type="dxa"/>
            <w:vAlign w:val="bottom"/>
          </w:tcPr>
          <w:p>
            <w:pPr>
              <w:spacing w:after="0"/>
              <w:rPr>
                <w:sz w:val="24"/>
                <w:szCs w:val="24"/>
                <w:color w:val="auto"/>
              </w:rPr>
            </w:pPr>
          </w:p>
        </w:tc>
        <w:tc>
          <w:tcPr>
            <w:tcW w:w="5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5500" w:type="dxa"/>
            <w:vAlign w:val="bottom"/>
          </w:tcPr>
          <w:p>
            <w:pPr>
              <w:jc w:val="right"/>
              <w:ind w:right="2450"/>
              <w:spacing w:after="0"/>
              <w:rPr>
                <w:sz w:val="20"/>
                <w:szCs w:val="20"/>
                <w:color w:val="auto"/>
              </w:rPr>
            </w:pPr>
            <w:r>
              <w:rPr>
                <w:rFonts w:ascii="Arial" w:cs="Arial" w:eastAsia="Arial" w:hAnsi="Arial"/>
                <w:sz w:val="18"/>
                <w:szCs w:val="18"/>
                <w:b w:val="1"/>
                <w:bCs w:val="1"/>
                <w:color w:val="auto"/>
              </w:rPr>
              <w:t>84116</w:t>
            </w:r>
          </w:p>
        </w:tc>
      </w:tr>
      <w:tr>
        <w:trPr>
          <w:trHeight w:val="224"/>
        </w:trPr>
        <w:tc>
          <w:tcPr>
            <w:tcW w:w="20" w:type="dxa"/>
            <w:vAlign w:val="bottom"/>
          </w:tcPr>
          <w:p>
            <w:pPr>
              <w:spacing w:after="0"/>
              <w:rPr>
                <w:sz w:val="19"/>
                <w:szCs w:val="19"/>
                <w:color w:val="auto"/>
              </w:rPr>
            </w:pPr>
          </w:p>
        </w:tc>
        <w:tc>
          <w:tcPr>
            <w:tcW w:w="55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77"/>
        </w:trPr>
        <w:tc>
          <w:tcPr>
            <w:tcW w:w="5740" w:type="dxa"/>
            <w:vAlign w:val="bottom"/>
            <w:gridSpan w:val="5"/>
          </w:tcPr>
          <w:p>
            <w:pPr>
              <w:spacing w:after="0"/>
              <w:rPr>
                <w:sz w:val="20"/>
                <w:szCs w:val="20"/>
                <w:color w:val="auto"/>
              </w:rPr>
            </w:pPr>
            <w:r>
              <w:rPr>
                <w:rFonts w:ascii="Arial" w:cs="Arial" w:eastAsia="Arial" w:hAnsi="Arial"/>
                <w:sz w:val="18"/>
                <w:szCs w:val="18"/>
                <w:color w:val="auto"/>
              </w:rPr>
              <w:t>Registrant’s telephone number, including area code: (801) 975-7200</w:t>
            </w:r>
          </w:p>
        </w:tc>
        <w:tc>
          <w:tcPr>
            <w:tcW w:w="5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bl>
    <w:p>
      <w:pPr>
        <w:spacing w:after="0" w:line="22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63" w:right="339" w:bottom="1440" w:gutter="0" w:footer="0" w:header="0"/>
        </w:sectPr>
      </w:pPr>
    </w:p>
    <w:p>
      <w:pPr>
        <w:spacing w:after="0" w:line="1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Larger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20" w:space="720"/>
            <w:col w:w="5600"/>
          </w:cols>
          <w:pgMar w:left="320" w:top="463" w:right="339" w:bottom="1440" w:gutter="0" w:footer="0" w:header="0"/>
          <w:type w:val="continuous"/>
        </w:sectPr>
      </w:pP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40"/>
        </w:trPr>
        <w:tc>
          <w:tcPr>
            <w:tcW w:w="5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590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Trading Symbol(s)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5900" w:type="dxa"/>
            <w:vAlign w:val="bottom"/>
          </w:tcPr>
          <w:p>
            <w:pPr>
              <w:spacing w:after="0"/>
              <w:rPr>
                <w:sz w:val="20"/>
                <w:szCs w:val="20"/>
                <w:color w:val="auto"/>
              </w:rPr>
            </w:pPr>
            <w:r>
              <w:rPr>
                <w:rFonts w:ascii="Arial" w:cs="Arial" w:eastAsia="Arial" w:hAnsi="Arial"/>
                <w:sz w:val="18"/>
                <w:szCs w:val="18"/>
                <w:color w:val="auto"/>
              </w:rPr>
              <w:t>Common Stock, $0.001</w:t>
            </w: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CLRO</w:t>
            </w:r>
          </w:p>
        </w:tc>
        <w:tc>
          <w:tcPr>
            <w:tcW w:w="34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May 19, 2020 was 16,650,725.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QUARTERLY REPORT ON FORM 10-Q FOR THE QUARTER ENDED MARCH 31,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20" w:type="dxa"/>
            <w:vAlign w:val="bottom"/>
            <w:gridSpan w:val="2"/>
          </w:tcPr>
          <w:p>
            <w:pPr>
              <w:ind w:left="3760"/>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March 31, 2020 and December 31,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68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Consolidated Statements of Operations and Comprehensive Loss for the three months ended March 31, 2020</w:t>
              </w:r>
            </w:hyperlink>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shd w:val="clear" w:color="auto" w:fill="CCEEFF"/>
          </w:tcPr>
          <w:p>
            <w:pPr>
              <w:spacing w:after="0"/>
              <w:rPr>
                <w:sz w:val="11"/>
                <w:szCs w:val="11"/>
                <w:color w:val="auto"/>
              </w:rPr>
            </w:pPr>
          </w:p>
        </w:tc>
        <w:tc>
          <w:tcPr>
            <w:tcW w:w="9460" w:type="dxa"/>
            <w:vAlign w:val="bottom"/>
            <w:tcBorders>
              <w:top w:val="single" w:sz="8" w:color="0000EE"/>
            </w:tcBorders>
            <w:gridSpan w:val="2"/>
            <w:vMerge w:val="restart"/>
            <w:shd w:val="clear" w:color="auto" w:fill="CCEEFF"/>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and 2019</w:t>
              </w:r>
            </w:hyperlink>
          </w:p>
        </w:tc>
        <w:tc>
          <w:tcPr>
            <w:tcW w:w="220" w:type="dxa"/>
            <w:vAlign w:val="bottom"/>
            <w:tcBorders>
              <w:top w:val="single" w:sz="8" w:color="CCEEFF"/>
            </w:tcBorders>
            <w:vMerge w:val="restart"/>
            <w:shd w:val="clear" w:color="auto" w:fill="CCEEFF"/>
          </w:tcPr>
          <w:p>
            <w:pPr>
              <w:spacing w:after="0"/>
              <w:rPr>
                <w:sz w:val="11"/>
                <w:szCs w:val="11"/>
                <w:color w:val="auto"/>
              </w:rPr>
            </w:pPr>
          </w:p>
        </w:tc>
        <w:tc>
          <w:tcPr>
            <w:tcW w:w="6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460" w:type="dxa"/>
            <w:vAlign w:val="bottom"/>
            <w:gridSpan w:val="2"/>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88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Cash Flows for the three months ended March 31, 2020 and 2019</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Notes to Condensed Consolidated Financial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19"/>
                <w:szCs w:val="19"/>
                <w:color w:val="auto"/>
              </w:rPr>
            </w:pPr>
          </w:p>
        </w:tc>
        <w:tc>
          <w:tcPr>
            <w:tcW w:w="968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 - OTHER INFORMATION</w:t>
              </w:r>
            </w:hyperlink>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Unregistered Sales of Equity Securities and Use of Proceeds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Defaults Upon Senior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3"/>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9460" w:type="dxa"/>
            <w:vAlign w:val="bottom"/>
            <w:gridSpan w:val="2"/>
          </w:tcPr>
          <w:p>
            <w:pPr>
              <w:ind w:left="46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March 31, 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3,342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$439 and $424, respectively</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10,350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5,746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2,332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4,592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2,475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$0.001, 50,000,000 shares authorized, 16,650,725 and 16,650,725 shares issued</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and outstanding</w:t>
            </w:r>
          </w:p>
        </w:tc>
        <w:tc>
          <w:tcPr>
            <w:tcW w:w="12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58,560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(15,730)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2,896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1,739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1,506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16,650,725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16,630,597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16,650,725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16,630,597</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(1,847)</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available-for-sale securities, net of tax</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Change in foreign currency translation adjustment</w:t>
            </w: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240" w:type="dxa"/>
            <w:vAlign w:val="bottom"/>
            <w:gridSpan w:val="7"/>
          </w:tcPr>
          <w:p>
            <w:pPr>
              <w:jc w:val="right"/>
              <w:ind w:right="381"/>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(1,847)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Depreciation and amortization expense</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doubtful accounts, net</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Change of inventory to net realizable value</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Receivables</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Deferred product revenue</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Purchase of intangibles</w:t>
            </w:r>
          </w:p>
        </w:tc>
        <w:tc>
          <w:tcPr>
            <w:tcW w:w="9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patent defense costs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(1,722)</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maturities and sales of marketable securities</w:t>
            </w:r>
          </w:p>
        </w:tc>
        <w:tc>
          <w:tcPr>
            <w:tcW w:w="9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(1,124)</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equity-based compensation programs</w:t>
            </w:r>
          </w:p>
        </w:tc>
        <w:tc>
          <w:tcPr>
            <w:tcW w:w="9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Net decrease in cash and cash equivalents</w:t>
      </w:r>
    </w:p>
    <w:p>
      <w:pPr>
        <w:spacing w:after="0" w:line="35" w:lineRule="exact"/>
        <w:rPr>
          <w:sz w:val="20"/>
          <w:szCs w:val="20"/>
          <w:color w:val="auto"/>
        </w:rPr>
      </w:pPr>
    </w:p>
    <w:p>
      <w:pPr>
        <w:spacing w:after="0" w:line="394" w:lineRule="auto"/>
        <w:rPr>
          <w:sz w:val="20"/>
          <w:szCs w:val="20"/>
          <w:color w:val="auto"/>
        </w:rPr>
      </w:pPr>
      <w:r>
        <w:rPr>
          <w:rFonts w:ascii="Arial" w:cs="Arial" w:eastAsia="Arial" w:hAnsi="Arial"/>
          <w:sz w:val="16"/>
          <w:szCs w:val="16"/>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(1,209)</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(6,885)</w:t>
            </w:r>
          </w:p>
        </w:tc>
      </w:tr>
      <w:tr>
        <w:trPr>
          <w:trHeight w:val="242"/>
        </w:trPr>
        <w:tc>
          <w:tcPr>
            <w:tcW w:w="5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11,211</w:t>
            </w:r>
          </w:p>
        </w:tc>
        <w:tc>
          <w:tcPr>
            <w:tcW w:w="60" w:type="dxa"/>
            <w:vAlign w:val="bottom"/>
          </w:tcPr>
          <w:p>
            <w:pPr>
              <w:spacing w:after="0"/>
              <w:rPr>
                <w:sz w:val="21"/>
                <w:szCs w:val="21"/>
                <w:color w:val="auto"/>
              </w:rPr>
            </w:pPr>
          </w:p>
        </w:tc>
      </w:tr>
      <w:tr>
        <w:trPr>
          <w:trHeight w:val="223"/>
        </w:trPr>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60" w:type="dxa"/>
            <w:vAlign w:val="bottom"/>
          </w:tcPr>
          <w:p>
            <w:pPr>
              <w:spacing w:after="0"/>
              <w:rPr>
                <w:sz w:val="19"/>
                <w:szCs w:val="19"/>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-333375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1" w:lineRule="exact"/>
        <w:rPr>
          <w:sz w:val="20"/>
          <w:szCs w:val="20"/>
          <w:color w:val="auto"/>
        </w:rPr>
      </w:pPr>
    </w:p>
    <w:p>
      <w:pPr>
        <w:jc w:val="center"/>
        <w:ind w:right="4740"/>
        <w:spacing w:after="0"/>
        <w:rPr>
          <w:sz w:val="20"/>
          <w:szCs w:val="20"/>
          <w:color w:val="auto"/>
        </w:rPr>
      </w:pPr>
      <w:r>
        <w:rPr>
          <w:rFonts w:ascii="Arial" w:cs="Arial" w:eastAsia="Arial" w:hAnsi="Arial"/>
          <w:sz w:val="15"/>
          <w:szCs w:val="15"/>
          <w:i w:val="1"/>
          <w:iCs w:val="1"/>
          <w:color w:val="auto"/>
        </w:rPr>
        <w:t>See accompanying notes</w:t>
      </w:r>
    </w:p>
    <w:p>
      <w:pPr>
        <w:spacing w:after="0" w:line="28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91440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060" w:space="680"/>
            <w:col w:w="650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supplemental cash flow activities: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Interest paid</w:t>
            </w:r>
          </w:p>
        </w:tc>
        <w:tc>
          <w:tcPr>
            <w:tcW w:w="110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fiscal year for ClearOne is the twelve months ending on December 31. The consolidated financial statements include the accounts of ClearOne and its subsidiaries. All significant inter-company accounts and transactions have been eliminated.</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2020 and December 31, 2019, the results of operations for the three months ended March 31, 2020 and 2019, and the cash flows for the three months ended March 31, 2020 and 2019. The results of operations for the three months ended March 31, 2020 and 2019 are not necessarily indicative of the results for a full-year period. These interim unaudited condensed consolidated financial statements should be read in conjunction with the financial statements included in our Annual Report on Form 10-K for the year ended December 31, 2019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significant accounting policies were described in Note 1 to the audited consolidated financial statements included in the Company’s annual report on Form 10-K for the year ended December 31, 2019. There have been no changes to these policies during the three months ended March 31, 2020 that are of significance or potential significance to the Company.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The Company has determined that recently issued accounting standards will not have a material impact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position, results of operations or cash flows.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our cash and cash equivalents were approximately $2,855 compared to $4,064 as of December 31, 2019. Our working capital was $16,799 as of March 31, 2020. Net cash provided by operating activities was $531 for the three months ended March 31, 2020, an increase of cash provided of $1,825 from $(1,294) of cash used in operating activities in the three months ended March 31, 2019.</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spent approximately $15,314 from 2016 through March 31,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We believe this ruling will help pave way for ClearOne’s recovery from the immense harm inflicted by our competitor's infringement of our valuable patents.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been actively engaged in preserving cash by suspending our dividend program and allowing our share repurchase program to expire in 2018 and implementing company-wide cost reduction measures. We have also raised additional capital in 2018 by issuing common stock and in 2019 by issuing senior convertible notes. In addition, we expect to generate additional cash as our inventory levels are brought down to historical levels.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believe that the measures taken by us will yield higher revenues in the future. We believe all of these and effective management of working capital will provide the liquidity needed to meet our operating needs through at least May 20,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2. Revenue Information</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800" w:type="dxa"/>
            <w:vAlign w:val="bottom"/>
          </w:tcPr>
          <w:p>
            <w:pPr>
              <w:spacing w:after="0"/>
              <w:rPr>
                <w:sz w:val="20"/>
                <w:szCs w:val="20"/>
                <w:color w:val="auto"/>
              </w:rPr>
            </w:pPr>
            <w:r>
              <w:rPr>
                <w:rFonts w:ascii="Arial" w:cs="Arial" w:eastAsia="Arial" w:hAnsi="Arial"/>
                <w:sz w:val="18"/>
                <w:szCs w:val="18"/>
                <w:color w:val="auto"/>
                <w:w w:val="97"/>
              </w:rPr>
              <w:t>The following table disaggregates the Company’s revenue into primary product groups: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80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Microphones</w:t>
            </w:r>
          </w:p>
        </w:tc>
        <w:tc>
          <w:tcPr>
            <w:tcW w:w="10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2,143</w:t>
            </w:r>
          </w:p>
        </w:tc>
        <w:tc>
          <w:tcPr>
            <w:tcW w:w="10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2,106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0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1,488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6,305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The following table disaggregates the Company’s revenue into major regions:</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800" w:type="dxa"/>
            <w:vAlign w:val="bottom"/>
          </w:tcPr>
          <w:p>
            <w:pPr>
              <w:spacing w:after="0"/>
              <w:rPr>
                <w:sz w:val="24"/>
                <w:szCs w:val="24"/>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3,760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0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1,416</w:t>
            </w:r>
          </w:p>
        </w:tc>
        <w:tc>
          <w:tcPr>
            <w:tcW w:w="10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1,864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0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6,305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8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(loss) per common share is computed based on the weighted-average number of common shares outstanding and, when appropriate, dilutive potential common stock outstanding during the period. Stock options are considered to be potential common stock. The computation of diluted earnings (loss) per share does not assume exercise or conversion of securities that would have an anti-dilutive effect.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common share: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3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(1,847)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Denominator:</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16,650,725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16,630,597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Dilutive common stock equivalents using treasury stock method</w:t>
            </w:r>
          </w:p>
        </w:tc>
        <w:tc>
          <w:tcPr>
            <w:tcW w:w="28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18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16,650,725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16,630,597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3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3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542,818</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Anti-dilutive options not included in the computations</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542,818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587,184</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20" w:type="dxa"/>
            <w:vAlign w:val="bottom"/>
          </w:tcPr>
          <w:p>
            <w:pPr>
              <w:jc w:val="right"/>
              <w:ind w:right="22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classified its marketable securities as available-for-sale securities. These securities are carried at estimated fair value with unrealized holding gains and losses included in accumulated other comprehensive income (loss) in stockholders’ equity until realized. Gains and losses on marketable security transactions are reported on the specific-identification method. Dividend and interest income are recognized when earned.</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securities at March 31, 2020 and December 31, 2019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holding gains</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2"/>
              </w:rPr>
              <w:t>holding losses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1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available-for-sale securities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43"/>
        </w:trPr>
        <w:tc>
          <w:tcPr>
            <w:tcW w:w="4260" w:type="dxa"/>
            <w:vAlign w:val="bottom"/>
            <w:gridSpan w:val="2"/>
          </w:tcPr>
          <w:p>
            <w:pPr>
              <w:spacing w:after="0"/>
              <w:rPr>
                <w:sz w:val="20"/>
                <w:szCs w:val="20"/>
                <w:color w:val="auto"/>
              </w:rPr>
            </w:pPr>
            <w:r>
              <w:rPr>
                <w:rFonts w:ascii="Arial" w:cs="Arial" w:eastAsia="Arial" w:hAnsi="Arial"/>
                <w:sz w:val="18"/>
                <w:szCs w:val="18"/>
                <w:color w:val="auto"/>
              </w:rPr>
              <w:t>Municipal bonds</w:t>
            </w: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17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available-for-sale securities</w:t>
            </w:r>
          </w:p>
        </w:tc>
        <w:tc>
          <w:tcPr>
            <w:tcW w:w="1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2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marketable securities classified as available-for-sale securities were as follows at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Estimated fair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Amortized cost</w:t>
            </w: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1,095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w:t>
            </w: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Total available-for-sale securities</w:t>
            </w:r>
          </w:p>
        </w:tc>
        <w:tc>
          <w:tcPr>
            <w:tcW w:w="28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28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4,429</w:t>
            </w:r>
          </w:p>
        </w:tc>
        <w:tc>
          <w:tcPr>
            <w:tcW w:w="2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4,437</w:t>
            </w:r>
          </w:p>
        </w:tc>
        <w:tc>
          <w:tcPr>
            <w:tcW w:w="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60" w:type="dxa"/>
            <w:vAlign w:val="bottom"/>
            <w:vMerge w:val="restart"/>
          </w:tcPr>
          <w:p>
            <w:pPr>
              <w:jc w:val="right"/>
              <w:ind w:right="125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in an unrealized loss position as of March 31, 2020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6"/>
          </w:tcPr>
          <w:p>
            <w:pPr>
              <w:ind w:left="24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ind w:left="180"/>
              <w:spacing w:after="0"/>
              <w:rPr>
                <w:sz w:val="20"/>
                <w:szCs w:val="20"/>
                <w:color w:val="auto"/>
              </w:rPr>
            </w:pPr>
            <w:r>
              <w:rPr>
                <w:rFonts w:ascii="Arial" w:cs="Arial" w:eastAsia="Arial" w:hAnsi="Arial"/>
                <w:sz w:val="18"/>
                <w:szCs w:val="18"/>
                <w:b w:val="1"/>
                <w:bCs w:val="1"/>
                <w:color w:val="auto"/>
              </w:rPr>
              <w:t>More than 12 months</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unrealized</w:t>
            </w: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unrealized</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unrealized</w:t>
            </w:r>
          </w:p>
        </w:tc>
      </w:tr>
      <w:tr>
        <w:trPr>
          <w:trHeight w:val="234"/>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holding losses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holding losses</w:t>
            </w:r>
          </w:p>
        </w:tc>
        <w:tc>
          <w:tcPr>
            <w:tcW w:w="2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2"/>
              </w:rPr>
              <w:t>holding losses</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March 31, 2020</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280" w:type="dxa"/>
            <w:vAlign w:val="bottom"/>
          </w:tcPr>
          <w:p>
            <w:pPr>
              <w:ind w:left="160"/>
              <w:spacing w:after="0"/>
              <w:rPr>
                <w:sz w:val="20"/>
                <w:szCs w:val="20"/>
                <w:color w:val="auto"/>
              </w:rPr>
            </w:pPr>
            <w:r>
              <w:rPr>
                <w:rFonts w:ascii="Arial" w:cs="Arial" w:eastAsia="Arial" w:hAnsi="Arial"/>
                <w:sz w:val="18"/>
                <w:szCs w:val="18"/>
                <w:color w:val="auto"/>
              </w:rPr>
              <w:t>Corporate bonds and notes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43"/>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2020 and December 31, 2019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Estimated useful</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lives (years)</w:t>
            </w:r>
          </w:p>
        </w:tc>
        <w:tc>
          <w:tcPr>
            <w:tcW w:w="120" w:type="dxa"/>
            <w:vAlign w:val="bottom"/>
          </w:tcPr>
          <w:p>
            <w:pPr>
              <w:spacing w:after="0"/>
              <w:rPr>
                <w:sz w:val="20"/>
                <w:szCs w:val="20"/>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March 31, 2020</w:t>
            </w: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2019</w:t>
            </w: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Tradename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 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56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20,264</w:t>
            </w:r>
          </w:p>
        </w:tc>
        <w:tc>
          <w:tcPr>
            <w:tcW w:w="5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18,494</w:t>
            </w:r>
          </w:p>
        </w:tc>
      </w:tr>
      <w:tr>
        <w:trPr>
          <w:trHeight w:val="22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 15</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2,981</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to 5</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5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r>
      <w:tr>
        <w:trPr>
          <w:trHeight w:val="209"/>
        </w:trPr>
        <w:tc>
          <w:tcPr>
            <w:tcW w:w="52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w:t>
            </w:r>
          </w:p>
        </w:tc>
        <w:tc>
          <w:tcPr>
            <w:tcW w:w="5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22,353</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(8,712)</w:t>
            </w:r>
          </w:p>
        </w:tc>
        <w:tc>
          <w:tcPr>
            <w:tcW w:w="5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(8,344)</w:t>
            </w:r>
          </w:p>
        </w:tc>
      </w:tr>
      <w:tr>
        <w:trPr>
          <w:trHeight w:val="223"/>
        </w:trPr>
        <w:tc>
          <w:tcPr>
            <w:tcW w:w="5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intangible assets, net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of intangible assets for the three months ended March 31, 2020 and 2019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8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13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w w:val="90"/>
              </w:rPr>
              <w:t>The estimated future amortization expense of intangible assets is as follows:</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55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 (Remainder)</w:t>
            </w:r>
          </w:p>
        </w:tc>
        <w:tc>
          <w:tcPr>
            <w:tcW w:w="190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1,536</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1,536</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2023</w:t>
            </w:r>
          </w:p>
        </w:tc>
        <w:tc>
          <w:tcPr>
            <w:tcW w:w="1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1,529</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1,265</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8,393</w:t>
            </w: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15,411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80" w:type="dxa"/>
            <w:vAlign w:val="bottom"/>
            <w:vMerge w:val="restart"/>
          </w:tcPr>
          <w:p>
            <w:pPr>
              <w:jc w:val="right"/>
              <w:ind w:right="990"/>
              <w:spacing w:after="0"/>
              <w:rPr>
                <w:sz w:val="20"/>
                <w:szCs w:val="20"/>
                <w:color w:val="auto"/>
              </w:rPr>
            </w:pPr>
            <w:r>
              <w:rPr>
                <w:rFonts w:ascii="Arial" w:cs="Arial" w:eastAsia="Arial" w:hAnsi="Arial"/>
                <w:sz w:val="18"/>
                <w:szCs w:val="18"/>
                <w:color w:val="auto"/>
                <w:w w:val="89"/>
              </w:rPr>
              <w:t>10</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 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as of March 31, 2020 and December 31, 2019 consisted of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March 31, 2020</w:t>
            </w:r>
          </w:p>
        </w:tc>
        <w:tc>
          <w:tcPr>
            <w:tcW w:w="100" w:type="dxa"/>
            <w:vAlign w:val="bottom"/>
          </w:tcPr>
          <w:p>
            <w:pPr>
              <w:spacing w:after="0"/>
              <w:rPr>
                <w:sz w:val="20"/>
                <w:szCs w:val="20"/>
                <w:color w:val="auto"/>
              </w:rPr>
            </w:pPr>
          </w:p>
        </w:tc>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Raw materials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1,862</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3,884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loss incurred on valuation of inventory at lower of cost or market value and write-off of obsolete inventory for the three months ended March 31, 2020 and 2019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8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r>
      <w:tr>
        <w:trPr>
          <w:trHeight w:val="181"/>
        </w:trPr>
        <w:tc>
          <w:tcPr>
            <w:tcW w:w="6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Net loss incurred on valuation of inventory at lower of cost or market value and write-off of</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obsolete inventory</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March 31, 2020 and 2019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4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Rent expense</w:t>
            </w:r>
          </w:p>
        </w:tc>
        <w:tc>
          <w:tcPr>
            <w:tcW w:w="174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57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occupy a 1,350 square-foot facility in Gainesville, Florida under the terms of an operating lease expiring in February 2023. The Gainesville facility is used primarily to support our research and development activities.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950 square-foot facility in Austin, Texas - under the terms of an operating lease expiring in October 2022. This facility supports our sales, marketing, customer support, and research and development activities.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2022. This office supports our research and development and customer support activities</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5"/>
        </w:trPr>
        <w:tc>
          <w:tcPr>
            <w:tcW w:w="7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5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CEEFF"/>
            </w:tcBorders>
          </w:tcPr>
          <w:p>
            <w:pPr>
              <w:spacing w:after="0"/>
              <w:rPr>
                <w:sz w:val="19"/>
                <w:szCs w:val="19"/>
                <w:color w:val="auto"/>
              </w:rPr>
            </w:pPr>
          </w:p>
        </w:tc>
      </w:tr>
      <w:tr>
        <w:trPr>
          <w:trHeight w:val="209"/>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500" w:type="dxa"/>
            <w:vAlign w:val="bottom"/>
          </w:tcPr>
          <w:p>
            <w:pPr>
              <w:ind w:left="42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7500" w:type="dxa"/>
            <w:vAlign w:val="bottom"/>
          </w:tcPr>
          <w:p>
            <w:pPr>
              <w:ind w:left="42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17"/>
        </w:trPr>
        <w:tc>
          <w:tcPr>
            <w:tcW w:w="750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6"/>
              </w:rPr>
              <w:t>March 31, 2020</w:t>
            </w:r>
          </w:p>
        </w:tc>
        <w:tc>
          <w:tcPr>
            <w:tcW w:w="160" w:type="dxa"/>
            <w:vAlign w:val="bottom"/>
          </w:tcPr>
          <w:p>
            <w:pPr>
              <w:spacing w:after="0"/>
              <w:rPr>
                <w:sz w:val="20"/>
                <w:szCs w:val="20"/>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liabilities, included in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7140" w:type="dxa"/>
            <w:vAlign w:val="bottom"/>
            <w:gridSpan w:val="2"/>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21"/>
                <w:szCs w:val="21"/>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color w:val="auto"/>
              </w:rPr>
              <w:t>1,915</w:t>
            </w:r>
          </w:p>
        </w:tc>
        <w:tc>
          <w:tcPr>
            <w:tcW w:w="16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for operating leases (in years)</w:t>
            </w:r>
          </w:p>
        </w:tc>
        <w:tc>
          <w:tcPr>
            <w:tcW w:w="20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7140" w:type="dxa"/>
            <w:vAlign w:val="bottom"/>
            <w:gridSpan w:val="2"/>
          </w:tcPr>
          <w:p>
            <w:pPr>
              <w:spacing w:after="0"/>
              <w:rPr>
                <w:sz w:val="20"/>
                <w:szCs w:val="20"/>
                <w:color w:val="auto"/>
              </w:rPr>
            </w:pPr>
            <w:r>
              <w:rPr>
                <w:rFonts w:ascii="Arial" w:cs="Arial" w:eastAsia="Arial" w:hAnsi="Arial"/>
                <w:sz w:val="18"/>
                <w:szCs w:val="18"/>
                <w:color w:val="auto"/>
              </w:rPr>
              <w:t>Weighted average discount rate for operating leases</w:t>
            </w:r>
          </w:p>
        </w:tc>
        <w:tc>
          <w:tcPr>
            <w:tcW w:w="20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3"/>
                <w:szCs w:val="23"/>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maturities of operating lease liabilities as of March 31,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4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60"/>
              <w:spacing w:after="0"/>
              <w:rPr>
                <w:sz w:val="20"/>
                <w:szCs w:val="20"/>
                <w:color w:val="auto"/>
              </w:rPr>
            </w:pPr>
            <w:r>
              <w:rPr>
                <w:rFonts w:ascii="Arial" w:cs="Arial" w:eastAsia="Arial" w:hAnsi="Arial"/>
                <w:sz w:val="18"/>
                <w:szCs w:val="18"/>
                <w:color w:val="auto"/>
              </w:rPr>
              <w:t>2020 (Remainder)</w:t>
            </w:r>
          </w:p>
        </w:tc>
        <w:tc>
          <w:tcPr>
            <w:tcW w:w="5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4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60"/>
              <w:spacing w:after="0"/>
              <w:rPr>
                <w:sz w:val="20"/>
                <w:szCs w:val="20"/>
                <w:color w:val="auto"/>
              </w:rPr>
            </w:pPr>
            <w:r>
              <w:rPr>
                <w:rFonts w:ascii="Arial" w:cs="Arial" w:eastAsia="Arial" w:hAnsi="Arial"/>
                <w:sz w:val="18"/>
                <w:szCs w:val="18"/>
                <w:color w:val="auto"/>
              </w:rPr>
              <w:t>2022</w:t>
            </w:r>
          </w:p>
        </w:tc>
        <w:tc>
          <w:tcPr>
            <w:tcW w:w="4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634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4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160"/>
              <w:spacing w:after="0"/>
              <w:rPr>
                <w:sz w:val="20"/>
                <w:szCs w:val="20"/>
                <w:color w:val="auto"/>
              </w:rPr>
            </w:pPr>
            <w:r>
              <w:rPr>
                <w:rFonts w:ascii="Arial" w:cs="Arial" w:eastAsia="Arial" w:hAnsi="Arial"/>
                <w:sz w:val="18"/>
                <w:szCs w:val="18"/>
                <w:color w:val="auto"/>
              </w:rPr>
              <w:t>2024</w:t>
            </w:r>
          </w:p>
        </w:tc>
        <w:tc>
          <w:tcPr>
            <w:tcW w:w="4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46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840" w:type="dxa"/>
            <w:vAlign w:val="bottom"/>
          </w:tcPr>
          <w:p>
            <w:pPr>
              <w:ind w:left="660"/>
              <w:spacing w:after="0"/>
              <w:rPr>
                <w:sz w:val="20"/>
                <w:szCs w:val="20"/>
                <w:color w:val="auto"/>
              </w:rPr>
            </w:pPr>
            <w:r>
              <w:rPr>
                <w:rFonts w:ascii="Arial" w:cs="Arial" w:eastAsia="Arial" w:hAnsi="Arial"/>
                <w:sz w:val="18"/>
                <w:szCs w:val="18"/>
                <w:color w:val="auto"/>
              </w:rPr>
              <w:t>Total lease payments</w:t>
            </w:r>
          </w:p>
        </w:tc>
        <w:tc>
          <w:tcPr>
            <w:tcW w:w="4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Imputed interest</w:t>
            </w:r>
          </w:p>
        </w:tc>
        <w:tc>
          <w:tcPr>
            <w:tcW w:w="4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40" w:type="dxa"/>
            <w:vAlign w:val="bottom"/>
          </w:tcPr>
          <w:p>
            <w:pPr>
              <w:ind w:left="660"/>
              <w:spacing w:after="0"/>
              <w:rPr>
                <w:sz w:val="20"/>
                <w:szCs w:val="20"/>
                <w:color w:val="auto"/>
              </w:rPr>
            </w:pPr>
            <w:r>
              <w:rPr>
                <w:rFonts w:ascii="Arial" w:cs="Arial" w:eastAsia="Arial" w:hAnsi="Arial"/>
                <w:sz w:val="18"/>
                <w:szCs w:val="18"/>
                <w:color w:val="auto"/>
              </w:rPr>
              <w:t>Total</w:t>
            </w:r>
          </w:p>
        </w:tc>
        <w:tc>
          <w:tcPr>
            <w:tcW w:w="5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2,468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680" w:type="dxa"/>
            <w:vAlign w:val="bottom"/>
            <w:vMerge w:val="restart"/>
          </w:tcPr>
          <w:p>
            <w:pPr>
              <w:jc w:val="right"/>
              <w:ind w:right="2710"/>
              <w:spacing w:after="0"/>
              <w:rPr>
                <w:sz w:val="20"/>
                <w:szCs w:val="20"/>
                <w:color w:val="auto"/>
              </w:rPr>
            </w:pPr>
            <w:r>
              <w:rPr>
                <w:rFonts w:ascii="Arial" w:cs="Arial" w:eastAsia="Arial" w:hAnsi="Arial"/>
                <w:sz w:val="18"/>
                <w:szCs w:val="18"/>
                <w:color w:val="auto"/>
              </w:rPr>
              <w:t>12</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40" w:type="dxa"/>
            <w:vAlign w:val="bottom"/>
            <w:tcBorders>
              <w:bottom w:val="single" w:sz="8" w:color="auto"/>
            </w:tcBorders>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8. Shareholders' Equity</w:t>
            </w:r>
          </w:p>
        </w:tc>
        <w:tc>
          <w:tcPr>
            <w:tcW w:w="2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and additional paid-in capital</w:t>
            </w:r>
          </w:p>
        </w:tc>
        <w:tc>
          <w:tcPr>
            <w:tcW w:w="24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5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58,537</w:t>
            </w: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57,857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8"/>
                <w:szCs w:val="18"/>
                <w:color w:val="auto"/>
              </w:rPr>
              <w:t>Proceeds from employee stock purchase plan</w:t>
            </w:r>
          </w:p>
        </w:tc>
        <w:tc>
          <w:tcPr>
            <w:tcW w:w="2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58,577</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57,940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2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5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(176)</w:t>
            </w: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Unrealized gain (loss) on available-for-sale securities, net of tax</w:t>
            </w:r>
          </w:p>
        </w:tc>
        <w:tc>
          <w:tcPr>
            <w:tcW w:w="2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2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Retained earnings (accumulated deficit)</w:t>
            </w:r>
          </w:p>
        </w:tc>
        <w:tc>
          <w:tcPr>
            <w:tcW w:w="2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56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w w:val="95"/>
              </w:rPr>
              <w:t>(13,883)</w:t>
            </w:r>
          </w:p>
        </w:tc>
        <w:tc>
          <w:tcPr>
            <w:tcW w:w="120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44"/>
        </w:trPr>
        <w:tc>
          <w:tcPr>
            <w:tcW w:w="5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gridSpan w:val="2"/>
          </w:tcPr>
          <w:p>
            <w:pPr>
              <w:jc w:val="right"/>
              <w:ind w:right="1"/>
              <w:spacing w:after="0"/>
              <w:rPr>
                <w:sz w:val="20"/>
                <w:szCs w:val="20"/>
                <w:color w:val="auto"/>
              </w:rPr>
            </w:pPr>
            <w:r>
              <w:rPr>
                <w:rFonts w:ascii="Arial" w:cs="Arial" w:eastAsia="Arial" w:hAnsi="Arial"/>
                <w:sz w:val="18"/>
                <w:szCs w:val="18"/>
                <w:color w:val="auto"/>
              </w:rPr>
              <w:t>(1,847)</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6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(15,730</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56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42,614</w:t>
            </w:r>
          </w:p>
        </w:tc>
        <w:tc>
          <w:tcPr>
            <w:tcW w:w="120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49,979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60" w:type="dxa"/>
            <w:vAlign w:val="bottom"/>
          </w:tcPr>
          <w:p>
            <w:pPr>
              <w:jc w:val="right"/>
              <w:ind w:right="1730"/>
              <w:spacing w:after="0"/>
              <w:rPr>
                <w:sz w:val="20"/>
                <w:szCs w:val="20"/>
                <w:color w:val="auto"/>
              </w:rPr>
            </w:pPr>
            <w:r>
              <w:rPr>
                <w:rFonts w:ascii="Arial" w:cs="Arial" w:eastAsia="Arial" w:hAnsi="Arial"/>
                <w:sz w:val="18"/>
                <w:szCs w:val="18"/>
                <w:color w:val="auto"/>
              </w:rPr>
              <w:t>13</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0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Dollars in thousands, except per share amounts)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9. Senior Convertible Notes and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w:t>
      </w:r>
    </w:p>
    <w:p>
      <w:pPr>
        <w:spacing w:after="0" w:line="19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 accounting for the issuance of the Notes, the Company separated Notes and Warrants into liability and equity components. The carrying amount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Warrants, being an equity component, was first calculated using Black-Scholes method with the following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62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c>
          <w:tcPr>
            <w:tcW w:w="562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56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w:t>
            </w:r>
          </w:p>
        </w:tc>
        <w:tc>
          <w:tcPr>
            <w:tcW w:w="5620" w:type="dxa"/>
            <w:vAlign w:val="bottom"/>
          </w:tcPr>
          <w:p>
            <w:pPr>
              <w:spacing w:after="0"/>
              <w:rPr>
                <w:sz w:val="20"/>
                <w:szCs w:val="20"/>
                <w:color w:val="auto"/>
              </w:rPr>
            </w:pPr>
          </w:p>
        </w:tc>
      </w:tr>
      <w:tr>
        <w:trPr>
          <w:trHeight w:val="471"/>
        </w:trPr>
        <w:tc>
          <w:tcPr>
            <w:tcW w:w="3720" w:type="dxa"/>
            <w:vAlign w:val="bottom"/>
          </w:tcPr>
          <w:p>
            <w:pPr>
              <w:spacing w:after="0"/>
              <w:rPr>
                <w:sz w:val="24"/>
                <w:szCs w:val="24"/>
                <w:color w:val="auto"/>
              </w:rPr>
            </w:pPr>
          </w:p>
        </w:tc>
        <w:tc>
          <w:tcPr>
            <w:tcW w:w="7520" w:type="dxa"/>
            <w:vAlign w:val="bottom"/>
            <w:gridSpan w:val="2"/>
          </w:tcPr>
          <w:p>
            <w:pPr>
              <w:jc w:val="right"/>
              <w:ind w:right="5520"/>
              <w:spacing w:after="0"/>
              <w:rPr>
                <w:sz w:val="20"/>
                <w:szCs w:val="20"/>
                <w:color w:val="auto"/>
              </w:rPr>
            </w:pPr>
            <w:r>
              <w:rPr>
                <w:rFonts w:ascii="Arial" w:cs="Arial" w:eastAsia="Arial" w:hAnsi="Arial"/>
                <w:sz w:val="18"/>
                <w:szCs w:val="18"/>
                <w:color w:val="auto"/>
              </w:rPr>
              <w:t>14</w:t>
            </w:r>
          </w:p>
        </w:tc>
      </w:tr>
      <w:tr>
        <w:trPr>
          <w:trHeight w:val="128"/>
        </w:trPr>
        <w:tc>
          <w:tcPr>
            <w:tcW w:w="37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5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original issue discount and issuance costs are netted against the liability. The following table represents the carrying value of Notes and Warrants: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8"/>
              </w:rPr>
              <w:t>March 31, 2020</w:t>
            </w:r>
          </w:p>
        </w:tc>
        <w:tc>
          <w:tcPr>
            <w:tcW w:w="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December 31, 2019</w:t>
            </w:r>
          </w:p>
        </w:tc>
      </w:tr>
      <w:tr>
        <w:trPr>
          <w:trHeight w:val="226"/>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Liability component:</w:t>
            </w: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Principal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 and issuance costs, net of amortization</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(778)</w:t>
            </w: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40" w:type="dxa"/>
            <w:vAlign w:val="bottom"/>
            <w:tcBorders>
              <w:bottom w:val="single" w:sz="8" w:color="CFF0FC"/>
            </w:tcBorders>
          </w:tcPr>
          <w:p>
            <w:pPr>
              <w:spacing w:after="0"/>
              <w:rPr>
                <w:sz w:val="22"/>
                <w:szCs w:val="22"/>
                <w:color w:val="auto"/>
              </w:rPr>
            </w:pPr>
          </w:p>
        </w:tc>
      </w:tr>
      <w:tr>
        <w:trPr>
          <w:trHeight w:val="223"/>
        </w:trPr>
        <w:tc>
          <w:tcPr>
            <w:tcW w:w="5820" w:type="dxa"/>
            <w:vAlign w:val="bottom"/>
            <w:shd w:val="clear" w:color="auto" w:fill="CFF0FC"/>
          </w:tcPr>
          <w:p>
            <w:pPr>
              <w:spacing w:after="0" w:line="223" w:lineRule="exact"/>
              <w:rPr>
                <w:sz w:val="20"/>
                <w:szCs w:val="20"/>
                <w:color w:val="auto"/>
              </w:rPr>
            </w:pPr>
            <w:r>
              <w:rPr>
                <w:rFonts w:ascii="Arial" w:cs="Arial" w:eastAsia="Arial" w:hAnsi="Arial"/>
                <w:sz w:val="16"/>
                <w:szCs w:val="16"/>
                <w:color w:val="auto"/>
              </w:rPr>
              <w:t>Equity component</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Warrants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Conversion feature</w:t>
            </w: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212529"/>
        </w:rPr>
        <w:t>(1) Recorded on the condensed consolidated balance sheets as additional paid-in capital.</w:t>
      </w:r>
    </w:p>
    <w:p>
      <w:pPr>
        <w:spacing w:after="0" w:line="21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Debt discount and issuance costs are amortized over the life of the note to interest expense using the effective interest method. During the three months ended March 31, 2020, amortization of debt discount and issuance costs was $50. The following table represents schedule of maturities of principal amount contained in the Notes as of March 31,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Principal Amount</w:t>
            </w:r>
          </w:p>
        </w:tc>
        <w:tc>
          <w:tcPr>
            <w:tcW w:w="3940" w:type="dxa"/>
            <w:vAlign w:val="bottom"/>
          </w:tcPr>
          <w:p>
            <w:pPr>
              <w:spacing w:after="0"/>
              <w:rPr>
                <w:sz w:val="17"/>
                <w:szCs w:val="17"/>
                <w:color w:val="auto"/>
              </w:rPr>
            </w:pPr>
          </w:p>
        </w:tc>
      </w:tr>
      <w:tr>
        <w:trPr>
          <w:trHeight w:val="213"/>
        </w:trPr>
        <w:tc>
          <w:tcPr>
            <w:tcW w:w="3680" w:type="dxa"/>
            <w:vAlign w:val="bottom"/>
          </w:tcPr>
          <w:p>
            <w:pPr>
              <w:spacing w:after="0"/>
              <w:rPr>
                <w:sz w:val="20"/>
                <w:szCs w:val="20"/>
                <w:color w:val="auto"/>
              </w:rPr>
            </w:pPr>
            <w:r>
              <w:rPr>
                <w:rFonts w:ascii="Arial" w:cs="Arial" w:eastAsia="Arial" w:hAnsi="Arial"/>
                <w:sz w:val="16"/>
                <w:szCs w:val="16"/>
                <w:b w:val="1"/>
                <w:bCs w:val="1"/>
                <w:color w:val="auto"/>
              </w:rPr>
              <w:t>Year ending December 31,</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433"/>
              <w:spacing w:after="0"/>
              <w:rPr>
                <w:sz w:val="20"/>
                <w:szCs w:val="20"/>
                <w:color w:val="auto"/>
              </w:rPr>
            </w:pPr>
            <w:r>
              <w:rPr>
                <w:rFonts w:ascii="Arial" w:cs="Arial" w:eastAsia="Arial" w:hAnsi="Arial"/>
                <w:sz w:val="16"/>
                <w:szCs w:val="16"/>
                <w:b w:val="1"/>
                <w:bCs w:val="1"/>
                <w:color w:val="auto"/>
              </w:rPr>
              <w:t>Maturing</w:t>
            </w:r>
          </w:p>
        </w:tc>
        <w:tc>
          <w:tcPr>
            <w:tcW w:w="3940" w:type="dxa"/>
            <w:vAlign w:val="bottom"/>
          </w:tcPr>
          <w:p>
            <w:pPr>
              <w:spacing w:after="0"/>
              <w:rPr>
                <w:sz w:val="18"/>
                <w:szCs w:val="18"/>
                <w:color w:val="auto"/>
              </w:rPr>
            </w:pPr>
          </w:p>
        </w:tc>
      </w:tr>
      <w:tr>
        <w:trPr>
          <w:trHeight w:val="226"/>
        </w:trPr>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940" w:type="dxa"/>
            <w:vAlign w:val="bottom"/>
          </w:tcPr>
          <w:p>
            <w:pPr>
              <w:spacing w:after="0"/>
              <w:rPr>
                <w:sz w:val="19"/>
                <w:szCs w:val="19"/>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2021</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w:t>
            </w:r>
          </w:p>
        </w:tc>
        <w:tc>
          <w:tcPr>
            <w:tcW w:w="3940" w:type="dxa"/>
            <w:vAlign w:val="bottom"/>
          </w:tcPr>
          <w:p>
            <w:pPr>
              <w:spacing w:after="0"/>
              <w:rPr>
                <w:sz w:val="21"/>
                <w:szCs w:val="21"/>
                <w:color w:val="auto"/>
              </w:rPr>
            </w:pPr>
          </w:p>
        </w:tc>
      </w:tr>
      <w:tr>
        <w:trPr>
          <w:trHeight w:val="243"/>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3940" w:type="dxa"/>
            <w:vAlign w:val="bottom"/>
          </w:tcPr>
          <w:p>
            <w:pPr>
              <w:spacing w:after="0"/>
              <w:rPr>
                <w:sz w:val="21"/>
                <w:szCs w:val="21"/>
                <w:color w:val="auto"/>
              </w:rPr>
            </w:pPr>
          </w:p>
        </w:tc>
      </w:tr>
      <w:tr>
        <w:trPr>
          <w:trHeight w:val="243"/>
        </w:trPr>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8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3940" w:type="dxa"/>
            <w:vAlign w:val="bottom"/>
          </w:tcPr>
          <w:p>
            <w:pPr>
              <w:spacing w:after="0"/>
              <w:rPr>
                <w:sz w:val="21"/>
                <w:szCs w:val="21"/>
                <w:color w:val="auto"/>
              </w:rPr>
            </w:pPr>
          </w:p>
        </w:tc>
      </w:tr>
      <w:tr>
        <w:trPr>
          <w:trHeight w:val="223"/>
        </w:trPr>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carrying amount</w:t>
            </w:r>
          </w:p>
        </w:tc>
        <w:tc>
          <w:tcPr>
            <w:tcW w:w="1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940" w:type="dxa"/>
            <w:vAlign w:val="bottom"/>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66"/>
        </w:trPr>
        <w:tc>
          <w:tcPr>
            <w:tcW w:w="3680" w:type="dxa"/>
            <w:vAlign w:val="bottom"/>
          </w:tcPr>
          <w:p>
            <w:pPr>
              <w:spacing w:after="0"/>
              <w:rPr>
                <w:sz w:val="24"/>
                <w:szCs w:val="24"/>
                <w:color w:val="auto"/>
              </w:rPr>
            </w:pPr>
          </w:p>
        </w:tc>
        <w:tc>
          <w:tcPr>
            <w:tcW w:w="2120" w:type="dxa"/>
            <w:vAlign w:val="bottom"/>
            <w:gridSpan w:val="3"/>
          </w:tcPr>
          <w:p>
            <w:pPr>
              <w:jc w:val="right"/>
              <w:ind w:right="7"/>
              <w:spacing w:after="0"/>
              <w:rPr>
                <w:sz w:val="20"/>
                <w:szCs w:val="20"/>
                <w:color w:val="auto"/>
              </w:rPr>
            </w:pPr>
            <w:r>
              <w:rPr>
                <w:rFonts w:ascii="Arial" w:cs="Arial" w:eastAsia="Arial" w:hAnsi="Arial"/>
                <w:sz w:val="18"/>
                <w:szCs w:val="18"/>
                <w:color w:val="auto"/>
              </w:rPr>
              <w:t>15</w:t>
            </w:r>
          </w:p>
        </w:tc>
        <w:tc>
          <w:tcPr>
            <w:tcW w:w="15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15"/>
        </w:trPr>
        <w:tc>
          <w:tcPr>
            <w:tcW w:w="368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substantial majority of the Company’s financial instruments are valued using observable inputs. The following table sets forth the fair value of the financial instruments re-measured by the Company as of March 31,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1,703</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1,703</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2,734</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2,734</w:t>
            </w:r>
          </w:p>
        </w:tc>
        <w:tc>
          <w:tcPr>
            <w:tcW w:w="80" w:type="dxa"/>
            <w:vAlign w:val="bottom"/>
            <w:shd w:val="clear" w:color="auto" w:fill="CCEEFF"/>
          </w:tcPr>
          <w:p>
            <w:pPr>
              <w:spacing w:after="0"/>
              <w:rPr>
                <w:sz w:val="21"/>
                <w:szCs w:val="21"/>
                <w:color w:val="auto"/>
              </w:rPr>
            </w:pPr>
          </w:p>
        </w:tc>
      </w:tr>
      <w:tr>
        <w:trPr>
          <w:trHeight w:val="263"/>
        </w:trPr>
        <w:tc>
          <w:tcPr>
            <w:tcW w:w="5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4"/>
              </w:rPr>
              <w:t>4,437</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1,832</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c>
          <w:tcPr>
            <w:tcW w:w="8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2,711</w:t>
            </w:r>
          </w:p>
        </w:tc>
        <w:tc>
          <w:tcPr>
            <w:tcW w:w="88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4"/>
              </w:rPr>
              <w:t>4,543</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Income tax expense for the three months ended March 31, 2020 represents income tax expense recorded for jurisdictions outside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are many uncertainties regarding the current coronavirus ("COVID-19") pandemic, and the Company is closely monitoring the impact of the pandemic on all aspects of its business, including how it will impact its customers, employees, suppliers, vendors, business partners and distribution channels. We are unable to predict the impact that COVID-19 will have on the Company’s financial position and operating results due to numerous uncertainties. The Company expects to continue to assess the evolving impact of the COVID-19 pandemic and intends to make adjustments to its responses accordingly.</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Coronavirus Aid, Relief, and Economic Security Act ("CARES Act") was enacted on March 27, 2020 in the United States. On April 24, 2020, the Company was approved by US Bancorp for a loan under the Small Business Administration’s ("SBA") Paycheck Protection Program (“PPP Loan”) created as part of the recently enacted CARES Act. Under the terms of the loan the Company received $1,499. In accordance with the requirements of the CARES Act, the Company intends to use the proceeds from the PPP Loan primarily for payroll costs. The PPP Loan is scheduled to mature in April 2022, has a 1.00% interest rate, and is subject to the terms and conditions applicable to all loans made pursuant to the Paycheck Protection Program as administered by the SBA under the CARES Act.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2019.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December 31, 2019.</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the first quarter of 2020,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w:t>
      </w:r>
    </w:p>
    <w:p>
      <w:pPr>
        <w:spacing w:after="0" w:line="1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COLLABORATE Versa Lite CT is a USB audio enabled BMA CTH room solution. This solution dramatically enhances the audio experience for any cloud-collaboration application such as COLLABORATE Space,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USB Expander to share room audio. The included 50-foot CAT6 cable connects the USB Expander to the BMA CTH.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During February 2020, we announced a new Touch-Panel Controller, a highly intuitive 10-inch touch-screen device, designed for ClearOne’s CONVERGE® Pro 2 audio DSP mixers as well as COLLABORATE Live video conferencing room systems. Paired with CONVERGE Pro 2 DSP mixers, users can make and receive PSTN and/or VoIP conference calls, and multiparty calls with the easy-to-use on-screen dialpad. When paired with COLLABORATE Live, users can make and receive video calls as well as manage content sharing options.</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COLLABORATE Space, our powerful cloud-based collaboration solution from ClearOne (NASDAQ:CLRO), added two new valuable features - webinar hosting and Web RTC. COLLABORATE Space Pro and Enterprise meeting plans can be upgraded to include the new Webinar feature allowing session hosts to conduct video and audio presentations for up to 1000 participants. The new Web RTC feature works with all popular browsers including Microsoft Edge, Google Chrome, Safari and Mozilla Firefox. The new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the first three months of 2020, we continued our efforts, primarily through litigation, to stop the infringement of our strategic patents. We also continued our programs to cut costs and to speed up product development that we believe will enable us to get back to a growth path.</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Overall revenue declined by 9% in the first quarter of 2020 when compared to the first quarter of 2019, primarily due to a decline in revenue from video products. Pro audio products enjoyed year over year growth due to recently introduced BMA-CT even though the revenue from pro audio products are far below the levels prior to infringement of our patents. Our revenue performance reflects an impact of the on-going harm of infringement of ClearOne’s despite the preliminary injunction granted against Shure as we believe Shure continues to infringe our patents and violates the preliminary injunction. The patent infringement also has negatively impacted directly the revenue from ClearOne’s other products not related to the infringed patents. Our gross profit margin increased to 49% during the first quarter of 2020 from 43% during the first quarter of 2019. Net loss decreased from $2.3 million in the first quarter of 2019 to $1.8 million in the first quarter of 2020. The decrease was mainly due to reduction in operating costs and increased gross margin.</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still infringes ClearOne’s patent. We have sought a Court order holding Shure in contempt for marketing and selling their new design in violation of the preliminary injunction.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conditions</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63"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i w:val="1"/>
          <w:iCs w:val="1"/>
          <w:color w:val="auto"/>
        </w:rPr>
        <w:t>Economic conditions, challenges and risks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Revenue from our video products are critical to our long-term growth due to significantly larger available market space for video products. We face intense competition in this market from well-established market leaders, emerging players rich with marketing funds and information technology giants offering free products and services. We expect our strategy of combining COLLABOATE Space, our cloud-based video conferencing product with COLLABORATE Live, our appliance-based media collaboration product, UNITE, our high-quality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derive a major portion of our revenue (approximately 46% for the year ended December 31, 2019)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December 2019, a novel strain of coronavirus (“COVID-19”) was first reported in Wuhan, China. The COVID-19 pandemic has continued to spread and has already caused severe global disruptions. The extent of COVID-19’s effect on our operational and financial performance will depend on future developments, including the duration, spread and intensity of the pandemic, all of which are uncertain and difficult to predict considering the rapidly evolving landscape. If the pandemic continues to evolve into a severe worldwide health crisis, the disease could have a material adverse effect on our business, results of operations, financial condition and cash flows and adversely impact the trading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remained almost the same at $0.21 million at March 31, 2020 compared to $0.17 million at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detailed discussion of our results of operations follows below.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ind w:right="1940"/>
        <w:spacing w:after="0" w:line="416"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Results of Operations for the first quarter of 2020</w:t>
      </w:r>
    </w:p>
    <w:p>
      <w:pPr>
        <w:spacing w:after="0" w:line="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following table sets forth certain items from our unaudited condensed consolidated statements of operations (dollars in thousands) for the three months ended March 31, 2020 (“2020-Q1”) and 2019 ("2019-Q1"), respectively, together with the percentage of total revenue which each such item represents: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w w:val="92"/>
              </w:rPr>
              <w:t>Three months ended March 31,</w:t>
            </w:r>
          </w:p>
        </w:tc>
        <w:tc>
          <w:tcPr>
            <w:tcW w:w="1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1320" w:type="dxa"/>
            <w:vAlign w:val="bottom"/>
            <w:vMerge w:val="restart"/>
          </w:tcPr>
          <w:p>
            <w:pPr>
              <w:spacing w:after="0"/>
              <w:rPr>
                <w:sz w:val="10"/>
                <w:szCs w:val="10"/>
                <w:color w:val="auto"/>
              </w:rPr>
            </w:pPr>
          </w:p>
        </w:tc>
        <w:tc>
          <w:tcPr>
            <w:tcW w:w="11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1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Percentage Change 2020 vs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2,896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3,601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Sales and marketing</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1,344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1,587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8"/>
                <w:szCs w:val="18"/>
                <w:color w:val="auto"/>
              </w:rPr>
              <w:t>1,506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101"/>
              <w:spacing w:after="0"/>
              <w:rPr>
                <w:sz w:val="20"/>
                <w:szCs w:val="20"/>
                <w:color w:val="auto"/>
              </w:rPr>
            </w:pPr>
            <w:r>
              <w:rPr>
                <w:rFonts w:ascii="Arial" w:cs="Arial" w:eastAsia="Arial" w:hAnsi="Arial"/>
                <w:sz w:val="18"/>
                <w:szCs w:val="18"/>
                <w:color w:val="auto"/>
              </w:rPr>
              <w:t>1,555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1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8"/>
                <w:szCs w:val="18"/>
                <w:color w:val="auto"/>
              </w:rPr>
              <w:t>Operating loss</w:t>
            </w: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(2,391)</w:t>
            </w:r>
          </w:p>
        </w:tc>
        <w:tc>
          <w:tcPr>
            <w:tcW w:w="180" w:type="dxa"/>
            <w:vAlign w:val="bottom"/>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(1,824)</w:t>
            </w:r>
          </w:p>
        </w:tc>
        <w:tc>
          <w:tcPr>
            <w:tcW w:w="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(2,349)</w:t>
            </w:r>
          </w:p>
        </w:tc>
        <w:tc>
          <w:tcPr>
            <w:tcW w:w="180" w:type="dxa"/>
            <w:vAlign w:val="bottom"/>
            <w:vMerge w:val="continue"/>
          </w:tcPr>
          <w:p>
            <w:pPr>
              <w:spacing w:after="0"/>
              <w:rPr>
                <w:sz w:val="18"/>
                <w:szCs w:val="18"/>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1320" w:type="dxa"/>
            <w:vAlign w:val="bottom"/>
          </w:tcPr>
          <w:p>
            <w:pPr>
              <w:spacing w:after="0"/>
              <w:rPr>
                <w:sz w:val="19"/>
                <w:szCs w:val="19"/>
                <w:color w:val="auto"/>
              </w:rPr>
            </w:pPr>
          </w:p>
        </w:tc>
        <w:tc>
          <w:tcPr>
            <w:tcW w:w="1100" w:type="dxa"/>
            <w:vAlign w:val="bottom"/>
            <w:tcBorders>
              <w:top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revenue decreased to $5.7 million in 2020 compared to $6.3 million in 2019 primarily due to a decline of 46% in revenue in the video products category. Audio conferencing and microphones categories registered revenue growth rates of 3% and 2% respectively. Revenue from video products was impacted by a decline in demand for all video products. The increase in revenue from audio conferencing category came through revenue growth in personal products and pro audio products partially offset by decline in revenues from tabletop and premium conferencing products. The recently introduced BMA CT along with ceiling mics enjoyed revenue growth while wireless mics suffered a sharp decline in revenues. The share of audio conferencing products in our product mix increased from 43% in 2019-Q1 to 49% in 2020-Q1. The share of microphones increased from 33% to 37%. The share of video products in the revenue mix declined from 24% to 14%.</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During 2020-Q1 revenue declined in all regions except the Canada, Japan, and Europe. The decline was more pronounced in Australia, the Middle East and USA. The Asia Pacific, including the Middle East declined by 24%, Europe and Africa increased by 42% and the Americas declined by 11%.</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although there can be no assurance, that we will return to a growth path if we are able to successfully implement our strategic initiatives focused on product innovation, cost reduction and defense of our intellectual property.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63"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Costs of Goods Sold and Gross Profit</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gross profit margin increased to 49% during 2020-Q1 from 43% during 2019-Q1. The gross profit margin increased primarily due to increase of higher-margin professional audio conferencing products in the revenue mix, reduction in overhead costs and reduction in inventory adjustments.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$1.3 million of wireless microphone-related finished goods and assemblies, $1.3 million of Converge Pro and Beamforming microphone array products, $0.5 million of network media streaming products and about $2.2 million of raw materials that will be used for manufacturing professional audio conferencing products. Any business changes that are adverse to these product lines could potentially impact our ability to sell our long-term inventory in addition to our current inventory.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expenses include sales and marketing (“S&amp;M”) expenses, research and product development (“R&amp;D”) expenses and general and administrative (“G&amp;A”) expenses. Total operating expenses were $4.6 million for 2020-Q1 compared to $5.1 million for 2019-Q1. The following contains a more detailed discussion of expenses related to sales and marketing, research and product development, general and administrative, and other items.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u w:val="single" w:color="auto"/>
          <w:color w:val="auto"/>
        </w:rPr>
        <w:t>Sales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S&amp;M expenses include selling, customer service, and marketing expenses such as employee-related costs, allocations of overhead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trade shows, and other advertising and selling expenses.</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S&amp;M expenses for 2020-Q1 decreased to $1.7 million from $2.0 million for 2019-Q1. The decrease was mainly due to decreases in employee-related costs including benefits and commissions, travel related expenses, advertising and promotions costs, and independent rep commissions partially offset by an increase in trade-show related expenses.</w:t>
      </w:r>
    </w:p>
    <w:p>
      <w:pPr>
        <w:spacing w:after="0" w:line="170"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u w:val="single" w:color="auto"/>
          <w:color w:val="auto"/>
        </w:rPr>
        <w:t>Research and Product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R&amp;D expenses include research and development, product line management, engineering services, and test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R&amp;D expenses were approximately $1.3 million for 2020-Q1, as compared to $1.6 million for 2019-Q1. The decrease was primarily due to reductions in employee-related costs.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u w:val="single" w:color="auto"/>
          <w:color w:val="auto"/>
        </w:rPr>
        <w:t>General and Administrative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G&amp;A expenses include employee-related costs, professional service fees, allocations of overhead expenses, litigation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corporate administrative costs, including costs related to financing and human resources.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G&amp;A expenses declined to $1.5 million in 2020-Q1 compared to $1.6 million in 2019-Q1. The decline was mainly due to decreases in stock-based compensation expenses, employee-related costs, and travel related expenses partially offset by increase in legal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income (expense), net, includes interest income, interest expense, and foreign currency changes. Interest income did not vary much between the first quarter of 2020 and 2019. Interest expense in the first quarter of 2020 was $0.1 million compared to no interest expense in the first quarter of 2019. Interest expense was incurred due to issuance of senior convertibles notes with a face value of $3.0 million in December 2019.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63" w:lineRule="auto"/>
        <w:rPr>
          <w:sz w:val="20"/>
          <w:szCs w:val="20"/>
          <w:color w:val="auto"/>
        </w:rPr>
      </w:pP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b w:val="1"/>
          <w:bCs w:val="1"/>
          <w:i w:val="1"/>
          <w:iCs w:val="1"/>
          <w:color w:val="auto"/>
        </w:rPr>
        <w:t>Provision for income taxes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first quarters of 2019 and 2020, we did not recognize any benefit from the losses incurred due to setting up of full valuation allowance. Income tax expense recognized in the first quarter of 2020 relates to foreign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March 31, 2020, our cash and cash equivalents were approximately $2.9 million compared to $4.1 million as of December 31, 2019. Our working capital was $16.8 million and $18.9 million as of March 31, 2020 and December 31, 2019, respectively.</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operating activities was approximately $0.5 million in 2020-Q1, an increase of cash provided of approximately $1.8 million from $1.3 million of cash used in operating activities in 2019-Q1. The increase in cash inflow was due to positive change in operating assets and liabilities of $1.3 million and a decrease in net loss by $0.5 million.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cash used in investing activities was $1.7 million for 2020-Q1 compared to net cash used in investing activities of $5.6 million during the 2019-Q1, a decrease in cash used of $3.9 million. The decrease in cash used in investing activities was primarily due to a decrease in net cash outflows from marketable securities of approximately $4.4 million partially offset by an increase in capitalized patent defense costs by $0.5 million.</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 which is 15 to 17 years. During 2020-Q1 we spent $1.7 million on legal costs related to the defense of our patents and capitalized the entire amount.</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currently pursuing all available legal remedies to defend our strategic patents from infringement. We have already spent approximately $15.3 million from 2016 through March 31, 2020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No.9,813,806) pending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still infringes ClearOne’s patent. We have sought a Court order holding Shure in contempt for marketing and selling their new design in violation of the preliminary injunction.</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been actively engaged in preserving cash by suspending our dividend program and allowing our share repurchase program to expire in 2018 and implementing company-wide cost reduction measures. During 2018, we raised additional proceeds of $9.9 million (net of issuance costs) from the Rights Offering. During December 2019 we raised approximately $2.7 million (net of issuance costs) from the issue of senior convertible notes. We also believe additional cash will be generated as we consume our inventory and bring it down to historical levels.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believe that the measures taken by us will yield higher revenues in the future. We believe all of these and effective management of working capital will provide the liquidity needed to meet our operating needs through at least May 20, 2021.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940"/>
        <w:spacing w:after="0" w:line="490" w:lineRule="auto"/>
        <w:rPr>
          <w:sz w:val="20"/>
          <w:szCs w:val="20"/>
          <w:color w:val="auto"/>
        </w:rPr>
      </w:pP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At March 31, 2020, we had open purchase orders of approximately $1.4 million for purchase of inventory.</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March 31, 2020, we had inventory totaling $16.1 million, of which non-current inventory accounted for $5.7 million. This compares to total inventories of $17.7 million and non-current inventory of $6.3 million as of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212529"/>
        </w:rPr>
        <w:t>The following table summarizes our contractual obligations as of March 31, 2020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754"/>
              <w:spacing w:after="0"/>
              <w:rPr>
                <w:sz w:val="20"/>
                <w:szCs w:val="20"/>
                <w:color w:val="auto"/>
              </w:rPr>
            </w:pPr>
            <w:r>
              <w:rPr>
                <w:rFonts w:ascii="Arial" w:cs="Arial" w:eastAsia="Arial" w:hAnsi="Arial"/>
                <w:sz w:val="16"/>
                <w:szCs w:val="16"/>
                <w:b w:val="1"/>
                <w:bCs w:val="1"/>
                <w:color w:val="auto"/>
                <w:w w:val="91"/>
              </w:rPr>
              <w:t>Payment Due by Period</w:t>
            </w: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2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Less Than</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More than 5</w:t>
            </w:r>
          </w:p>
        </w:tc>
      </w:tr>
      <w:tr>
        <w:trPr>
          <w:trHeight w:val="213"/>
        </w:trPr>
        <w:tc>
          <w:tcPr>
            <w:tcW w:w="29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1 Year</w:t>
            </w:r>
          </w:p>
        </w:tc>
        <w:tc>
          <w:tcPr>
            <w:tcW w:w="1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1-3 Years</w:t>
            </w: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3-5 Years</w:t>
            </w:r>
          </w:p>
        </w:tc>
        <w:tc>
          <w:tcPr>
            <w:tcW w:w="12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years</w:t>
            </w:r>
          </w:p>
        </w:tc>
      </w:tr>
      <w:tr>
        <w:trPr>
          <w:trHeight w:val="226"/>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820" w:type="dxa"/>
            <w:vAlign w:val="bottom"/>
            <w:tcBorders>
              <w:top w:val="single" w:sz="8" w:color="auto"/>
            </w:tcBorders>
            <w:shd w:val="clear" w:color="auto" w:fill="CFF0FC"/>
          </w:tcPr>
          <w:p>
            <w:pPr>
              <w:jc w:val="right"/>
              <w:ind w:right="66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discussion and analysis of our results of operations and financial position are based upon our unaudited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evaluation of the effectiveness of our disclosure controls and procedures (as defined in Rules 13a-15(e) and 15d-15(e) of the Exchange Act) as of March 31, 2020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March 31, 2020.</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as of March 31, 2020, that has materially affected, or is reasonably likely to materially affect, the Company's internal control over financial reporting.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included in our Annual Report on Form 10-K for the fiscal year ended December 31,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12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gridSpan w:val="2"/>
          </w:tcPr>
          <w:p>
            <w:pPr>
              <w:spacing w:after="0"/>
              <w:rPr>
                <w:sz w:val="20"/>
                <w:szCs w:val="20"/>
                <w:color w:val="auto"/>
              </w:rPr>
            </w:pPr>
            <w:r>
              <w:rPr>
                <w:rFonts w:ascii="Arial" w:cs="Arial" w:eastAsia="Arial" w:hAnsi="Arial"/>
                <w:sz w:val="18"/>
                <w:szCs w:val="18"/>
                <w:b w:val="1"/>
                <w:bCs w:val="1"/>
                <w:color w:val="auto"/>
              </w:rPr>
              <w:t>Title of Document</w:t>
            </w:r>
          </w:p>
        </w:tc>
      </w:tr>
      <w:tr>
        <w:trPr>
          <w:trHeight w:val="425"/>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860" w:type="dxa"/>
            <w:vAlign w:val="bottom"/>
            <w:tcBorders>
              <w:top w:val="single" w:sz="8" w:color="auto"/>
            </w:tcBorders>
          </w:tcPr>
          <w:p>
            <w:pPr>
              <w:spacing w:after="0"/>
              <w:rPr>
                <w:rFonts w:ascii="Arial" w:cs="Arial" w:eastAsia="Arial" w:hAnsi="Arial"/>
                <w:sz w:val="18"/>
                <w:szCs w:val="18"/>
                <w:u w:val="single" w:color="auto"/>
                <w:color w:val="0000FF"/>
                <w:w w:val="88"/>
              </w:rPr>
            </w:pPr>
            <w:hyperlink w:anchor="page28">
              <w:r>
                <w:rPr>
                  <w:rFonts w:ascii="Arial" w:cs="Arial" w:eastAsia="Arial" w:hAnsi="Arial"/>
                  <w:sz w:val="18"/>
                  <w:szCs w:val="18"/>
                  <w:u w:val="single" w:color="auto"/>
                  <w:color w:val="0000FF"/>
                  <w:w w:val="88"/>
                </w:rPr>
                <w:t>Section 302</w:t>
              </w:r>
            </w:hyperlink>
          </w:p>
        </w:tc>
        <w:tc>
          <w:tcPr>
            <w:tcW w:w="9300" w:type="dxa"/>
            <w:vAlign w:val="bottom"/>
            <w:tcBorders>
              <w:top w:val="single" w:sz="8" w:color="auto"/>
            </w:tcBorders>
          </w:tcPr>
          <w:p>
            <w:pPr>
              <w:ind w:left="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Certification of Chief Executive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29">
              <w:r>
                <w:rPr>
                  <w:rFonts w:ascii="Arial" w:cs="Arial" w:eastAsia="Arial" w:hAnsi="Arial"/>
                  <w:sz w:val="18"/>
                  <w:szCs w:val="18"/>
                  <w:u w:val="single" w:color="auto"/>
                  <w:color w:val="0000FF"/>
                  <w:w w:val="88"/>
                </w:rPr>
                <w:t>Section 302</w:t>
              </w:r>
            </w:hyperlink>
          </w:p>
        </w:tc>
        <w:tc>
          <w:tcPr>
            <w:tcW w:w="9300" w:type="dxa"/>
            <w:vAlign w:val="bottom"/>
          </w:tcPr>
          <w:p>
            <w:pPr>
              <w:ind w:left="4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Certification of Principal Financial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30">
              <w:r>
                <w:rPr>
                  <w:rFonts w:ascii="Arial" w:cs="Arial" w:eastAsia="Arial" w:hAnsi="Arial"/>
                  <w:sz w:val="18"/>
                  <w:szCs w:val="18"/>
                  <w:u w:val="single" w:color="auto"/>
                  <w:color w:val="0000FF"/>
                  <w:w w:val="88"/>
                </w:rPr>
                <w:t>Section 906</w:t>
              </w:r>
            </w:hyperlink>
          </w:p>
        </w:tc>
        <w:tc>
          <w:tcPr>
            <w:tcW w:w="9300" w:type="dxa"/>
            <w:vAlign w:val="bottom"/>
          </w:tcPr>
          <w:p>
            <w:pPr>
              <w:ind w:left="4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Chief Executive Officer (filed herewith)</w:t>
              </w:r>
            </w:hyperlink>
          </w:p>
        </w:tc>
      </w:tr>
      <w:tr>
        <w:trPr>
          <w:trHeight w:val="431"/>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860" w:type="dxa"/>
            <w:vAlign w:val="bottom"/>
          </w:tcPr>
          <w:p>
            <w:pPr>
              <w:spacing w:after="0"/>
              <w:rPr>
                <w:rFonts w:ascii="Arial" w:cs="Arial" w:eastAsia="Arial" w:hAnsi="Arial"/>
                <w:sz w:val="18"/>
                <w:szCs w:val="18"/>
                <w:u w:val="single" w:color="auto"/>
                <w:color w:val="0000FF"/>
                <w:w w:val="88"/>
              </w:rPr>
            </w:pPr>
            <w:hyperlink w:anchor="page31">
              <w:r>
                <w:rPr>
                  <w:rFonts w:ascii="Arial" w:cs="Arial" w:eastAsia="Arial" w:hAnsi="Arial"/>
                  <w:sz w:val="18"/>
                  <w:szCs w:val="18"/>
                  <w:u w:val="single" w:color="auto"/>
                  <w:color w:val="0000FF"/>
                  <w:w w:val="88"/>
                </w:rPr>
                <w:t>Section 906</w:t>
              </w:r>
            </w:hyperlink>
          </w:p>
        </w:tc>
        <w:tc>
          <w:tcPr>
            <w:tcW w:w="9300" w:type="dxa"/>
            <w:vAlign w:val="bottom"/>
          </w:tcPr>
          <w:p>
            <w:pPr>
              <w:ind w:left="4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Principal Financial Officer (filed herewith)</w:t>
              </w:r>
            </w:hyperlink>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Instance Document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Schema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(filed herewith)</w:t>
            </w:r>
          </w:p>
        </w:tc>
      </w:tr>
      <w:tr>
        <w:trPr>
          <w:trHeight w:val="431"/>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458"/>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300" w:type="dxa"/>
            <w:vAlign w:val="bottom"/>
          </w:tcPr>
          <w:p>
            <w:pPr>
              <w:ind w:left="3600"/>
              <w:spacing w:after="0"/>
              <w:rPr>
                <w:sz w:val="20"/>
                <w:szCs w:val="20"/>
                <w:color w:val="auto"/>
              </w:rPr>
            </w:pPr>
            <w:r>
              <w:rPr>
                <w:rFonts w:ascii="Arial" w:cs="Arial" w:eastAsia="Arial" w:hAnsi="Arial"/>
                <w:sz w:val="18"/>
                <w:szCs w:val="18"/>
                <w:color w:val="auto"/>
              </w:rPr>
              <w:t>25</w:t>
            </w:r>
          </w:p>
        </w:tc>
      </w:tr>
      <w:tr>
        <w:trPr>
          <w:trHeight w:val="128"/>
        </w:trPr>
        <w:tc>
          <w:tcPr>
            <w:tcW w:w="10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3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2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Zeynep Hakimoglu</w:t>
            </w:r>
          </w:p>
        </w:tc>
      </w:tr>
      <w:tr>
        <w:trPr>
          <w:trHeight w:val="201"/>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Zeynep Hakimoglu</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30"/>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May 20, 2020</w:t>
            </w:r>
          </w:p>
        </w:tc>
        <w:tc>
          <w:tcPr>
            <w:tcW w:w="5160" w:type="dxa"/>
            <w:vAlign w:val="bottom"/>
          </w:tcPr>
          <w:p>
            <w:pPr>
              <w:spacing w:after="0"/>
              <w:rPr>
                <w:sz w:val="22"/>
                <w:szCs w:val="22"/>
                <w:color w:val="auto"/>
              </w:rPr>
            </w:pPr>
          </w:p>
        </w:tc>
      </w:tr>
      <w:tr>
        <w:trPr>
          <w:trHeight w:val="452"/>
        </w:trPr>
        <w:tc>
          <w:tcPr>
            <w:tcW w:w="6080" w:type="dxa"/>
            <w:vAlign w:val="bottom"/>
          </w:tcPr>
          <w:p>
            <w:pPr>
              <w:ind w:left="564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Narsi Narayanan</w:t>
            </w:r>
          </w:p>
        </w:tc>
      </w:tr>
      <w:tr>
        <w:trPr>
          <w:trHeight w:val="201"/>
        </w:trPr>
        <w:tc>
          <w:tcPr>
            <w:tcW w:w="6080" w:type="dxa"/>
            <w:vAlign w:val="bottom"/>
          </w:tcPr>
          <w:p>
            <w:pPr>
              <w:spacing w:after="0"/>
              <w:rPr>
                <w:sz w:val="17"/>
                <w:szCs w:val="17"/>
                <w:color w:val="auto"/>
              </w:rPr>
            </w:pPr>
          </w:p>
        </w:tc>
        <w:tc>
          <w:tcPr>
            <w:tcW w:w="5160" w:type="dxa"/>
            <w:vAlign w:val="bottom"/>
          </w:tcPr>
          <w:p>
            <w:pPr>
              <w:spacing w:after="0" w:line="201" w:lineRule="exact"/>
              <w:rPr>
                <w:sz w:val="20"/>
                <w:szCs w:val="20"/>
                <w:color w:val="auto"/>
              </w:rPr>
            </w:pPr>
            <w:r>
              <w:rPr>
                <w:rFonts w:ascii="Arial" w:cs="Arial" w:eastAsia="Arial" w:hAnsi="Arial"/>
                <w:sz w:val="18"/>
                <w:szCs w:val="18"/>
                <w:color w:val="auto"/>
              </w:rPr>
              <w:t>Narsi Narayanan</w:t>
            </w:r>
          </w:p>
        </w:tc>
      </w:tr>
      <w:tr>
        <w:trPr>
          <w:trHeight w:val="216"/>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May 20, 2020</w:t>
            </w:r>
          </w:p>
        </w:tc>
        <w:tc>
          <w:tcPr>
            <w:tcW w:w="516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r>
        <w:trPr>
          <w:trHeight w:val="674"/>
        </w:trPr>
        <w:tc>
          <w:tcPr>
            <w:tcW w:w="6080" w:type="dxa"/>
            <w:vAlign w:val="bottom"/>
          </w:tcPr>
          <w:p>
            <w:pPr>
              <w:ind w:left="5540"/>
              <w:spacing w:after="0"/>
              <w:rPr>
                <w:sz w:val="20"/>
                <w:szCs w:val="20"/>
                <w:color w:val="auto"/>
              </w:rPr>
            </w:pPr>
            <w:r>
              <w:rPr>
                <w:rFonts w:ascii="Arial" w:cs="Arial" w:eastAsia="Arial" w:hAnsi="Arial"/>
                <w:sz w:val="18"/>
                <w:szCs w:val="18"/>
                <w:color w:val="auto"/>
              </w:rPr>
              <w:t>26</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4" w:lineRule="exact"/>
        <w:rPr>
          <w:rFonts w:ascii="Arial" w:cs="Arial" w:eastAsia="Arial" w:hAnsi="Arial"/>
          <w:sz w:val="18"/>
          <w:szCs w:val="18"/>
          <w:color w:val="auto"/>
        </w:rPr>
      </w:pPr>
    </w:p>
    <w:p>
      <w:pPr>
        <w:ind w:left="200" w:hanging="192"/>
        <w:spacing w:after="0" w:line="341" w:lineRule="auto"/>
        <w:tabs>
          <w:tab w:leader="none" w:pos="2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200" w:hanging="192"/>
        <w:spacing w:after="0" w:line="307" w:lineRule="auto"/>
        <w:tabs>
          <w:tab w:leader="none" w:pos="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20, 2020</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of ClearOne, Inc. on Form 10-Q;</w:t>
      </w:r>
    </w:p>
    <w:p>
      <w:pPr>
        <w:spacing w:after="0" w:line="224" w:lineRule="exact"/>
        <w:rPr>
          <w:rFonts w:ascii="Arial" w:cs="Arial" w:eastAsia="Arial" w:hAnsi="Arial"/>
          <w:sz w:val="18"/>
          <w:szCs w:val="18"/>
          <w:color w:val="auto"/>
        </w:rPr>
      </w:pPr>
    </w:p>
    <w:p>
      <w:pPr>
        <w:ind w:left="200" w:hanging="192"/>
        <w:spacing w:after="0" w:line="341" w:lineRule="auto"/>
        <w:tabs>
          <w:tab w:leader="none" w:pos="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left="200" w:hanging="192"/>
        <w:spacing w:after="0" w:line="277"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left="200" w:hanging="192"/>
        <w:spacing w:after="0" w:line="263"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left="280" w:hanging="205"/>
        <w:spacing w:after="0" w:line="263"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2" w:lineRule="exact"/>
        <w:rPr>
          <w:rFonts w:ascii="Arial" w:cs="Arial" w:eastAsia="Arial" w:hAnsi="Arial"/>
          <w:sz w:val="18"/>
          <w:szCs w:val="18"/>
          <w:color w:val="auto"/>
        </w:rPr>
      </w:pPr>
    </w:p>
    <w:p>
      <w:pPr>
        <w:ind w:left="200" w:hanging="192"/>
        <w:spacing w:after="0" w:line="307" w:lineRule="auto"/>
        <w:tabs>
          <w:tab w:leader="none" w:pos="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280" w:hanging="205"/>
        <w:spacing w:after="0" w:line="277" w:lineRule="auto"/>
        <w:tabs>
          <w:tab w:leader="none" w:pos="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20, 2020</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20, 2020</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2020,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May 20, 2020</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2020-05-20T13:34:07Z</dcterms:created>
  <dcterms:modified xsi:type="dcterms:W3CDTF">2020-05-20T13:34:07Z</dcterms:modified>
</cp:coreProperties>
</file>