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 PURSUANT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TO SECTION 13 OR 15(D) OF</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April 29, 2008</w:t>
      </w:r>
    </w:p>
    <w:p>
      <w:pPr>
        <w:spacing w:after="0" w:line="200" w:lineRule="exact"/>
        <w:rPr>
          <w:sz w:val="24"/>
          <w:szCs w:val="24"/>
          <w:color w:val="auto"/>
        </w:rPr>
      </w:pPr>
    </w:p>
    <w:p>
      <w:pPr>
        <w:spacing w:after="0" w:line="291"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u w:val="single" w:color="auto"/>
          <w:color w:val="auto"/>
        </w:rPr>
        <w:t>ClearOne Communications, Inc.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Utah</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(State or Other Jurisdiction of Incorporation)</w:t>
      </w:r>
    </w:p>
    <w:p>
      <w:pPr>
        <w:spacing w:after="0" w:line="234" w:lineRule="exact"/>
        <w:rPr>
          <w:sz w:val="24"/>
          <w:szCs w:val="24"/>
          <w:color w:val="auto"/>
        </w:rPr>
      </w:pPr>
    </w:p>
    <w:p>
      <w:pPr>
        <w:ind w:left="4160"/>
        <w:spacing w:after="0"/>
        <w:tabs>
          <w:tab w:leader="none" w:pos="6480" w:val="left"/>
        </w:tabs>
        <w:rPr>
          <w:sz w:val="20"/>
          <w:szCs w:val="20"/>
          <w:color w:val="auto"/>
        </w:rPr>
      </w:pPr>
      <w:r>
        <w:rPr>
          <w:rFonts w:ascii="Arial" w:cs="Arial" w:eastAsia="Arial" w:hAnsi="Arial"/>
          <w:sz w:val="18"/>
          <w:szCs w:val="18"/>
          <w:b w:val="1"/>
          <w:bCs w:val="1"/>
          <w:color w:val="auto"/>
        </w:rPr>
        <w:t>000-17219</w:t>
      </w:r>
      <w:r>
        <w:rPr>
          <w:sz w:val="20"/>
          <w:szCs w:val="20"/>
          <w:color w:val="auto"/>
        </w:rPr>
        <w:tab/>
      </w:r>
      <w:r>
        <w:rPr>
          <w:rFonts w:ascii="Arial" w:cs="Arial" w:eastAsia="Arial" w:hAnsi="Arial"/>
          <w:sz w:val="16"/>
          <w:szCs w:val="16"/>
          <w:b w:val="1"/>
          <w:bCs w:val="1"/>
          <w:color w:val="auto"/>
        </w:rPr>
        <w:t>87-0398877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17145</wp:posOffset>
            </wp:positionV>
            <wp:extent cx="28987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20" w:lineRule="exact"/>
        <w:rPr>
          <w:sz w:val="24"/>
          <w:szCs w:val="24"/>
          <w:color w:val="auto"/>
        </w:rPr>
      </w:pPr>
    </w:p>
    <w:p>
      <w:pPr>
        <w:ind w:left="3560"/>
        <w:spacing w:after="0"/>
        <w:tabs>
          <w:tab w:leader="none" w:pos="6320" w:val="left"/>
        </w:tabs>
        <w:rPr>
          <w:sz w:val="20"/>
          <w:szCs w:val="20"/>
          <w:color w:val="auto"/>
        </w:rPr>
      </w:pPr>
      <w:r>
        <w:rPr>
          <w:rFonts w:ascii="Arial" w:cs="Arial" w:eastAsia="Arial" w:hAnsi="Arial"/>
          <w:sz w:val="18"/>
          <w:szCs w:val="18"/>
          <w:color w:val="auto"/>
        </w:rPr>
        <w:t>(Commission File Number)</w:t>
      </w:r>
      <w:r>
        <w:rPr>
          <w:sz w:val="20"/>
          <w:szCs w:val="20"/>
          <w:color w:val="auto"/>
        </w:rPr>
        <w:tab/>
      </w:r>
      <w:r>
        <w:rPr>
          <w:rFonts w:ascii="Arial" w:cs="Arial" w:eastAsia="Arial" w:hAnsi="Arial"/>
          <w:sz w:val="16"/>
          <w:szCs w:val="16"/>
          <w:color w:val="auto"/>
        </w:rPr>
        <w:t>(I.R.S. employer</w:t>
      </w:r>
    </w:p>
    <w:p>
      <w:pPr>
        <w:spacing w:after="0" w:line="23" w:lineRule="exact"/>
        <w:rPr>
          <w:sz w:val="24"/>
          <w:szCs w:val="24"/>
          <w:color w:val="auto"/>
        </w:rPr>
      </w:pPr>
    </w:p>
    <w:p>
      <w:pPr>
        <w:ind w:left="6120"/>
        <w:spacing w:after="0"/>
        <w:rPr>
          <w:sz w:val="20"/>
          <w:szCs w:val="20"/>
          <w:color w:val="auto"/>
        </w:rPr>
      </w:pPr>
      <w:r>
        <w:rPr>
          <w:rFonts w:ascii="Arial" w:cs="Arial" w:eastAsia="Arial" w:hAnsi="Arial"/>
          <w:sz w:val="18"/>
          <w:szCs w:val="18"/>
          <w:color w:val="auto"/>
        </w:rPr>
        <w:t>identification number)</w:t>
      </w:r>
    </w:p>
    <w:p>
      <w:pPr>
        <w:spacing w:after="0" w:line="234" w:lineRule="exact"/>
        <w:rPr>
          <w:sz w:val="24"/>
          <w:szCs w:val="24"/>
          <w:color w:val="auto"/>
        </w:rPr>
      </w:pPr>
    </w:p>
    <w:tbl>
      <w:tblPr>
        <w:tblLayout w:type="fixed"/>
        <w:tblInd w:w="3440" w:type="dxa"/>
        <w:tblCellMar>
          <w:top w:w="0" w:type="dxa"/>
          <w:left w:w="0" w:type="dxa"/>
          <w:bottom w:w="0" w:type="dxa"/>
          <w:right w:w="0" w:type="dxa"/>
        </w:tblCellMar>
      </w:tblPr>
      <w:tr>
        <w:trPr>
          <w:trHeight w:val="216"/>
        </w:trPr>
        <w:tc>
          <w:tcPr>
            <w:tcW w:w="3300" w:type="dxa"/>
            <w:vAlign w:val="bottom"/>
          </w:tcPr>
          <w:p>
            <w:pPr>
              <w:jc w:val="center"/>
              <w:spacing w:after="0"/>
              <w:rPr>
                <w:sz w:val="20"/>
                <w:szCs w:val="20"/>
                <w:color w:val="auto"/>
              </w:rPr>
            </w:pPr>
            <w:r>
              <w:rPr>
                <w:rFonts w:ascii="Arial" w:cs="Arial" w:eastAsia="Arial" w:hAnsi="Arial"/>
                <w:sz w:val="18"/>
                <w:szCs w:val="18"/>
                <w:b w:val="1"/>
                <w:bCs w:val="1"/>
                <w:color w:val="auto"/>
                <w:w w:val="89"/>
              </w:rPr>
              <w:t>5225 Wiley Post Way, Suite 500</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68"/>
        </w:trPr>
        <w:tc>
          <w:tcPr>
            <w:tcW w:w="3300" w:type="dxa"/>
            <w:vAlign w:val="bottom"/>
          </w:tcPr>
          <w:p>
            <w:pPr>
              <w:jc w:val="center"/>
              <w:spacing w:after="0"/>
              <w:rPr>
                <w:sz w:val="20"/>
                <w:szCs w:val="20"/>
                <w:color w:val="auto"/>
              </w:rPr>
            </w:pPr>
            <w:r>
              <w:rPr>
                <w:rFonts w:ascii="Arial" w:cs="Arial" w:eastAsia="Arial" w:hAnsi="Arial"/>
                <w:sz w:val="18"/>
                <w:szCs w:val="18"/>
                <w:b w:val="1"/>
                <w:bCs w:val="1"/>
                <w:color w:val="auto"/>
                <w:w w:val="92"/>
              </w:rPr>
              <w:t>Salt Lake City, Utah</w:t>
            </w:r>
          </w:p>
        </w:tc>
        <w:tc>
          <w:tcPr>
            <w:tcW w:w="126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84116</w:t>
            </w:r>
          </w:p>
        </w:tc>
      </w:tr>
      <w:tr>
        <w:trPr>
          <w:trHeight w:val="230"/>
        </w:trPr>
        <w:tc>
          <w:tcPr>
            <w:tcW w:w="33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60" w:type="dxa"/>
            <w:vAlign w:val="bottom"/>
          </w:tcPr>
          <w:p>
            <w:pPr>
              <w:spacing w:after="0"/>
              <w:rPr>
                <w:sz w:val="20"/>
                <w:szCs w:val="20"/>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200" w:lineRule="exact"/>
        <w:rPr>
          <w:sz w:val="24"/>
          <w:szCs w:val="24"/>
          <w:color w:val="auto"/>
        </w:rPr>
      </w:pPr>
    </w:p>
    <w:p>
      <w:pPr>
        <w:spacing w:after="0" w:line="25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(801) 975-7200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8300" w:type="dxa"/>
            <w:vAlign w:val="bottom"/>
            <w:gridSpan w:val="2"/>
          </w:tcPr>
          <w:p>
            <w:pPr>
              <w:ind w:left="60"/>
              <w:spacing w:after="0"/>
              <w:rPr>
                <w:sz w:val="20"/>
                <w:szCs w:val="20"/>
                <w:color w:val="auto"/>
              </w:rPr>
            </w:pPr>
            <w:r>
              <w:rPr>
                <w:rFonts w:ascii="Arial" w:cs="Arial" w:eastAsia="Arial" w:hAnsi="Arial"/>
                <w:sz w:val="18"/>
                <w:szCs w:val="18"/>
                <w:color w:val="auto"/>
              </w:rPr>
              <w:t>] Written communications pursuant to Rule 425 under the Securities Act (17 CFR 230.425)</w:t>
            </w:r>
          </w:p>
        </w:tc>
      </w:t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8140" w:type="dxa"/>
            <w:vAlign w:val="bottom"/>
          </w:tcPr>
          <w:p>
            <w:pPr>
              <w:ind w:left="6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8140" w:type="dxa"/>
            <w:vAlign w:val="bottom"/>
          </w:tcPr>
          <w:p>
            <w:pPr>
              <w:ind w:left="6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 pursuant to Rule 13e-4(c) under the Exchange Act (17 CFR 240.13e-4(c))</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56" w:lineRule="exact"/>
        <w:rPr>
          <w:rFonts w:ascii="Arial" w:cs="Arial" w:eastAsia="Arial" w:hAnsi="Arial"/>
          <w:sz w:val="18"/>
          <w:szCs w:val="18"/>
          <w:color w:val="auto"/>
        </w:rPr>
      </w:pPr>
    </w:p>
    <w:p>
      <w:pPr>
        <w:ind w:left="5660"/>
        <w:spacing w:after="0"/>
        <w:rPr>
          <w:rFonts w:ascii="Arial" w:cs="Arial" w:eastAsia="Arial" w:hAnsi="Arial"/>
          <w:sz w:val="18"/>
          <w:szCs w:val="18"/>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-475615</wp:posOffset>
            </wp:positionV>
            <wp:extent cx="7250430" cy="450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040"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5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April 29, 2008, ClearOne Communications, Inc. (the “Company”) issued a press release announcing its financial results for the quarter ended March 31, 2008. The full text of the Company’s press release is furnished herewith as Exhibit 99.1.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6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80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64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96"/>
              </w:rPr>
              <w:t>Exhibit No.</w:t>
            </w:r>
          </w:p>
        </w:tc>
        <w:tc>
          <w:tcPr>
            <w:tcW w:w="8080" w:type="dxa"/>
            <w:vAlign w:val="bottom"/>
            <w:tcBorders>
              <w:bottom w:val="single" w:sz="8" w:color="auto"/>
            </w:tcBorders>
          </w:tcPr>
          <w:p>
            <w:pPr>
              <w:ind w:left="3540"/>
              <w:spacing w:after="0"/>
              <w:rPr>
                <w:sz w:val="20"/>
                <w:szCs w:val="20"/>
                <w:color w:val="auto"/>
              </w:rPr>
            </w:pPr>
            <w:r>
              <w:rPr>
                <w:rFonts w:ascii="Arial" w:cs="Arial" w:eastAsia="Arial" w:hAnsi="Arial"/>
                <w:sz w:val="18"/>
                <w:szCs w:val="18"/>
                <w:color w:val="auto"/>
              </w:rPr>
              <w:t>Title of Document</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Location</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40" w:type="dxa"/>
            <w:vAlign w:val="bottom"/>
          </w:tcPr>
          <w:p>
            <w:pPr>
              <w:jc w:val="right"/>
              <w:ind w:right="450"/>
              <w:spacing w:after="0" w:line="201" w:lineRule="exact"/>
              <w:rPr>
                <w:sz w:val="20"/>
                <w:szCs w:val="20"/>
                <w:color w:val="auto"/>
              </w:rPr>
            </w:pPr>
            <w:r>
              <w:rPr>
                <w:rFonts w:ascii="Arial" w:cs="Arial" w:eastAsia="Arial" w:hAnsi="Arial"/>
                <w:sz w:val="18"/>
                <w:szCs w:val="18"/>
                <w:color w:val="auto"/>
              </w:rPr>
              <w:t>99.1</w:t>
            </w:r>
          </w:p>
        </w:tc>
        <w:tc>
          <w:tcPr>
            <w:tcW w:w="8080" w:type="dxa"/>
            <w:vAlign w:val="bottom"/>
          </w:tcPr>
          <w:p>
            <w:pPr>
              <w:ind w:left="260"/>
              <w:spacing w:after="0" w:line="201" w:lineRule="exact"/>
              <w:rPr>
                <w:sz w:val="20"/>
                <w:szCs w:val="20"/>
                <w:color w:val="auto"/>
              </w:rPr>
            </w:pPr>
            <w:r>
              <w:rPr>
                <w:rFonts w:ascii="Arial" w:cs="Arial" w:eastAsia="Arial" w:hAnsi="Arial"/>
                <w:sz w:val="18"/>
                <w:szCs w:val="18"/>
                <w:color w:val="auto"/>
                <w:w w:val="96"/>
              </w:rPr>
              <w:t>Press Release dated April 29, 2008 captioned “ClearOne Reports Fiscal 2008 Third Quarter Financial</w:t>
            </w:r>
          </w:p>
        </w:tc>
        <w:tc>
          <w:tcPr>
            <w:tcW w:w="1680" w:type="dxa"/>
            <w:vAlign w:val="bottom"/>
            <w:vMerge w:val="restart"/>
          </w:tcPr>
          <w:p>
            <w:pPr>
              <w:jc w:val="center"/>
              <w:spacing w:after="0"/>
              <w:rPr>
                <w:sz w:val="20"/>
                <w:szCs w:val="20"/>
                <w:color w:val="auto"/>
              </w:rPr>
            </w:pPr>
            <w:r>
              <w:rPr>
                <w:rFonts w:ascii="Arial" w:cs="Arial" w:eastAsia="Arial" w:hAnsi="Arial"/>
                <w:sz w:val="18"/>
                <w:szCs w:val="18"/>
                <w:color w:val="auto"/>
                <w:w w:val="97"/>
              </w:rPr>
              <w:t>This Filing</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8080" w:type="dxa"/>
            <w:vAlign w:val="bottom"/>
            <w:vMerge w:val="restart"/>
          </w:tcPr>
          <w:p>
            <w:pPr>
              <w:ind w:left="260"/>
              <w:spacing w:after="0"/>
              <w:rPr>
                <w:sz w:val="20"/>
                <w:szCs w:val="20"/>
                <w:color w:val="auto"/>
              </w:rPr>
            </w:pPr>
            <w:r>
              <w:rPr>
                <w:rFonts w:ascii="Arial" w:cs="Arial" w:eastAsia="Arial" w:hAnsi="Arial"/>
                <w:sz w:val="18"/>
                <w:szCs w:val="18"/>
                <w:color w:val="auto"/>
              </w:rPr>
              <w:t>Results”</w:t>
            </w:r>
          </w:p>
        </w:tc>
        <w:tc>
          <w:tcPr>
            <w:tcW w:w="1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80" w:type="dxa"/>
            <w:vAlign w:val="bottom"/>
            <w:vMerge w:val="continue"/>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4300" w:val="left"/>
          <w:tab w:leader="none" w:pos="5060" w:val="left"/>
        </w:tabs>
        <w:rPr>
          <w:sz w:val="20"/>
          <w:szCs w:val="20"/>
          <w:color w:val="auto"/>
        </w:rPr>
      </w:pPr>
      <w:r>
        <w:rPr>
          <w:rFonts w:ascii="Arial" w:cs="Arial" w:eastAsia="Arial" w:hAnsi="Arial"/>
          <w:sz w:val="18"/>
          <w:szCs w:val="18"/>
          <w:color w:val="auto"/>
        </w:rPr>
        <w:t>Date: April 29,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Greg A. LeClaire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14605</wp:posOffset>
            </wp:positionV>
            <wp:extent cx="40220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022090" cy="1714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Greg A. LeClaire</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Vice President of Finance</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513"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99.1</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ClearOne Communications,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Greg LeClaire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(801) 975-7200</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REPORTS FISCAL 2008 THIRD QUARTER FINANCIAL RESULTS</w:t>
      </w:r>
    </w:p>
    <w:p>
      <w:pPr>
        <w:spacing w:after="0" w:line="252"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 xml:space="preserve">Salt Lake City, UT – April 29, 2008 – </w:t>
      </w:r>
      <w:r>
        <w:rPr>
          <w:rFonts w:ascii="Arial" w:cs="Arial" w:eastAsia="Arial" w:hAnsi="Arial"/>
          <w:sz w:val="18"/>
          <w:szCs w:val="18"/>
          <w:color w:val="auto"/>
        </w:rPr>
        <w:t>ClearOne Communications, Inc. (NASDAQ: CLRO) today reported financial results for the third quarter of fiscal</w:t>
      </w:r>
      <w:r>
        <w:rPr>
          <w:rFonts w:ascii="Arial" w:cs="Arial" w:eastAsia="Arial" w:hAnsi="Arial"/>
          <w:sz w:val="18"/>
          <w:szCs w:val="18"/>
          <w:b w:val="1"/>
          <w:bCs w:val="1"/>
          <w:color w:val="auto"/>
        </w:rPr>
        <w:t xml:space="preserve"> </w:t>
      </w:r>
      <w:r>
        <w:rPr>
          <w:rFonts w:ascii="Arial" w:cs="Arial" w:eastAsia="Arial" w:hAnsi="Arial"/>
          <w:sz w:val="18"/>
          <w:szCs w:val="18"/>
          <w:color w:val="auto"/>
        </w:rPr>
        <w:t>2008 ended March 31, 2008.</w:t>
      </w:r>
    </w:p>
    <w:p>
      <w:pPr>
        <w:spacing w:after="0" w:line="19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For the fiscal 2008 third quarter, revenue decreased slightly to $9.2 million from $9.4 million in the same quarter of last year. Gross profit grew 11% to $5.7 million, or 62% of revenue, from $5.2 million, or 55% of revenue, for the prior year period. Operating income rose to $1.2 million from $550,000 in the same quarter last year. Income from continuing operations was $1.1 million, or $0.10 per diluted share, compared with $960,000 or $0.09 per diluted share, a year ago. Net income was $1.1 million, or $0.10 per diluted share, which includes approximately $300,000 of costs accrued for a contingent liability. This compares to net income in the third quarter of fiscal 2007 of $1.2 million, or $0.11 per diluted share, which includes income from discontinued operations of $263,000, or $0.02 per diluted share.</w:t>
      </w:r>
    </w:p>
    <w:p>
      <w:pPr>
        <w:spacing w:after="0" w:line="22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Under a share repurchase plan announced in August 2007, the company purchased approximately 344,000 shares of its common stock for $1.7 million during the fiscal 2008 third quarter.</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decreased slightly due to lower sales of professional and premium audio products partially offset by increased sales of our tabletop and personal conferencing products,” said Zee Hakimoglu, president, chief executive officer and chairman of ClearOne. “Despite the slight revenue decline, we realized higher gross profit primarily as a result of the company reducing its reserve for inventory obsolescence due to increased sales of our tabletop conferencing products.”</w:t>
      </w:r>
    </w:p>
    <w:p>
      <w:pPr>
        <w:spacing w:after="0" w:line="21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For the first nine months of fiscal 2008, revenue increased to $29.4 million from $28.9 million in the same period of fiscal 2007. Gross profit grew to $17.2 million from $15.5 million for the prior year period. Operating income rose to $2.0 million from $1.8 million in the same period last year. Income from continuing operations was $1.9 million, or $0.18 per diluted share, compared with income from continuing operations for the prior year period of $2.7 million, or $0.23 per diluted share. Net income was $1.9 million, or $0.18 per diluted share, which includes the establishment of a $2.2 million accrual for a contingent liability associated with the advancement of funds related to indemnification agreements with two former officers. The company accrued $1.8 million in its first quarter and an additional $400,000 in the subsequent two quarters of fiscal 2008, representing the probable amount that as of the date of the financial statements could be reasonably estimated of its liability, through trial. The company has been advised that the trial date will be moved to either September or December of 2008. This compares to net income in the prior year period of $3.0 million, or $0.25 per diluted share, which includes income from discontinued operations of $304,000, or $0.03 per diluted share.</w:t>
      </w:r>
    </w:p>
    <w:p>
      <w:pPr>
        <w:spacing w:after="0" w:line="209" w:lineRule="exact"/>
        <w:rPr>
          <w:sz w:val="20"/>
          <w:szCs w:val="20"/>
          <w:color w:val="auto"/>
        </w:rPr>
      </w:pPr>
    </w:p>
    <w:p>
      <w:pPr>
        <w:jc w:val="both"/>
        <w:ind w:right="120"/>
        <w:spacing w:after="0" w:line="288" w:lineRule="auto"/>
        <w:rPr>
          <w:sz w:val="20"/>
          <w:szCs w:val="20"/>
          <w:color w:val="auto"/>
        </w:rPr>
      </w:pPr>
      <w:r>
        <w:rPr>
          <w:rFonts w:ascii="Arial" w:cs="Arial" w:eastAsia="Arial" w:hAnsi="Arial"/>
          <w:sz w:val="16"/>
          <w:szCs w:val="16"/>
          <w:color w:val="auto"/>
        </w:rPr>
        <w:t>As of March 31, 2008, ClearOne has reclassified its entire balance of auction rate securities (ARSs), $12.25 million, from short-term to long-term securities following failed auctions occurring since February 2008. The company continues to hold these securities and the issuers are paying interest at the maximum contractual rate. Based on current credit market conditions, it is likely that future auctions related to these securities will be unsuccessful in the near</w:t>
      </w:r>
    </w:p>
    <w:p>
      <w:pPr>
        <w:ind w:right="120"/>
        <w:spacing w:after="0" w:line="273" w:lineRule="auto"/>
        <w:rPr>
          <w:sz w:val="20"/>
          <w:szCs w:val="20"/>
          <w:color w:val="auto"/>
        </w:rPr>
      </w:pPr>
      <w:r>
        <w:rPr>
          <w:rFonts w:ascii="Arial" w:cs="Arial" w:eastAsia="Arial" w:hAnsi="Arial"/>
          <w:sz w:val="17"/>
          <w:szCs w:val="17"/>
          <w:color w:val="auto"/>
        </w:rPr>
        <w:t>term. ClearOne determined there was a decline in the fair value of its ARS investments of $764,000, which, in accordance with SFAS No. 115, Accounting for Certain Investments in Debt and Equity Securities, and related guidance issued by FASB and the SEC, was deemed temporary and recognized as an unrealized loss in the other comprehensive income section of the Company’s income statement. ClearOne believes that the underlying securities or collateral have not been affected and any lack of liquidity in its ARSs will not impact its ability to fund its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ClearOne</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ClearOne is a communications solutions company that develops and sells audio conferencing systems and other related products for audio, video, and web conferencing applications. The reliability, flexibility, and performance of ClearOne’s comprehensive solutions create a natural communications environment, which saves organizations time and money by enabling more effective and efficient communication. For more information, visit ClearOne’s website at www.clearone.com.</w:t>
      </w:r>
    </w:p>
    <w:p>
      <w:pPr>
        <w:spacing w:after="0" w:line="2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including statements regarding the company’s ability to successfully commercialize newer products and enter new markets,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TABLES FOLLOW</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34" w:right="239" w:bottom="842"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7"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spacing w:after="0"/>
              <w:rPr>
                <w:sz w:val="20"/>
                <w:szCs w:val="20"/>
                <w:color w:val="auto"/>
              </w:rPr>
            </w:pPr>
            <w:r>
              <w:rPr>
                <w:rFonts w:ascii="Arial" w:cs="Arial" w:eastAsia="Arial" w:hAnsi="Arial"/>
                <w:sz w:val="18"/>
                <w:szCs w:val="18"/>
                <w:b w:val="1"/>
                <w:bCs w:val="1"/>
                <w:color w:val="auto"/>
                <w:w w:val="99"/>
              </w:rPr>
              <w:t>(unaudited)</w:t>
            </w:r>
          </w:p>
        </w:tc>
        <w:tc>
          <w:tcPr>
            <w:tcW w:w="40" w:type="dxa"/>
            <w:vAlign w:val="bottom"/>
          </w:tcPr>
          <w:p>
            <w:pPr>
              <w:spacing w:after="0"/>
              <w:rPr>
                <w:sz w:val="18"/>
                <w:szCs w:val="18"/>
                <w:color w:val="auto"/>
              </w:rPr>
            </w:pPr>
          </w:p>
        </w:tc>
        <w:tc>
          <w:tcPr>
            <w:tcW w:w="780" w:type="dxa"/>
            <w:vAlign w:val="bottom"/>
            <w:gridSpan w:val="3"/>
          </w:tcPr>
          <w:p>
            <w:pPr>
              <w:spacing w:after="0"/>
              <w:rPr>
                <w:sz w:val="20"/>
                <w:szCs w:val="20"/>
                <w:color w:val="auto"/>
              </w:rPr>
            </w:pPr>
            <w:r>
              <w:rPr>
                <w:rFonts w:ascii="Arial" w:cs="Arial" w:eastAsia="Arial" w:hAnsi="Arial"/>
                <w:sz w:val="18"/>
                <w:szCs w:val="18"/>
                <w:b w:val="1"/>
                <w:bCs w:val="1"/>
                <w:color w:val="auto"/>
                <w:w w:val="99"/>
              </w:rPr>
              <w:t>(audited)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8"/>
              </w:rPr>
              <w:t>March 31,</w:t>
            </w:r>
          </w:p>
        </w:tc>
        <w:tc>
          <w:tcPr>
            <w:tcW w:w="40" w:type="dxa"/>
            <w:vAlign w:val="bottom"/>
          </w:tcPr>
          <w:p>
            <w:pPr>
              <w:spacing w:after="0"/>
              <w:rPr>
                <w:sz w:val="18"/>
                <w:szCs w:val="18"/>
                <w:color w:val="auto"/>
              </w:rPr>
            </w:pPr>
          </w:p>
        </w:tc>
        <w:tc>
          <w:tcPr>
            <w:tcW w:w="78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June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2007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20" w:type="dxa"/>
            <w:vAlign w:val="bottom"/>
          </w:tcPr>
          <w:p>
            <w:pPr>
              <w:ind w:left="2120"/>
              <w:spacing w:after="0" w:line="201" w:lineRule="exact"/>
              <w:rPr>
                <w:sz w:val="20"/>
                <w:szCs w:val="20"/>
                <w:color w:val="auto"/>
              </w:rPr>
            </w:pPr>
            <w:r>
              <w:rPr>
                <w:rFonts w:ascii="Arial" w:cs="Arial" w:eastAsia="Arial" w:hAnsi="Arial"/>
                <w:sz w:val="18"/>
                <w:szCs w:val="18"/>
                <w:b w:val="1"/>
                <w:bCs w:val="1"/>
                <w:color w:val="auto"/>
              </w:rPr>
              <w:t>ASSETS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8,566</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40"/>
              <w:spacing w:after="0"/>
              <w:rPr>
                <w:sz w:val="20"/>
                <w:szCs w:val="20"/>
                <w:color w:val="auto"/>
              </w:rPr>
            </w:pPr>
            <w:r>
              <w:rPr>
                <w:rFonts w:ascii="Arial" w:cs="Arial" w:eastAsia="Arial" w:hAnsi="Arial"/>
                <w:sz w:val="18"/>
                <w:szCs w:val="18"/>
                <w:color w:val="auto"/>
              </w:rPr>
              <w:t>Marketable securities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19,871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receivable, net of allowance for doubtful accounts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7,005</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8,025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60"/>
              <w:spacing w:after="0"/>
              <w:rPr>
                <w:sz w:val="20"/>
                <w:szCs w:val="20"/>
                <w:color w:val="auto"/>
              </w:rPr>
            </w:pPr>
            <w:r>
              <w:rPr>
                <w:rFonts w:ascii="Arial" w:cs="Arial" w:eastAsia="Arial" w:hAnsi="Arial"/>
                <w:sz w:val="18"/>
                <w:szCs w:val="18"/>
                <w:color w:val="auto"/>
              </w:rPr>
              <w:t>of $60 and $54, respectively</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Deposit, Bond for Preliminary Injunction</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40"/>
              <w:spacing w:after="0"/>
              <w:rPr>
                <w:sz w:val="20"/>
                <w:szCs w:val="20"/>
                <w:color w:val="auto"/>
              </w:rPr>
            </w:pPr>
            <w:r>
              <w:rPr>
                <w:rFonts w:ascii="Arial" w:cs="Arial" w:eastAsia="Arial" w:hAnsi="Arial"/>
                <w:sz w:val="18"/>
                <w:szCs w:val="18"/>
                <w:color w:val="auto"/>
              </w:rPr>
              <w:t>Note Receivable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Inventories, net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7,318</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40"/>
              <w:spacing w:after="0"/>
              <w:rPr>
                <w:sz w:val="20"/>
                <w:szCs w:val="20"/>
                <w:color w:val="auto"/>
              </w:rPr>
            </w:pPr>
            <w:r>
              <w:rPr>
                <w:rFonts w:ascii="Arial" w:cs="Arial" w:eastAsia="Arial" w:hAnsi="Arial"/>
                <w:sz w:val="18"/>
                <w:szCs w:val="18"/>
                <w:color w:val="auto"/>
              </w:rPr>
              <w:t>Income tax receivable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ind w:left="140"/>
              <w:spacing w:after="0"/>
              <w:rPr>
                <w:sz w:val="20"/>
                <w:szCs w:val="20"/>
                <w:color w:val="auto"/>
              </w:rPr>
            </w:pPr>
            <w:r>
              <w:rPr>
                <w:rFonts w:ascii="Arial" w:cs="Arial" w:eastAsia="Arial" w:hAnsi="Arial"/>
                <w:sz w:val="18"/>
                <w:szCs w:val="18"/>
                <w:color w:val="auto"/>
              </w:rPr>
              <w:t>Prepaid expenses</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25,399</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38,317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Long-term Securities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11,486</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2,678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Note Receiveable - long-term</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00"/>
              <w:spacing w:after="0"/>
              <w:rPr>
                <w:sz w:val="20"/>
                <w:szCs w:val="20"/>
                <w:color w:val="auto"/>
              </w:rPr>
            </w:pPr>
            <w:r>
              <w:rPr>
                <w:rFonts w:ascii="Arial" w:cs="Arial" w:eastAsia="Arial" w:hAnsi="Arial"/>
                <w:sz w:val="18"/>
                <w:szCs w:val="18"/>
                <w:color w:val="auto"/>
              </w:rPr>
              <w:t>Total assets</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39,621</w:t>
            </w:r>
          </w:p>
        </w:tc>
        <w:tc>
          <w:tcPr>
            <w:tcW w:w="100" w:type="dxa"/>
            <w:vAlign w:val="bottom"/>
          </w:tcPr>
          <w:p>
            <w:pPr>
              <w:spacing w:after="0"/>
              <w:rPr>
                <w:sz w:val="18"/>
                <w:szCs w:val="18"/>
                <w:color w:val="auto"/>
              </w:rPr>
            </w:pP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41,063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500"/>
              <w:spacing w:after="0"/>
              <w:rPr>
                <w:sz w:val="20"/>
                <w:szCs w:val="20"/>
                <w:color w:val="auto"/>
              </w:rPr>
            </w:pPr>
            <w:r>
              <w:rPr>
                <w:rFonts w:ascii="Arial" w:cs="Arial" w:eastAsia="Arial" w:hAnsi="Arial"/>
                <w:sz w:val="18"/>
                <w:szCs w:val="18"/>
                <w:b w:val="1"/>
                <w:bCs w:val="1"/>
                <w:color w:val="auto"/>
              </w:rPr>
              <w:t>LIABILITIES AND SHAREHOLDERS' EQUITY</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1,924</w:t>
            </w:r>
          </w:p>
        </w:tc>
        <w:tc>
          <w:tcPr>
            <w:tcW w:w="100" w:type="dxa"/>
            <w:vAlign w:val="bottom"/>
          </w:tcPr>
          <w:p>
            <w:pPr>
              <w:spacing w:after="0"/>
              <w:rPr>
                <w:sz w:val="18"/>
                <w:szCs w:val="18"/>
                <w:color w:val="auto"/>
              </w:rPr>
            </w:pP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taxes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40"/>
              <w:spacing w:after="0"/>
              <w:rPr>
                <w:sz w:val="20"/>
                <w:szCs w:val="20"/>
                <w:color w:val="auto"/>
              </w:rPr>
            </w:pPr>
            <w:r>
              <w:rPr>
                <w:rFonts w:ascii="Arial" w:cs="Arial" w:eastAsia="Arial" w:hAnsi="Arial"/>
                <w:sz w:val="18"/>
                <w:szCs w:val="18"/>
                <w:color w:val="auto"/>
              </w:rPr>
              <w:t>Accrued liabilities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2,372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1,874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Deferred product revenue</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4,206</w:t>
            </w:r>
          </w:p>
        </w:tc>
        <w:tc>
          <w:tcPr>
            <w:tcW w:w="1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4,872</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00"/>
              <w:spacing w:after="0"/>
              <w:rPr>
                <w:sz w:val="20"/>
                <w:szCs w:val="20"/>
                <w:color w:val="auto"/>
              </w:rPr>
            </w:pPr>
            <w:r>
              <w:rPr>
                <w:rFonts w:ascii="Arial" w:cs="Arial" w:eastAsia="Arial" w:hAnsi="Arial"/>
                <w:sz w:val="18"/>
                <w:szCs w:val="18"/>
                <w:color w:val="auto"/>
              </w:rPr>
              <w:t>Total current liabilities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8,502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9,151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Deferred rent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10,484</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40"/>
              <w:spacing w:after="0"/>
              <w:rPr>
                <w:sz w:val="20"/>
                <w:szCs w:val="20"/>
                <w:color w:val="auto"/>
              </w:rPr>
            </w:pPr>
            <w:r>
              <w:rPr>
                <w:rFonts w:ascii="Arial" w:cs="Arial" w:eastAsia="Arial" w:hAnsi="Arial"/>
                <w:sz w:val="18"/>
                <w:szCs w:val="18"/>
                <w:color w:val="auto"/>
                <w:w w:val="92"/>
              </w:rPr>
              <w:t>Common stock, par value $0.001, 50,000,000 shares authorized,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2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w w:val="97"/>
              </w:rPr>
              <w:t>10,444,810 and 10,861,920 shares issued and outstanding,</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respectively</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45,422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47,582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ind w:left="140"/>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(15,531)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(17,155)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shareholders' equity</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29,137</w:t>
            </w:r>
          </w:p>
        </w:tc>
        <w:tc>
          <w:tcPr>
            <w:tcW w:w="1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30,438</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460"/>
              <w:spacing w:after="0"/>
              <w:rPr>
                <w:sz w:val="20"/>
                <w:szCs w:val="20"/>
                <w:color w:val="auto"/>
              </w:rPr>
            </w:pPr>
            <w:r>
              <w:rPr>
                <w:rFonts w:ascii="Arial" w:cs="Arial" w:eastAsia="Arial" w:hAnsi="Arial"/>
                <w:sz w:val="18"/>
                <w:szCs w:val="18"/>
                <w:color w:val="auto"/>
              </w:rPr>
              <w:t>Total liabilities and shareholders' equity</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39,621</w:t>
            </w:r>
          </w:p>
        </w:tc>
        <w:tc>
          <w:tcPr>
            <w:tcW w:w="100" w:type="dxa"/>
            <w:vAlign w:val="bottom"/>
          </w:tcPr>
          <w:p>
            <w:pPr>
              <w:spacing w:after="0"/>
              <w:rPr>
                <w:sz w:val="18"/>
                <w:szCs w:val="18"/>
                <w:color w:val="auto"/>
              </w:rPr>
            </w:pP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41,063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756" w:right="1440" w:bottom="1440" w:gutter="0" w:footer="0" w:header="0"/>
        </w:sectPr>
      </w:pPr>
    </w:p>
    <w:bookmarkStart w:id="4" w:name="page5"/>
    <w:bookmarkEnd w:id="4"/>
    <w:p>
      <w:pPr>
        <w:jc w:val="center"/>
        <w:ind w:right="100"/>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8"/>
                <w:szCs w:val="18"/>
                <w:b w:val="1"/>
                <w:bCs w:val="1"/>
                <w:color w:val="auto"/>
                <w:w w:val="94"/>
              </w:rPr>
              <w:t>Three Months Ended</w:t>
            </w:r>
          </w:p>
        </w:tc>
        <w:tc>
          <w:tcPr>
            <w:tcW w:w="8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8"/>
                <w:szCs w:val="18"/>
                <w:b w:val="1"/>
                <w:bCs w:val="1"/>
                <w:color w:val="auto"/>
                <w:w w:val="97"/>
              </w:rPr>
              <w:t>Nine Months Ended</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gridSpan w:val="3"/>
          </w:tcPr>
          <w:p>
            <w:pPr>
              <w:jc w:val="center"/>
              <w:ind w:right="200"/>
              <w:spacing w:after="0" w:line="198" w:lineRule="exact"/>
              <w:rPr>
                <w:sz w:val="20"/>
                <w:szCs w:val="20"/>
                <w:color w:val="auto"/>
              </w:rPr>
            </w:pPr>
            <w:r>
              <w:rPr>
                <w:rFonts w:ascii="Arial" w:cs="Arial" w:eastAsia="Arial" w:hAnsi="Arial"/>
                <w:sz w:val="18"/>
                <w:szCs w:val="18"/>
                <w:b w:val="1"/>
                <w:bCs w:val="1"/>
                <w:color w:val="auto"/>
                <w:w w:val="93"/>
              </w:rPr>
              <w:t>March 31,</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3"/>
          </w:tcPr>
          <w:p>
            <w:pPr>
              <w:jc w:val="center"/>
              <w:ind w:right="200"/>
              <w:spacing w:after="0" w:line="198" w:lineRule="exact"/>
              <w:rPr>
                <w:sz w:val="20"/>
                <w:szCs w:val="20"/>
                <w:color w:val="auto"/>
              </w:rPr>
            </w:pPr>
            <w:r>
              <w:rPr>
                <w:rFonts w:ascii="Arial" w:cs="Arial" w:eastAsia="Arial" w:hAnsi="Arial"/>
                <w:sz w:val="18"/>
                <w:szCs w:val="18"/>
                <w:b w:val="1"/>
                <w:bCs w:val="1"/>
                <w:color w:val="auto"/>
                <w:w w:val="93"/>
              </w:rPr>
              <w:t>March 31,</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3"/>
          </w:tcPr>
          <w:p>
            <w:pPr>
              <w:jc w:val="center"/>
              <w:ind w:right="200"/>
              <w:spacing w:after="0" w:line="198" w:lineRule="exact"/>
              <w:rPr>
                <w:sz w:val="20"/>
                <w:szCs w:val="20"/>
                <w:color w:val="auto"/>
              </w:rPr>
            </w:pPr>
            <w:r>
              <w:rPr>
                <w:rFonts w:ascii="Arial" w:cs="Arial" w:eastAsia="Arial" w:hAnsi="Arial"/>
                <w:sz w:val="18"/>
                <w:szCs w:val="18"/>
                <w:b w:val="1"/>
                <w:bCs w:val="1"/>
                <w:color w:val="auto"/>
                <w:w w:val="93"/>
              </w:rPr>
              <w:t>March 31,</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3"/>
          </w:tcPr>
          <w:p>
            <w:pPr>
              <w:jc w:val="center"/>
              <w:ind w:right="200"/>
              <w:spacing w:after="0" w:line="198" w:lineRule="exact"/>
              <w:rPr>
                <w:sz w:val="20"/>
                <w:szCs w:val="20"/>
                <w:color w:val="auto"/>
              </w:rPr>
            </w:pPr>
            <w:r>
              <w:rPr>
                <w:rFonts w:ascii="Arial" w:cs="Arial" w:eastAsia="Arial" w:hAnsi="Arial"/>
                <w:sz w:val="18"/>
                <w:szCs w:val="18"/>
                <w:b w:val="1"/>
                <w:bCs w:val="1"/>
                <w:color w:val="auto"/>
                <w:w w:val="96"/>
              </w:rPr>
              <w:t>March 31,</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2008</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2007</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2008</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2007</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9"/>
              </w:rPr>
              <w:t>% of</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130"/>
              <w:spacing w:after="0" w:line="198" w:lineRule="exact"/>
              <w:rPr>
                <w:sz w:val="20"/>
                <w:szCs w:val="20"/>
                <w:color w:val="auto"/>
              </w:rPr>
            </w:pPr>
            <w:r>
              <w:rPr>
                <w:rFonts w:ascii="Arial" w:cs="Arial" w:eastAsia="Arial" w:hAnsi="Arial"/>
                <w:sz w:val="18"/>
                <w:szCs w:val="18"/>
                <w:b w:val="1"/>
                <w:bCs w:val="1"/>
                <w:color w:val="auto"/>
              </w:rPr>
              <w:t>% of</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9"/>
              </w:rPr>
              <w:t>% of</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center"/>
              <w:ind w:right="100"/>
              <w:spacing w:after="0" w:line="198" w:lineRule="exact"/>
              <w:rPr>
                <w:sz w:val="20"/>
                <w:szCs w:val="20"/>
                <w:color w:val="auto"/>
              </w:rPr>
            </w:pPr>
            <w:r>
              <w:rPr>
                <w:rFonts w:ascii="Arial" w:cs="Arial" w:eastAsia="Arial" w:hAnsi="Arial"/>
                <w:sz w:val="18"/>
                <w:szCs w:val="18"/>
                <w:b w:val="1"/>
                <w:bCs w:val="1"/>
                <w:color w:val="auto"/>
                <w:w w:val="99"/>
              </w:rPr>
              <w:t>% of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3"/>
              </w:rPr>
              <w:t>Revenue</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Revenue</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9,163</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9,355</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29,393</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28,873</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3,439</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4,190</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12,153</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13,366</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940" w:type="dxa"/>
            <w:vAlign w:val="bottom"/>
          </w:tcPr>
          <w:p>
            <w:pPr>
              <w:ind w:left="300"/>
              <w:spacing w:after="0"/>
              <w:rPr>
                <w:sz w:val="20"/>
                <w:szCs w:val="20"/>
                <w:color w:val="auto"/>
              </w:rPr>
            </w:pPr>
            <w:r>
              <w:rPr>
                <w:rFonts w:ascii="Arial" w:cs="Arial" w:eastAsia="Arial" w:hAnsi="Arial"/>
                <w:sz w:val="18"/>
                <w:szCs w:val="18"/>
                <w:color w:val="auto"/>
              </w:rPr>
              <w:t>Gross profit</w:t>
            </w:r>
          </w:p>
        </w:tc>
        <w:tc>
          <w:tcPr>
            <w:tcW w:w="6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5,724</w:t>
            </w:r>
          </w:p>
        </w:tc>
        <w:tc>
          <w:tcPr>
            <w:tcW w:w="200" w:type="dxa"/>
            <w:vAlign w:val="bottom"/>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5,165</w:t>
            </w:r>
          </w:p>
        </w:tc>
        <w:tc>
          <w:tcPr>
            <w:tcW w:w="200" w:type="dxa"/>
            <w:vAlign w:val="bottom"/>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17,240</w:t>
            </w:r>
          </w:p>
        </w:tc>
        <w:tc>
          <w:tcPr>
            <w:tcW w:w="200" w:type="dxa"/>
            <w:vAlign w:val="bottom"/>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15,507</w:t>
            </w:r>
          </w:p>
        </w:tc>
        <w:tc>
          <w:tcPr>
            <w:tcW w:w="180" w:type="dxa"/>
            <w:vAlign w:val="bottom"/>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Operating expenses: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&amp; Marketing</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4,820</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5,711</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tcPr>
          <w:p>
            <w:pPr>
              <w:ind w:left="140"/>
              <w:spacing w:after="0" w:line="201" w:lineRule="exact"/>
              <w:rPr>
                <w:sz w:val="20"/>
                <w:szCs w:val="20"/>
                <w:color w:val="auto"/>
              </w:rPr>
            </w:pPr>
            <w:r>
              <w:rPr>
                <w:rFonts w:ascii="Arial" w:cs="Arial" w:eastAsia="Arial" w:hAnsi="Arial"/>
                <w:sz w:val="18"/>
                <w:szCs w:val="18"/>
                <w:color w:val="auto"/>
              </w:rPr>
              <w:t>General &amp;</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60" w:type="dxa"/>
            <w:vAlign w:val="bottom"/>
            <w:gridSpan w:val="2"/>
          </w:tcPr>
          <w:p>
            <w:pPr>
              <w:spacing w:after="0"/>
              <w:rPr>
                <w:sz w:val="20"/>
                <w:szCs w:val="20"/>
                <w:color w:val="auto"/>
              </w:rPr>
            </w:pPr>
            <w:r>
              <w:rPr>
                <w:rFonts w:ascii="Arial" w:cs="Arial" w:eastAsia="Arial" w:hAnsi="Arial"/>
                <w:sz w:val="18"/>
                <w:szCs w:val="18"/>
                <w:color w:val="auto"/>
              </w:rPr>
              <w:t>administrative</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1,183</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763</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5,276</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2,260</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Research and product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development</w:t>
            </w: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1,848</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5,134</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5,782</w:t>
            </w: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tcPr>
          <w:p>
            <w:pPr>
              <w:ind w:left="300"/>
              <w:spacing w:after="0" w:line="201" w:lineRule="exact"/>
              <w:rPr>
                <w:sz w:val="20"/>
                <w:szCs w:val="20"/>
                <w:color w:val="auto"/>
              </w:rPr>
            </w:pPr>
            <w:r>
              <w:rPr>
                <w:rFonts w:ascii="Arial" w:cs="Arial" w:eastAsia="Arial" w:hAnsi="Arial"/>
                <w:sz w:val="18"/>
                <w:szCs w:val="18"/>
                <w:color w:val="auto"/>
              </w:rPr>
              <w:t>Total operating</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96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4,524</w:t>
            </w:r>
          </w:p>
        </w:tc>
        <w:tc>
          <w:tcPr>
            <w:tcW w:w="20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4,615</w:t>
            </w:r>
          </w:p>
        </w:tc>
        <w:tc>
          <w:tcPr>
            <w:tcW w:w="20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15,230</w:t>
            </w:r>
          </w:p>
        </w:tc>
        <w:tc>
          <w:tcPr>
            <w:tcW w:w="20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13,753</w:t>
            </w:r>
          </w:p>
        </w:tc>
        <w:tc>
          <w:tcPr>
            <w:tcW w:w="18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9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6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w:t>
            </w:r>
          </w:p>
        </w:tc>
        <w:tc>
          <w:tcPr>
            <w:tcW w:w="200" w:type="dxa"/>
            <w:vAlign w:val="bottom"/>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200" w:type="dxa"/>
            <w:vAlign w:val="bottom"/>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w:t>
            </w:r>
          </w:p>
        </w:tc>
        <w:tc>
          <w:tcPr>
            <w:tcW w:w="200" w:type="dxa"/>
            <w:vAlign w:val="bottom"/>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1,754</w:t>
            </w:r>
          </w:p>
        </w:tc>
        <w:tc>
          <w:tcPr>
            <w:tcW w:w="180" w:type="dxa"/>
            <w:vAlign w:val="bottom"/>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96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6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200" w:type="dxa"/>
            <w:vAlign w:val="bottom"/>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200" w:type="dxa"/>
            <w:vAlign w:val="bottom"/>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w:t>
            </w:r>
          </w:p>
        </w:tc>
        <w:tc>
          <w:tcPr>
            <w:tcW w:w="200" w:type="dxa"/>
            <w:vAlign w:val="bottom"/>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1,229</w:t>
            </w:r>
          </w:p>
        </w:tc>
        <w:tc>
          <w:tcPr>
            <w:tcW w:w="180" w:type="dxa"/>
            <w:vAlign w:val="bottom"/>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940" w:type="dxa"/>
            <w:vAlign w:val="bottom"/>
          </w:tcPr>
          <w:p>
            <w:pPr>
              <w:spacing w:after="0" w:line="201" w:lineRule="exact"/>
              <w:rPr>
                <w:sz w:val="20"/>
                <w:szCs w:val="20"/>
                <w:color w:val="auto"/>
              </w:rPr>
            </w:pPr>
            <w:r>
              <w:rPr>
                <w:rFonts w:ascii="Arial" w:cs="Arial" w:eastAsia="Arial" w:hAnsi="Arial"/>
                <w:sz w:val="18"/>
                <w:szCs w:val="18"/>
                <w:color w:val="auto"/>
              </w:rPr>
              <w:t>Income from continuing</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w w:val="95"/>
              </w:rPr>
              <w:t>operations before income</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60" w:type="dxa"/>
            <w:vAlign w:val="bottom"/>
            <w:gridSpan w:val="2"/>
          </w:tcPr>
          <w:p>
            <w:pPr>
              <w:spacing w:after="0"/>
              <w:rPr>
                <w:sz w:val="20"/>
                <w:szCs w:val="20"/>
                <w:color w:val="auto"/>
              </w:rPr>
            </w:pPr>
            <w:r>
              <w:rPr>
                <w:rFonts w:ascii="Arial" w:cs="Arial" w:eastAsia="Arial" w:hAnsi="Arial"/>
                <w:sz w:val="18"/>
                <w:szCs w:val="18"/>
                <w:color w:val="auto"/>
              </w:rPr>
              <w:t>taxes</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1,396</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1,127</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2,858</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2,983</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(Provision) for income</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taxes</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tcBorders>
              <w:top w:val="single" w:sz="8" w:color="CCEEFF"/>
            </w:tcBorders>
          </w:tcPr>
          <w:p>
            <w:pPr>
              <w:ind w:left="140"/>
              <w:spacing w:after="0" w:line="201" w:lineRule="exact"/>
              <w:rPr>
                <w:sz w:val="20"/>
                <w:szCs w:val="20"/>
                <w:color w:val="auto"/>
              </w:rPr>
            </w:pPr>
            <w:r>
              <w:rPr>
                <w:rFonts w:ascii="Arial" w:cs="Arial" w:eastAsia="Arial" w:hAnsi="Arial"/>
                <w:sz w:val="18"/>
                <w:szCs w:val="18"/>
                <w:color w:val="auto"/>
                <w:w w:val="95"/>
              </w:rPr>
              <w:t>Income from continuing</w:t>
            </w: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960" w:type="dxa"/>
            <w:vAlign w:val="bottom"/>
            <w:gridSpan w:val="2"/>
          </w:tcPr>
          <w:p>
            <w:pPr>
              <w:spacing w:after="0"/>
              <w:rPr>
                <w:sz w:val="20"/>
                <w:szCs w:val="20"/>
                <w:color w:val="auto"/>
              </w:rPr>
            </w:pPr>
            <w:r>
              <w:rPr>
                <w:rFonts w:ascii="Arial" w:cs="Arial" w:eastAsia="Arial" w:hAnsi="Arial"/>
                <w:sz w:val="18"/>
                <w:szCs w:val="18"/>
                <w:color w:val="auto"/>
              </w:rPr>
              <w:t>operations</w:t>
            </w:r>
          </w:p>
        </w:tc>
        <w:tc>
          <w:tcPr>
            <w:tcW w:w="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w:t>
            </w:r>
          </w:p>
        </w:tc>
        <w:tc>
          <w:tcPr>
            <w:tcW w:w="20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w:t>
            </w:r>
          </w:p>
        </w:tc>
        <w:tc>
          <w:tcPr>
            <w:tcW w:w="20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1,903</w:t>
            </w:r>
          </w:p>
        </w:tc>
        <w:tc>
          <w:tcPr>
            <w:tcW w:w="20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2,680</w:t>
            </w:r>
          </w:p>
        </w:tc>
        <w:tc>
          <w:tcPr>
            <w:tcW w:w="18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940" w:type="dxa"/>
            <w:vAlign w:val="bottom"/>
          </w:tcPr>
          <w:p>
            <w:pPr>
              <w:spacing w:after="0" w:line="201" w:lineRule="exact"/>
              <w:rPr>
                <w:sz w:val="20"/>
                <w:szCs w:val="20"/>
                <w:color w:val="auto"/>
              </w:rPr>
            </w:pPr>
            <w:r>
              <w:rPr>
                <w:rFonts w:ascii="Arial" w:cs="Arial" w:eastAsia="Arial" w:hAnsi="Arial"/>
                <w:sz w:val="18"/>
                <w:szCs w:val="18"/>
                <w:color w:val="auto"/>
                <w:w w:val="93"/>
              </w:rPr>
              <w:t>Income from discontinued</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960" w:type="dxa"/>
            <w:vAlign w:val="bottom"/>
            <w:gridSpan w:val="2"/>
          </w:tcPr>
          <w:p>
            <w:pPr>
              <w:spacing w:after="0"/>
              <w:rPr>
                <w:sz w:val="20"/>
                <w:szCs w:val="20"/>
                <w:color w:val="auto"/>
              </w:rPr>
            </w:pPr>
            <w:r>
              <w:rPr>
                <w:rFonts w:ascii="Arial" w:cs="Arial" w:eastAsia="Arial" w:hAnsi="Arial"/>
                <w:sz w:val="18"/>
                <w:szCs w:val="18"/>
                <w:color w:val="auto"/>
              </w:rPr>
              <w:t>operations:</w:t>
            </w:r>
          </w:p>
        </w:tc>
        <w:tc>
          <w:tcPr>
            <w:tcW w:w="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20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18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40" w:type="dxa"/>
            <w:vAlign w:val="bottom"/>
          </w:tcPr>
          <w:p>
            <w:pPr>
              <w:ind w:left="460"/>
              <w:spacing w:after="0"/>
              <w:rPr>
                <w:sz w:val="20"/>
                <w:szCs w:val="20"/>
                <w:color w:val="auto"/>
              </w:rPr>
            </w:pPr>
            <w:r>
              <w:rPr>
                <w:rFonts w:ascii="Arial" w:cs="Arial" w:eastAsia="Arial" w:hAnsi="Arial"/>
                <w:sz w:val="18"/>
                <w:szCs w:val="18"/>
                <w:color w:val="auto"/>
              </w:rPr>
              <w:t>Net income</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1,061</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1,223</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1,919</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2,984</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80" w:type="dxa"/>
            <w:vAlign w:val="bottom"/>
            <w:gridSpan w:val="3"/>
          </w:tcPr>
          <w:p>
            <w:pPr>
              <w:spacing w:after="0"/>
              <w:rPr>
                <w:sz w:val="18"/>
                <w:szCs w:val="18"/>
                <w:color w:val="auto"/>
              </w:rPr>
            </w:pPr>
          </w:p>
        </w:tc>
        <w:tc>
          <w:tcPr>
            <w:tcW w:w="9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0" w:type="dxa"/>
            <w:vAlign w:val="bottom"/>
            <w:gridSpan w:val="3"/>
          </w:tcPr>
          <w:p>
            <w:pPr>
              <w:spacing w:after="0"/>
              <w:rPr>
                <w:sz w:val="18"/>
                <w:szCs w:val="18"/>
                <w:color w:val="auto"/>
              </w:rPr>
            </w:pPr>
          </w:p>
        </w:tc>
        <w:tc>
          <w:tcPr>
            <w:tcW w:w="9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6"/>
          </w:tcPr>
          <w:p>
            <w:pPr>
              <w:jc w:val="center"/>
              <w:ind w:right="1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6"/>
          </w:tcPr>
          <w:p>
            <w:pPr>
              <w:jc w:val="center"/>
              <w:ind w:right="10"/>
              <w:spacing w:after="0"/>
              <w:rPr>
                <w:sz w:val="20"/>
                <w:szCs w:val="20"/>
                <w:color w:val="auto"/>
              </w:rPr>
            </w:pPr>
            <w:r>
              <w:rPr>
                <w:rFonts w:ascii="Arial" w:cs="Arial" w:eastAsia="Arial" w:hAnsi="Arial"/>
                <w:sz w:val="18"/>
                <w:szCs w:val="18"/>
                <w:b w:val="1"/>
                <w:bCs w:val="1"/>
                <w:color w:val="auto"/>
                <w:w w:val="91"/>
              </w:rPr>
              <w:t>Nine Months Ended</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b w:val="1"/>
                <w:bCs w:val="1"/>
                <w:color w:val="auto"/>
                <w:w w:val="93"/>
              </w:rPr>
              <w:t>March 31,</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b w:val="1"/>
                <w:bCs w:val="1"/>
                <w:color w:val="auto"/>
                <w:w w:val="93"/>
              </w:rPr>
              <w:t>March 31,</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b w:val="1"/>
                <w:bCs w:val="1"/>
                <w:color w:val="auto"/>
                <w:w w:val="93"/>
              </w:rPr>
              <w:t>March 31,</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b w:val="1"/>
                <w:bCs w:val="1"/>
                <w:color w:val="auto"/>
                <w:w w:val="96"/>
              </w:rPr>
              <w:t>March 31,</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2008</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2007</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2008</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2007</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940" w:type="dxa"/>
            <w:vAlign w:val="bottom"/>
          </w:tcPr>
          <w:p>
            <w:pPr>
              <w:spacing w:after="0" w:line="201" w:lineRule="exact"/>
              <w:rPr>
                <w:sz w:val="20"/>
                <w:szCs w:val="20"/>
                <w:color w:val="auto"/>
              </w:rPr>
            </w:pPr>
            <w:r>
              <w:rPr>
                <w:rFonts w:ascii="Arial" w:cs="Arial" w:eastAsia="Arial" w:hAnsi="Arial"/>
                <w:sz w:val="18"/>
                <w:szCs w:val="18"/>
                <w:color w:val="auto"/>
              </w:rPr>
              <w:t>Diluted earnings per</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common share from</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60" w:type="dxa"/>
            <w:vAlign w:val="bottom"/>
            <w:gridSpan w:val="2"/>
          </w:tcPr>
          <w:p>
            <w:pPr>
              <w:spacing w:after="0"/>
              <w:rPr>
                <w:sz w:val="20"/>
                <w:szCs w:val="20"/>
                <w:color w:val="auto"/>
              </w:rPr>
            </w:pPr>
            <w:r>
              <w:rPr>
                <w:rFonts w:ascii="Arial" w:cs="Arial" w:eastAsia="Arial" w:hAnsi="Arial"/>
                <w:sz w:val="18"/>
                <w:szCs w:val="18"/>
                <w:color w:val="auto"/>
              </w:rPr>
              <w:t>continuing operations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0.10</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0.09</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0.18</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0.23</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940" w:type="dxa"/>
            <w:vAlign w:val="bottom"/>
          </w:tcPr>
          <w:p>
            <w:pPr>
              <w:spacing w:after="0" w:line="201" w:lineRule="exact"/>
              <w:rPr>
                <w:sz w:val="20"/>
                <w:szCs w:val="20"/>
                <w:color w:val="auto"/>
              </w:rPr>
            </w:pPr>
            <w:r>
              <w:rPr>
                <w:rFonts w:ascii="Arial" w:cs="Arial" w:eastAsia="Arial" w:hAnsi="Arial"/>
                <w:sz w:val="18"/>
                <w:szCs w:val="18"/>
                <w:color w:val="auto"/>
              </w:rPr>
              <w:t>Diluted earnings per</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common share from</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60" w:type="dxa"/>
            <w:vAlign w:val="bottom"/>
            <w:gridSpan w:val="2"/>
          </w:tcPr>
          <w:p>
            <w:pPr>
              <w:spacing w:after="0"/>
              <w:rPr>
                <w:sz w:val="20"/>
                <w:szCs w:val="20"/>
                <w:color w:val="auto"/>
              </w:rPr>
            </w:pPr>
            <w:r>
              <w:rPr>
                <w:rFonts w:ascii="Arial" w:cs="Arial" w:eastAsia="Arial" w:hAnsi="Arial"/>
                <w:sz w:val="18"/>
                <w:szCs w:val="18"/>
                <w:color w:val="auto"/>
              </w:rPr>
              <w:t>discontinued operations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0.02</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0.03</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940" w:type="dxa"/>
            <w:vAlign w:val="bottom"/>
          </w:tcPr>
          <w:p>
            <w:pPr>
              <w:spacing w:after="0" w:line="201" w:lineRule="exact"/>
              <w:rPr>
                <w:sz w:val="20"/>
                <w:szCs w:val="20"/>
                <w:color w:val="auto"/>
              </w:rPr>
            </w:pPr>
            <w:r>
              <w:rPr>
                <w:rFonts w:ascii="Arial" w:cs="Arial" w:eastAsia="Arial" w:hAnsi="Arial"/>
                <w:sz w:val="18"/>
                <w:szCs w:val="18"/>
                <w:color w:val="auto"/>
              </w:rPr>
              <w:t>Diluted earnings per</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60" w:type="dxa"/>
            <w:vAlign w:val="bottom"/>
            <w:gridSpan w:val="2"/>
          </w:tcPr>
          <w:p>
            <w:pPr>
              <w:spacing w:after="0"/>
              <w:rPr>
                <w:sz w:val="20"/>
                <w:szCs w:val="20"/>
                <w:color w:val="auto"/>
              </w:rPr>
            </w:pPr>
            <w:r>
              <w:rPr>
                <w:rFonts w:ascii="Arial" w:cs="Arial" w:eastAsia="Arial" w:hAnsi="Arial"/>
                <w:sz w:val="18"/>
                <w:szCs w:val="18"/>
                <w:color w:val="auto"/>
              </w:rPr>
              <w:t>common share</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0.10</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0.11</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0.18</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0.25</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940" w:type="dxa"/>
            <w:vAlign w:val="bottom"/>
          </w:tcPr>
          <w:p>
            <w:pPr>
              <w:spacing w:after="0" w:line="201" w:lineRule="exact"/>
              <w:rPr>
                <w:sz w:val="20"/>
                <w:szCs w:val="20"/>
                <w:color w:val="auto"/>
              </w:rPr>
            </w:pPr>
            <w:r>
              <w:rPr>
                <w:rFonts w:ascii="Arial" w:cs="Arial" w:eastAsia="Arial" w:hAnsi="Arial"/>
                <w:sz w:val="18"/>
                <w:szCs w:val="18"/>
                <w:color w:val="auto"/>
              </w:rPr>
              <w:t>Basic weighted average</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60" w:type="dxa"/>
            <w:vAlign w:val="bottom"/>
            <w:gridSpan w:val="2"/>
          </w:tcPr>
          <w:p>
            <w:pPr>
              <w:spacing w:after="0"/>
              <w:rPr>
                <w:sz w:val="20"/>
                <w:szCs w:val="20"/>
                <w:color w:val="auto"/>
              </w:rPr>
            </w:pPr>
            <w:r>
              <w:rPr>
                <w:rFonts w:ascii="Arial" w:cs="Arial" w:eastAsia="Arial" w:hAnsi="Arial"/>
                <w:sz w:val="18"/>
                <w:szCs w:val="18"/>
                <w:color w:val="auto"/>
              </w:rPr>
              <w:t>shares</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10,651,352</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10,994,607</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10,818,205</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11,705,853</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Diluted weighted average</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shares</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10,747,317</w:t>
            </w: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11,101,791</w:t>
            </w: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10,921,932</w:t>
            </w: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11,770,145</w:t>
            </w: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w:t>
      </w:r>
    </w:p>
    <w:sectPr>
      <w:pgSz w:w="11900" w:h="16838" w:orient="portrait"/>
      <w:cols w:equalWidth="0" w:num="1">
        <w:col w:w="10280"/>
      </w:cols>
      <w:pgMar w:left="820" w:top="607" w:right="799" w:bottom="66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2019-12-13T18:13:01Z</dcterms:created>
  <dcterms:modified xsi:type="dcterms:W3CDTF">2019-12-13T18:13:01Z</dcterms:modified>
</cp:coreProperties>
</file>