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 PURSUANT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TO SECTION 13 OR 15(D) OF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21"/>
          <w:szCs w:val="21"/>
          <w:b w:val="1"/>
          <w:bCs w:val="1"/>
          <w:u w:val="single" w:color="auto"/>
          <w:color w:val="auto"/>
        </w:rPr>
        <w:t>February 20, 2013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u w:val="single" w:color="auto"/>
          <w:color w:val="auto"/>
        </w:rPr>
        <w:t>ClearOne Inc.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(Exact Name of Registrant as Specified in Its Charter)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(State or Other Jurisdiction of Incorporation)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20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2"/>
        </w:trPr>
        <w:tc>
          <w:tcPr>
            <w:tcW w:w="2900" w:type="dxa"/>
            <w:vAlign w:val="bottom"/>
            <w:tcBorders>
              <w:top w:val="single" w:sz="8" w:color="808080"/>
              <w:left w:val="single" w:sz="8" w:color="808080"/>
            </w:tcBorders>
            <w:gridSpan w:val="3"/>
          </w:tcPr>
          <w:p>
            <w:pPr>
              <w:jc w:val="center"/>
              <w:ind w:left="20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001-33660</w:t>
            </w: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808080"/>
              <w:right w:val="single" w:sz="8" w:color="808080"/>
            </w:tcBorders>
            <w:gridSpan w:val="5"/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87-0398877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jc w:val="center"/>
              <w:ind w:righ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(Commission File Number)</w:t>
            </w:r>
          </w:p>
        </w:tc>
        <w:tc>
          <w:tcPr>
            <w:tcW w:w="1940" w:type="dxa"/>
            <w:vAlign w:val="bottom"/>
            <w:tcBorders>
              <w:right w:val="single" w:sz="8" w:color="808080"/>
            </w:tcBorders>
            <w:gridSpan w:val="5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(I.R.S. employer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808080"/>
            </w:tcBorders>
            <w:gridSpan w:val="5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identification number)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7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5225 Wiley Post Way, Suite 500, Salt Lake City, Utah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3"/>
              </w:rPr>
              <w:t>84116</w:t>
            </w: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8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jc w:val="center"/>
              <w:ind w:righ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Address of principal executive offices)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808080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 Code)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8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2"/>
        </w:trPr>
        <w:tc>
          <w:tcPr>
            <w:tcW w:w="4280" w:type="dxa"/>
            <w:vAlign w:val="bottom"/>
            <w:gridSpan w:val="5"/>
          </w:tcPr>
          <w:p>
            <w:pPr>
              <w:jc w:val="center"/>
              <w:ind w:left="30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(801) 975-7200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(Registrant’s Telephone Number, Including Area Code)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Not applicable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Written communications pursuant to Rule 425 under the Securities Act (17 CFR 230.425)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240.14a-12)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[</w:t>
            </w:r>
          </w:p>
        </w:tc>
        <w:tc>
          <w:tcPr>
            <w:tcW w:w="8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] Pre-commencement communications pursuant to Rule 14d-2(b) under the Exchange Act (17 CFR 240.14d-2(b))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[</w:t>
            </w:r>
          </w:p>
        </w:tc>
        <w:tc>
          <w:tcPr>
            <w:tcW w:w="8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] Pre-commencement communication pursuant to Rule 13e-4(c) under the Exchange Act (17 CFR 240.13e-4(c))</w:t>
            </w:r>
          </w:p>
        </w:tc>
      </w:tr>
      <w:tr>
        <w:trPr>
          <w:trHeight w:val="432"/>
        </w:trPr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Item 8.01.</w:t>
            </w:r>
          </w:p>
        </w:tc>
        <w:tc>
          <w:tcPr>
            <w:tcW w:w="7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Other Events.</w:t>
            </w:r>
          </w:p>
        </w:tc>
      </w:tr>
    </w:tbl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2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16, 2012 the Board of Directors of ClearOne Inc. (the “Board”) had authorized a stock buy-back program to acquire up to $2,000,000 in the Company’s common stock during the next twelve months. On July 30, 2012 the Board authorized to increase the amount available for the stock buy-back program from $2,000,000 to $3,000,000.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February 20, 2013, the Board authorized to increase the amount available for the stock buy-back program from $3,000,000 to $10,000,000.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All purchases will be executed in accordance with applicable federal securities laws.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117475</wp:posOffset>
            </wp:positionV>
            <wp:extent cx="5497195" cy="1269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195" cy="1269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CLEARONE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8" w:lineRule="exact"/>
        <w:rPr>
          <w:sz w:val="24"/>
          <w:szCs w:val="24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February 21, 2013</w:t>
            </w:r>
          </w:p>
        </w:tc>
        <w:tc>
          <w:tcPr>
            <w:tcW w:w="14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/s/ Zeynep Hakimoglu</w:t>
            </w:r>
          </w:p>
        </w:tc>
      </w:tr>
      <w:tr>
        <w:trPr>
          <w:trHeight w:val="23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Zeynep Hakimoglu</w:t>
            </w:r>
          </w:p>
        </w:tc>
      </w:tr>
      <w:tr>
        <w:trPr>
          <w:trHeight w:val="24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President &amp; CEO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1300"/>
      </w:cols>
      <w:pgMar w:left="240" w:top="220" w:right="359" w:bottom="954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2019-12-06T03:00:34Z</dcterms:created>
  <dcterms:modified xsi:type="dcterms:W3CDTF">2019-12-06T03:00:34Z</dcterms:modified>
</cp:coreProperties>
</file>