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12, 2021 (November 12,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ClearOne,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Borders>
              <w:bottom w:val="single" w:sz="8" w:color="auto"/>
            </w:tcBorders>
          </w:tcPr>
          <w:p>
            <w:pPr>
              <w:jc w:val="center"/>
              <w:ind w:right="570"/>
              <w:spacing w:after="0"/>
              <w:rPr>
                <w:sz w:val="20"/>
                <w:szCs w:val="20"/>
                <w:color w:val="auto"/>
              </w:rPr>
            </w:pPr>
            <w:r>
              <w:rPr>
                <w:rFonts w:ascii="Arial" w:cs="Arial" w:eastAsia="Arial" w:hAnsi="Arial"/>
                <w:sz w:val="18"/>
                <w:szCs w:val="18"/>
                <w:b w:val="1"/>
                <w:bCs w:val="1"/>
                <w:color w:val="auto"/>
                <w:w w:val="91"/>
              </w:rPr>
              <w:t>Delaware</w:t>
            </w:r>
          </w:p>
        </w:tc>
        <w:tc>
          <w:tcPr>
            <w:tcW w:w="22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001-33660</w:t>
            </w: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b w:val="1"/>
                <w:bCs w:val="1"/>
                <w:color w:val="auto"/>
              </w:rPr>
              <w:t>87-0398877</w:t>
            </w:r>
          </w:p>
        </w:tc>
      </w:tr>
      <w:tr>
        <w:trPr>
          <w:trHeight w:val="224"/>
        </w:trPr>
        <w:tc>
          <w:tcPr>
            <w:tcW w:w="5180" w:type="dxa"/>
            <w:vAlign w:val="bottom"/>
          </w:tcPr>
          <w:p>
            <w:pPr>
              <w:jc w:val="center"/>
              <w:ind w:right="530"/>
              <w:spacing w:after="0"/>
              <w:rPr>
                <w:sz w:val="20"/>
                <w:szCs w:val="20"/>
                <w:color w:val="auto"/>
              </w:rPr>
            </w:pPr>
            <w:r>
              <w:rPr>
                <w:rFonts w:ascii="Arial" w:cs="Arial" w:eastAsia="Arial" w:hAnsi="Arial"/>
                <w:sz w:val="18"/>
                <w:szCs w:val="18"/>
                <w:color w:val="auto"/>
                <w:w w:val="92"/>
              </w:rPr>
              <w:t>(State or Other Jurisdiction of Incorporation)</w:t>
            </w:r>
          </w:p>
        </w:tc>
        <w:tc>
          <w:tcPr>
            <w:tcW w:w="24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(Commission File Number)</w:t>
            </w:r>
          </w:p>
        </w:tc>
        <w:tc>
          <w:tcPr>
            <w:tcW w:w="3600" w:type="dxa"/>
            <w:vAlign w:val="bottom"/>
          </w:tcPr>
          <w:p>
            <w:pPr>
              <w:jc w:val="center"/>
              <w:ind w:left="17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76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3600" w:type="dxa"/>
            <w:vAlign w:val="bottom"/>
          </w:tcPr>
          <w:p>
            <w:pPr>
              <w:jc w:val="right"/>
              <w:ind w:right="1490"/>
              <w:spacing w:after="0"/>
              <w:rPr>
                <w:sz w:val="20"/>
                <w:szCs w:val="20"/>
                <w:color w:val="auto"/>
              </w:rPr>
            </w:pPr>
            <w:r>
              <w:rPr>
                <w:rFonts w:ascii="Arial" w:cs="Arial" w:eastAsia="Arial" w:hAnsi="Arial"/>
                <w:sz w:val="18"/>
                <w:szCs w:val="18"/>
                <w:b w:val="1"/>
                <w:bCs w:val="1"/>
                <w:color w:val="auto"/>
              </w:rPr>
              <w:t>84116</w:t>
            </w:r>
          </w:p>
        </w:tc>
      </w:tr>
      <w:tr>
        <w:trPr>
          <w:trHeight w:val="224"/>
        </w:trPr>
        <w:tc>
          <w:tcPr>
            <w:tcW w:w="5180" w:type="dxa"/>
            <w:vAlign w:val="bottom"/>
            <w:tcBorders>
              <w:top w:val="single" w:sz="8" w:color="auto"/>
            </w:tcBorders>
          </w:tcPr>
          <w:p>
            <w:pPr>
              <w:jc w:val="center"/>
              <w:ind w:left="2170"/>
              <w:spacing w:after="0"/>
              <w:rPr>
                <w:sz w:val="20"/>
                <w:szCs w:val="20"/>
                <w:color w:val="auto"/>
              </w:rPr>
            </w:pPr>
            <w:r>
              <w:rPr>
                <w:rFonts w:ascii="Arial" w:cs="Arial" w:eastAsia="Arial" w:hAnsi="Arial"/>
                <w:sz w:val="18"/>
                <w:szCs w:val="18"/>
                <w:color w:val="auto"/>
                <w:w w:val="92"/>
              </w:rPr>
              <w:t>(Address of principal executive offices)</w:t>
            </w:r>
          </w:p>
        </w:tc>
        <w:tc>
          <w:tcPr>
            <w:tcW w:w="22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+1 (801) 975-7200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13e-4(c) under the Exchange Act (17 CFR 240.13e-4(c))</w:t>
      </w:r>
    </w:p>
    <w:p>
      <w:pPr>
        <w:spacing w:after="0" w:line="200" w:lineRule="exact"/>
        <w:rPr>
          <w:sz w:val="24"/>
          <w:szCs w:val="24"/>
          <w:color w:val="auto"/>
        </w:rPr>
      </w:pPr>
    </w:p>
    <w:p>
      <w:pPr>
        <w:spacing w:after="0" w:line="201" w:lineRule="exact"/>
        <w:rPr>
          <w:sz w:val="24"/>
          <w:szCs w:val="24"/>
          <w:color w:val="auto"/>
        </w:rPr>
      </w:pPr>
    </w:p>
    <w:p>
      <w:pPr>
        <w:ind w:right="520"/>
        <w:spacing w:after="0" w:line="233" w:lineRule="exact"/>
        <w:rPr>
          <w:sz w:val="20"/>
          <w:szCs w:val="20"/>
          <w:color w:val="auto"/>
        </w:rPr>
      </w:pPr>
      <w:r>
        <w:rPr>
          <w:rFonts w:ascii="Arial" w:cs="Arial" w:eastAsia="Arial" w:hAnsi="Arial"/>
          <w:sz w:val="17"/>
          <w:szCs w:val="17"/>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8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00" w:type="dxa"/>
            <w:vAlign w:val="bottom"/>
            <w:gridSpan w:val="4"/>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740" w:type="dxa"/>
            <w:vAlign w:val="bottom"/>
          </w:tcPr>
          <w:p>
            <w:pPr>
              <w:spacing w:after="0"/>
              <w:rPr>
                <w:sz w:val="20"/>
                <w:szCs w:val="20"/>
                <w:color w:val="auto"/>
              </w:rPr>
            </w:pPr>
          </w:p>
        </w:tc>
      </w:tr>
      <w:tr>
        <w:trPr>
          <w:trHeight w:val="243"/>
        </w:trPr>
        <w:tc>
          <w:tcPr>
            <w:tcW w:w="60" w:type="dxa"/>
            <w:vAlign w:val="bottom"/>
          </w:tcPr>
          <w:p>
            <w:pPr>
              <w:spacing w:after="0"/>
              <w:rPr>
                <w:sz w:val="21"/>
                <w:szCs w:val="21"/>
                <w:color w:val="auto"/>
              </w:rPr>
            </w:pPr>
          </w:p>
        </w:tc>
        <w:tc>
          <w:tcPr>
            <w:tcW w:w="3760" w:type="dxa"/>
            <w:vAlign w:val="bottom"/>
            <w:gridSpan w:val="2"/>
          </w:tcPr>
          <w:p>
            <w:pPr>
              <w:spacing w:after="0"/>
              <w:rPr>
                <w:sz w:val="21"/>
                <w:szCs w:val="21"/>
                <w:color w:val="auto"/>
              </w:rPr>
            </w:pPr>
          </w:p>
        </w:tc>
        <w:tc>
          <w:tcPr>
            <w:tcW w:w="78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740" w:type="dxa"/>
            <w:vAlign w:val="bottom"/>
          </w:tcPr>
          <w:p>
            <w:pPr>
              <w:spacing w:after="0"/>
              <w:rPr>
                <w:sz w:val="21"/>
                <w:szCs w:val="21"/>
                <w:color w:val="auto"/>
              </w:rPr>
            </w:pPr>
          </w:p>
        </w:tc>
      </w:tr>
      <w:tr>
        <w:trPr>
          <w:trHeight w:val="210"/>
        </w:trPr>
        <w:tc>
          <w:tcPr>
            <w:tcW w:w="60" w:type="dxa"/>
            <w:vAlign w:val="bottom"/>
            <w:tcBorders>
              <w:right w:val="single" w:sz="8" w:color="auto"/>
            </w:tcBorders>
          </w:tcPr>
          <w:p>
            <w:pPr>
              <w:spacing w:after="0"/>
              <w:rPr>
                <w:sz w:val="18"/>
                <w:szCs w:val="18"/>
                <w:color w:val="auto"/>
              </w:rPr>
            </w:pPr>
          </w:p>
        </w:tc>
        <w:tc>
          <w:tcPr>
            <w:tcW w:w="3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40" w:type="dxa"/>
            <w:vAlign w:val="bottom"/>
            <w:tcBorders>
              <w:right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60" w:type="dxa"/>
            <w:vAlign w:val="bottom"/>
            <w:tcBorders>
              <w:top w:val="single" w:sz="8" w:color="auto"/>
            </w:tcBorders>
          </w:tcPr>
          <w:p>
            <w:pPr>
              <w:jc w:val="center"/>
              <w:ind w:right="690"/>
              <w:spacing w:after="0"/>
              <w:rPr>
                <w:sz w:val="20"/>
                <w:szCs w:val="20"/>
                <w:color w:val="auto"/>
              </w:rPr>
            </w:pPr>
            <w:r>
              <w:rPr>
                <w:rFonts w:ascii="Arial" w:cs="Arial" w:eastAsia="Arial" w:hAnsi="Arial"/>
                <w:sz w:val="18"/>
                <w:szCs w:val="18"/>
                <w:color w:val="auto"/>
                <w:w w:val="92"/>
              </w:rPr>
              <w:t>Trading Symbol(s)</w:t>
            </w:r>
          </w:p>
        </w:tc>
        <w:tc>
          <w:tcPr>
            <w:tcW w:w="40" w:type="dxa"/>
            <w:vAlign w:val="bottom"/>
            <w:tcBorders>
              <w:right w:val="single" w:sz="8" w:color="auto"/>
            </w:tcBorders>
          </w:tcPr>
          <w:p>
            <w:pPr>
              <w:spacing w:after="0"/>
              <w:rPr>
                <w:sz w:val="18"/>
                <w:szCs w:val="18"/>
                <w:color w:val="auto"/>
              </w:rPr>
            </w:pPr>
          </w:p>
        </w:tc>
        <w:tc>
          <w:tcPr>
            <w:tcW w:w="3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44"/>
        </w:trPr>
        <w:tc>
          <w:tcPr>
            <w:tcW w:w="60" w:type="dxa"/>
            <w:vAlign w:val="bottom"/>
          </w:tcPr>
          <w:p>
            <w:pPr>
              <w:spacing w:after="0"/>
              <w:rPr>
                <w:sz w:val="3"/>
                <w:szCs w:val="3"/>
                <w:color w:val="auto"/>
              </w:rPr>
            </w:pPr>
          </w:p>
        </w:tc>
        <w:tc>
          <w:tcPr>
            <w:tcW w:w="4540" w:type="dxa"/>
            <w:vAlign w:val="bottom"/>
            <w:gridSpan w:val="3"/>
          </w:tcPr>
          <w:p>
            <w:pPr>
              <w:spacing w:after="0"/>
              <w:rPr>
                <w:sz w:val="3"/>
                <w:szCs w:val="3"/>
                <w:color w:val="auto"/>
              </w:rPr>
            </w:pPr>
          </w:p>
        </w:tc>
        <w:tc>
          <w:tcPr>
            <w:tcW w:w="2860" w:type="dxa"/>
            <w:vAlign w:val="bottom"/>
          </w:tcPr>
          <w:p>
            <w:pPr>
              <w:spacing w:after="0"/>
              <w:rPr>
                <w:sz w:val="3"/>
                <w:szCs w:val="3"/>
                <w:color w:val="auto"/>
              </w:rPr>
            </w:pPr>
          </w:p>
        </w:tc>
        <w:tc>
          <w:tcPr>
            <w:tcW w:w="40" w:type="dxa"/>
            <w:vAlign w:val="bottom"/>
          </w:tcPr>
          <w:p>
            <w:pPr>
              <w:spacing w:after="0"/>
              <w:rPr>
                <w:sz w:val="3"/>
                <w:szCs w:val="3"/>
                <w:color w:val="auto"/>
              </w:rPr>
            </w:pPr>
          </w:p>
        </w:tc>
        <w:tc>
          <w:tcPr>
            <w:tcW w:w="3740" w:type="dxa"/>
            <w:vAlign w:val="bottom"/>
          </w:tcPr>
          <w:p>
            <w:pPr>
              <w:spacing w:after="0"/>
              <w:rPr>
                <w:sz w:val="3"/>
                <w:szCs w:val="3"/>
                <w:color w:val="auto"/>
              </w:rPr>
            </w:pPr>
          </w:p>
        </w:tc>
      </w:tr>
      <w:tr>
        <w:trPr>
          <w:trHeight w:val="203"/>
        </w:trPr>
        <w:tc>
          <w:tcPr>
            <w:tcW w:w="60" w:type="dxa"/>
            <w:vAlign w:val="bottom"/>
            <w:tcBorders>
              <w:right w:val="single" w:sz="8" w:color="auto"/>
            </w:tcBorders>
          </w:tcPr>
          <w:p>
            <w:pPr>
              <w:spacing w:after="0"/>
              <w:rPr>
                <w:sz w:val="17"/>
                <w:szCs w:val="17"/>
                <w:color w:val="auto"/>
              </w:rPr>
            </w:pPr>
          </w:p>
        </w:tc>
        <w:tc>
          <w:tcPr>
            <w:tcW w:w="3720" w:type="dxa"/>
            <w:vAlign w:val="bottom"/>
            <w:tcBorders>
              <w:top w:val="single" w:sz="8" w:color="auto"/>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0"/>
              </w:rPr>
              <w:t>Common Stock, $0.001</w:t>
            </w:r>
          </w:p>
        </w:tc>
        <w:tc>
          <w:tcPr>
            <w:tcW w:w="40" w:type="dxa"/>
            <w:vAlign w:val="bottom"/>
            <w:tcBorders>
              <w:right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2860" w:type="dxa"/>
            <w:vAlign w:val="bottom"/>
            <w:tcBorders>
              <w:top w:val="single" w:sz="8" w:color="auto"/>
              <w:bottom w:val="single" w:sz="8" w:color="auto"/>
            </w:tcBorders>
          </w:tcPr>
          <w:p>
            <w:pPr>
              <w:jc w:val="center"/>
              <w:ind w:right="690"/>
              <w:spacing w:after="0" w:line="203" w:lineRule="exact"/>
              <w:rPr>
                <w:sz w:val="20"/>
                <w:szCs w:val="20"/>
                <w:color w:val="auto"/>
              </w:rPr>
            </w:pPr>
            <w:r>
              <w:rPr>
                <w:rFonts w:ascii="Arial" w:cs="Arial" w:eastAsia="Arial" w:hAnsi="Arial"/>
                <w:sz w:val="18"/>
                <w:szCs w:val="18"/>
                <w:color w:val="auto"/>
                <w:w w:val="95"/>
              </w:rPr>
              <w:t>CLRO</w:t>
            </w:r>
          </w:p>
        </w:tc>
        <w:tc>
          <w:tcPr>
            <w:tcW w:w="40" w:type="dxa"/>
            <w:vAlign w:val="bottom"/>
            <w:tcBorders>
              <w:right w:val="single" w:sz="8" w:color="auto"/>
            </w:tcBorders>
          </w:tcPr>
          <w:p>
            <w:pPr>
              <w:spacing w:after="0"/>
              <w:rPr>
                <w:sz w:val="17"/>
                <w:szCs w:val="17"/>
                <w:color w:val="auto"/>
              </w:rPr>
            </w:pPr>
          </w:p>
        </w:tc>
        <w:tc>
          <w:tcPr>
            <w:tcW w:w="3740" w:type="dxa"/>
            <w:vAlign w:val="bottom"/>
            <w:tcBorders>
              <w:top w:val="single" w:sz="8" w:color="auto"/>
              <w:bottom w:val="single" w:sz="8" w:color="auto"/>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5"/>
              </w:rPr>
              <w:t>The NASDAQ Capital Market</w:t>
            </w:r>
          </w:p>
        </w:tc>
      </w:tr>
    </w:tbl>
    <w:p>
      <w:pPr>
        <w:spacing w:after="0" w:line="225" w:lineRule="exact"/>
        <w:rPr>
          <w:sz w:val="24"/>
          <w:szCs w:val="24"/>
          <w:color w:val="auto"/>
        </w:rPr>
      </w:pPr>
    </w:p>
    <w:p>
      <w:pPr>
        <w:ind w:right="520"/>
        <w:spacing w:after="0" w:line="224" w:lineRule="exact"/>
        <w:rPr>
          <w:sz w:val="20"/>
          <w:szCs w:val="20"/>
          <w:color w:val="auto"/>
        </w:rPr>
      </w:pPr>
      <w:r>
        <w:rPr>
          <w:rFonts w:ascii="Arial" w:cs="Arial" w:eastAsia="Arial" w:hAnsi="Arial"/>
          <w:sz w:val="17"/>
          <w:szCs w:val="17"/>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ind w:right="16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34925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On November 12, 2021, ClearOne, Inc. (the “Company”) issued a press release announcing its financial results for the three and nine months ended September 30, 2021. The full text of the press release is attached as Exhibit 99.1.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56" w:lineRule="exact"/>
        <w:rPr>
          <w:sz w:val="20"/>
          <w:szCs w:val="20"/>
          <w:color w:val="auto"/>
        </w:rPr>
      </w:pPr>
    </w:p>
    <w:p>
      <w:pPr>
        <w:spacing w:after="0"/>
        <w:tabs>
          <w:tab w:leader="none" w:pos="1280" w:val="left"/>
        </w:tabs>
        <w:rPr>
          <w:rFonts w:ascii="Arial" w:cs="Arial" w:eastAsia="Arial" w:hAnsi="Arial"/>
          <w:sz w:val="15"/>
          <w:szCs w:val="15"/>
          <w:u w:val="single" w:color="auto"/>
          <w:color w:val="0000EE"/>
        </w:rPr>
      </w:pPr>
      <w:r>
        <w:rPr>
          <w:rFonts w:ascii="Arial" w:cs="Arial" w:eastAsia="Arial" w:hAnsi="Arial"/>
          <w:sz w:val="18"/>
          <w:szCs w:val="18"/>
          <w:color w:val="auto"/>
        </w:rPr>
        <w:t>Exhibit 99.1</w:t>
      </w:r>
      <w:r>
        <w:rPr>
          <w:sz w:val="20"/>
          <w:szCs w:val="20"/>
          <w:color w:val="auto"/>
        </w:rPr>
        <w:tab/>
      </w:r>
      <w:hyperlink w:anchor="page4">
        <w:r>
          <w:rPr>
            <w:rFonts w:ascii="Arial" w:cs="Arial" w:eastAsia="Arial" w:hAnsi="Arial"/>
            <w:sz w:val="15"/>
            <w:szCs w:val="15"/>
            <w:u w:val="single" w:color="auto"/>
            <w:color w:val="0000EE"/>
          </w:rPr>
          <w:t>Press Release of ClearOne, Inc. dated November 12, 2021.</w:t>
        </w:r>
      </w:hyperlink>
    </w:p>
    <w:p>
      <w:pPr>
        <w:spacing w:after="0" w:line="2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Exhibit 104.1</w:t>
      </w:r>
      <w:r>
        <w:rPr>
          <w:sz w:val="20"/>
          <w:szCs w:val="20"/>
          <w:color w:val="auto"/>
        </w:rPr>
        <w:tab/>
      </w:r>
      <w:r>
        <w:rPr>
          <w:rFonts w:ascii="Arial" w:cs="Arial" w:eastAsia="Arial" w:hAnsi="Arial"/>
          <w:sz w:val="16"/>
          <w:szCs w:val="16"/>
          <w:color w:val="auto"/>
        </w:rPr>
        <w:t>The cover page from this Current Report on Form 8-K, formatted in Inline XBRL.</w:t>
      </w:r>
    </w:p>
    <w:p>
      <w:pPr>
        <w:spacing w:after="0" w:line="22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information included in this Current Report on Form 8-K (including the exhibit hereto) is being furnished under Item 2.02, “Results of Operations and Financial Condition” and Item 9.01 “Financial Statements and Exhibits” of Form 8-K. As such, the information (including the exhibit) herein shall not be deemed to be “filed” for the purposes of Section 18 of the Securities Exchange Act of 1934, as amended (the “Exchange Act”), or otherwise subject to the liabilities of that Section, nor shall it be incorporated by reference into a filing under the Securities Act of 1933, as amended, or the Exchange Act, except as shall be expressly set forth by specific reference in such a filing. This Current Report (including the exhibit hereto) will not be deemed an admission as to the materiality of any information required to be disclosed solely to satisfy the requirements of Regulation FD.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340995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3" w:right="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7780" w:type="dxa"/>
            <w:vAlign w:val="bottom"/>
            <w:gridSpan w:val="2"/>
          </w:tcPr>
          <w:p>
            <w:pPr>
              <w:ind w:left="1580"/>
              <w:spacing w:after="0"/>
              <w:rPr>
                <w:sz w:val="20"/>
                <w:szCs w:val="20"/>
                <w:color w:val="auto"/>
              </w:rPr>
            </w:pPr>
            <w:r>
              <w:rPr>
                <w:rFonts w:ascii="Arial" w:cs="Arial" w:eastAsia="Arial" w:hAnsi="Arial"/>
                <w:sz w:val="18"/>
                <w:szCs w:val="18"/>
                <w:color w:val="auto"/>
              </w:rPr>
              <w:t>CLEARONE, INC.</w:t>
            </w:r>
          </w:p>
        </w:tc>
      </w:tr>
      <w:tr>
        <w:trPr>
          <w:trHeight w:val="459"/>
        </w:trPr>
        <w:tc>
          <w:tcPr>
            <w:tcW w:w="3460" w:type="dxa"/>
            <w:vAlign w:val="bottom"/>
          </w:tcPr>
          <w:p>
            <w:pPr>
              <w:spacing w:after="0"/>
              <w:rPr>
                <w:sz w:val="20"/>
                <w:szCs w:val="20"/>
                <w:color w:val="auto"/>
              </w:rPr>
            </w:pPr>
            <w:r>
              <w:rPr>
                <w:rFonts w:ascii="Arial" w:cs="Arial" w:eastAsia="Arial" w:hAnsi="Arial"/>
                <w:sz w:val="18"/>
                <w:szCs w:val="18"/>
                <w:color w:val="auto"/>
              </w:rPr>
              <w:t>Date: November 12, 2021</w:t>
            </w:r>
          </w:p>
        </w:tc>
        <w:tc>
          <w:tcPr>
            <w:tcW w:w="7780" w:type="dxa"/>
            <w:vAlign w:val="bottom"/>
            <w:gridSpan w:val="2"/>
          </w:tcPr>
          <w:p>
            <w:pPr>
              <w:ind w:left="158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i w:val="1"/>
                <w:iCs w:val="1"/>
                <w:color w:val="auto"/>
              </w:rPr>
              <w:t>/s/ Zeynep Hakimoglu</w:t>
            </w:r>
          </w:p>
        </w:tc>
      </w:tr>
      <w:tr>
        <w:trPr>
          <w:trHeight w:val="224"/>
        </w:trPr>
        <w:tc>
          <w:tcPr>
            <w:tcW w:w="34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5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Zeynep Hakimoglu</w:t>
            </w:r>
          </w:p>
        </w:tc>
      </w:tr>
      <w:tr>
        <w:trPr>
          <w:trHeight w:val="445"/>
        </w:trPr>
        <w:tc>
          <w:tcPr>
            <w:tcW w:w="34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r>
      <w:tr>
        <w:trPr>
          <w:trHeight w:val="372"/>
        </w:trPr>
        <w:tc>
          <w:tcPr>
            <w:tcW w:w="34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ClearOne, Inc. Reports Third Quarter 2021 Financial Results</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Beamforming Microphone Array Ceiling Tile products continue to drive microphone and audio conferencing revenue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-83185</wp:posOffset>
            </wp:positionV>
            <wp:extent cx="5969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1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Revenue drop in video products causes overall revenue decline of 17% year-over-year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-83185</wp:posOffset>
            </wp:positionV>
            <wp:extent cx="5969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1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Company wins key Delaware trial against Shure, defeating infringement claims and invalidating Shure Patent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-83185</wp:posOffset>
            </wp:positionV>
            <wp:extent cx="5969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1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Our innovative new products win several prestigious industry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-83185</wp:posOffset>
            </wp:positionV>
            <wp:extent cx="59690"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1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Balance Sheet strengthened with a $10 million capital raise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-83185</wp:posOffset>
            </wp:positionV>
            <wp:extent cx="5969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327"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SALT LAKE CITY, UTAH – November 12, 2021 – ClearOne Inc. (NASDAQ: CLRO), a global provider of audio and visual communication solutions, reported financial results for the three and nine months ended September 30, 2021.</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"ClearOne continued to achieve solid revenue growth in core audio conferencing and microphone products, driven by our innovative BMA 360 and BMA-CT based solutions. Revenue from video products did not meet last year's demand levels boosted by CARES Act stimulus funding and caused the year over year revenue decline. However, we are confident of the growth potential for our video-based solutions," said Zee Hakimoglu, CEO and Chair of ClearOne.</w:t>
      </w:r>
    </w:p>
    <w:p>
      <w:pPr>
        <w:spacing w:after="0" w:line="106"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"The jury’s unanimous verdict last week in our trial against Shure in Delaware is the latest in a string of litigation victories for ClearOne against Shure. We are very pleased that the jury found that ClearOne’s products did not infringe Shure's '723 patent and invalidated Shure's patent. Shure was using this '723 patent to retaliate against ClearOne, and the jury's verdict validates ClearOne's refusal to give in to Shure's tactics," Hakimoglu added.</w:t>
      </w:r>
    </w:p>
    <w:p>
      <w:pPr>
        <w:spacing w:after="0" w:line="123" w:lineRule="exact"/>
        <w:rPr>
          <w:sz w:val="20"/>
          <w:szCs w:val="20"/>
          <w:color w:val="auto"/>
        </w:rPr>
      </w:pPr>
    </w:p>
    <w:p>
      <w:pPr>
        <w:jc w:val="both"/>
        <w:ind w:firstLine="45"/>
        <w:spacing w:after="0" w:line="224" w:lineRule="auto"/>
        <w:rPr>
          <w:sz w:val="20"/>
          <w:szCs w:val="20"/>
          <w:color w:val="auto"/>
        </w:rPr>
      </w:pPr>
      <w:r>
        <w:rPr>
          <w:rFonts w:ascii="Arial" w:cs="Arial" w:eastAsia="Arial" w:hAnsi="Arial"/>
          <w:sz w:val="18"/>
          <w:szCs w:val="18"/>
          <w:color w:val="auto"/>
        </w:rPr>
        <w:t>"We were also successful in strengthening our balance sheet through further infusion of equity capital. The enthusiasm and the confidence displayed by the institutional investors in the recent $10 million common stock and warrant offering enables our continuing path of growth through innovation, cost management, and litigation management," Hakimoglu concluded.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Highlights</w:t>
      </w:r>
    </w:p>
    <w:p>
      <w:pPr>
        <w:spacing w:after="0" w:line="216" w:lineRule="exact"/>
        <w:rPr>
          <w:sz w:val="20"/>
          <w:szCs w:val="20"/>
          <w:color w:val="auto"/>
        </w:rPr>
      </w:pPr>
    </w:p>
    <w:p>
      <w:pPr>
        <w:jc w:val="both"/>
        <w:ind w:left="540"/>
        <w:spacing w:after="0" w:line="277" w:lineRule="auto"/>
        <w:rPr>
          <w:sz w:val="20"/>
          <w:szCs w:val="20"/>
          <w:color w:val="auto"/>
        </w:rPr>
      </w:pPr>
      <w:r>
        <w:rPr>
          <w:rFonts w:ascii="Arial" w:cs="Arial" w:eastAsia="Arial" w:hAnsi="Arial"/>
          <w:sz w:val="18"/>
          <w:szCs w:val="18"/>
          <w:color w:val="auto"/>
        </w:rPr>
        <w:t>Earlier this week our BMA 360 with Voice Lift and Camera Tracking technology was recognized by industry consultants and integrators for product innovation and was awarded a 2021 AV Technology Magazine InfoComm Best in Market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-263525</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83" w:lineRule="exact"/>
        <w:rPr>
          <w:sz w:val="20"/>
          <w:szCs w:val="20"/>
          <w:color w:val="auto"/>
        </w:rPr>
      </w:pPr>
    </w:p>
    <w:p>
      <w:pPr>
        <w:jc w:val="both"/>
        <w:ind w:left="540"/>
        <w:spacing w:after="0" w:line="263" w:lineRule="auto"/>
        <w:rPr>
          <w:sz w:val="20"/>
          <w:szCs w:val="20"/>
          <w:color w:val="auto"/>
        </w:rPr>
      </w:pPr>
      <w:r>
        <w:rPr>
          <w:rFonts w:ascii="Arial" w:cs="Arial" w:eastAsia="Arial" w:hAnsi="Arial"/>
          <w:sz w:val="18"/>
          <w:szCs w:val="18"/>
          <w:color w:val="auto"/>
        </w:rPr>
        <w:t>During October 2021, our groundbreaking BMA 360 was awarded the 2021 Installation Product Award for Most Innovative Audio Hardware by Systems Contractor News (SCN), the industry-leading systems integration trade magazine relied upon by decision-makers across the AV technology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-392430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6" w:lineRule="exact"/>
        <w:rPr>
          <w:sz w:val="20"/>
          <w:szCs w:val="20"/>
          <w:color w:val="auto"/>
        </w:rPr>
      </w:pPr>
    </w:p>
    <w:p>
      <w:pPr>
        <w:jc w:val="both"/>
        <w:ind w:left="540"/>
        <w:spacing w:after="0" w:line="263" w:lineRule="auto"/>
        <w:rPr>
          <w:sz w:val="20"/>
          <w:szCs w:val="20"/>
          <w:color w:val="auto"/>
        </w:rPr>
      </w:pPr>
      <w:r>
        <w:rPr>
          <w:rFonts w:ascii="Arial" w:cs="Arial" w:eastAsia="Arial" w:hAnsi="Arial"/>
          <w:sz w:val="18"/>
          <w:szCs w:val="18"/>
          <w:color w:val="auto"/>
        </w:rPr>
        <w:t>During October 2021, ClearOne became a Signature Sponsor of TSI APAC-MEA Hub powered by USAV, a division of PSA Security Network (www.tsiapac-hub.net), that is comprised of a group of independent dealers, contractors, and integrators working in electronic security, building automation, and custom electronics.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-392430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83" w:lineRule="exact"/>
        <w:rPr>
          <w:sz w:val="20"/>
          <w:szCs w:val="20"/>
          <w:color w:val="auto"/>
        </w:rPr>
      </w:pPr>
    </w:p>
    <w:p>
      <w:pPr>
        <w:jc w:val="both"/>
        <w:ind w:left="540"/>
        <w:spacing w:after="0" w:line="311" w:lineRule="auto"/>
        <w:rPr>
          <w:sz w:val="20"/>
          <w:szCs w:val="20"/>
          <w:color w:val="auto"/>
        </w:rPr>
      </w:pPr>
      <w:r>
        <w:rPr>
          <w:rFonts w:ascii="Arial" w:cs="Arial" w:eastAsia="Arial" w:hAnsi="Arial"/>
          <w:sz w:val="16"/>
          <w:szCs w:val="16"/>
          <w:color w:val="auto"/>
        </w:rPr>
        <w:t>During September 2021, we announced the immediate availability of a new professional-grade camera featuring a 20x optical zoom lens plus a 16x digital zoom for extra distance if needed, the UNITE® 200 Pro. Delivering 1080p quality at 60 frames per second with full pan, tilt and extended zoom functions, the UNITE 200 Pro is optimally suited for use in large spaces where close up, high resolution video capture is desired.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-414020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61" w:lineRule="exact"/>
        <w:rPr>
          <w:sz w:val="20"/>
          <w:szCs w:val="20"/>
          <w:color w:val="auto"/>
        </w:rPr>
      </w:pPr>
    </w:p>
    <w:p>
      <w:pPr>
        <w:jc w:val="both"/>
        <w:ind w:left="540"/>
        <w:spacing w:after="0" w:line="259" w:lineRule="auto"/>
        <w:rPr>
          <w:sz w:val="20"/>
          <w:szCs w:val="20"/>
          <w:color w:val="auto"/>
        </w:rPr>
      </w:pPr>
      <w:r>
        <w:rPr>
          <w:rFonts w:ascii="Arial" w:cs="Arial" w:eastAsia="Arial" w:hAnsi="Arial"/>
          <w:sz w:val="18"/>
          <w:szCs w:val="18"/>
          <w:color w:val="auto"/>
        </w:rPr>
        <w:t>During September 2021, our new Versa™ Mediabar™ was awarded a 2021 CEDIA Best of Show Award from Residential Systems, the industry-leading residential custom installation trade magazine relied upon by the custom smart home automation and home entertainment market. Versa Mediabar provides high-quality visual collaboration, audio conferencing, and UC applications from a single integrated device, offering the most straightforward solution available for home offices with virtually no setup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-527685</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9" w:lineRule="exact"/>
        <w:rPr>
          <w:sz w:val="20"/>
          <w:szCs w:val="20"/>
          <w:color w:val="auto"/>
        </w:rPr>
      </w:pPr>
    </w:p>
    <w:p>
      <w:pPr>
        <w:jc w:val="both"/>
        <w:ind w:left="540" w:right="20"/>
        <w:spacing w:after="0" w:line="263" w:lineRule="auto"/>
        <w:rPr>
          <w:sz w:val="20"/>
          <w:szCs w:val="20"/>
          <w:color w:val="auto"/>
        </w:rPr>
      </w:pPr>
      <w:r>
        <w:rPr>
          <w:rFonts w:ascii="Arial" w:cs="Arial" w:eastAsia="Arial" w:hAnsi="Arial"/>
          <w:sz w:val="18"/>
          <w:szCs w:val="18"/>
          <w:color w:val="auto"/>
        </w:rPr>
        <w:t>During August 2021, our groundbreaking residential Beamforming Microphone Ceiling Array, Aura™ Xceed™ BMA, was awarded a 2021 TWICE VIP Award in the “High-Res Audio Components” category. The Aura Xceed BMA features a powerful USB-enabled Beamforming Ceiling Microphone Array that easily surface mounts to a home office ceiling for superb conferencing audio.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-392430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Financial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certain non-GAAP financial measures and reconciles those to GAAP measures in the attached tables.</w:t>
      </w:r>
    </w:p>
    <w:p>
      <w:pPr>
        <w:spacing w:after="0" w:line="198" w:lineRule="exact"/>
        <w:rPr>
          <w:sz w:val="20"/>
          <w:szCs w:val="20"/>
          <w:color w:val="auto"/>
        </w:rPr>
      </w:pPr>
    </w:p>
    <w:p>
      <w:pPr>
        <w:ind w:left="540" w:right="100"/>
        <w:spacing w:after="0" w:line="308" w:lineRule="auto"/>
        <w:rPr>
          <w:sz w:val="20"/>
          <w:szCs w:val="20"/>
          <w:color w:val="auto"/>
        </w:rPr>
      </w:pPr>
      <w:r>
        <w:rPr>
          <w:rFonts w:ascii="Arial" w:cs="Arial" w:eastAsia="Arial" w:hAnsi="Arial"/>
          <w:sz w:val="16"/>
          <w:szCs w:val="16"/>
          <w:color w:val="auto"/>
        </w:rPr>
        <w:t>Revenue in 2021-Q3 was $7.0 million, compared to $8.4 million in 2020-Q3 and $7.7 million in 2021-Q2. The decrease in year-over-year revenue was mainly due to a significant decline in revenues from video products partially offset by an increase in revenues from microphones and core audio conferencing products. Increase in revenue from microphones and core audio conferencing products continued to be driven by our new solutions incorporating our beamforming BMA-CT and BMA 360 array ceiling tiles and professional audio mixers. Revenue from video products and personal audio conferencing products declined year over year due to lack of demand for these products at the same level as it was in latter half of 2020 when the demand from work from home and learn from home markets was boosted by stimulus funding through the CARES Act. Despite this year-over-year revenue growth in Q3 2021 from microphones and core audio conferencing products, revenue from our audio conferencing products and microphones remain far below levels achieved prior to infringement of our strategic 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-1151255</wp:posOffset>
            </wp:positionV>
            <wp:extent cx="59690"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6" w:lineRule="exact"/>
        <w:rPr>
          <w:sz w:val="20"/>
          <w:szCs w:val="20"/>
          <w:color w:val="auto"/>
        </w:rPr>
      </w:pPr>
    </w:p>
    <w:p>
      <w:pPr>
        <w:ind w:left="540" w:right="380"/>
        <w:spacing w:after="0" w:line="293" w:lineRule="auto"/>
        <w:rPr>
          <w:sz w:val="20"/>
          <w:szCs w:val="20"/>
          <w:color w:val="auto"/>
        </w:rPr>
      </w:pPr>
      <w:r>
        <w:rPr>
          <w:rFonts w:ascii="Arial" w:cs="Arial" w:eastAsia="Arial" w:hAnsi="Arial"/>
          <w:sz w:val="18"/>
          <w:szCs w:val="18"/>
          <w:color w:val="auto"/>
        </w:rPr>
        <w:t>GAAP gross profit in 2021-Q3 was $2.9 million compared to $3.5 million in 2020-Q3 and $3.4 million in 2021-Q2. GAAP gross profit margin was 40.8% in 2021-Q3, compared to 41.8% in 2020-Q3 and 44.3% in 2021-Q2.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-272415</wp:posOffset>
            </wp:positionV>
            <wp:extent cx="59690"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82" w:lineRule="exact"/>
        <w:rPr>
          <w:sz w:val="20"/>
          <w:szCs w:val="20"/>
          <w:color w:val="auto"/>
        </w:rPr>
      </w:pPr>
    </w:p>
    <w:p>
      <w:pPr>
        <w:ind w:left="540" w:right="540"/>
        <w:spacing w:after="0" w:line="293" w:lineRule="auto"/>
        <w:rPr>
          <w:sz w:val="20"/>
          <w:szCs w:val="20"/>
          <w:color w:val="auto"/>
        </w:rPr>
      </w:pPr>
      <w:r>
        <w:rPr>
          <w:rFonts w:ascii="Arial" w:cs="Arial" w:eastAsia="Arial" w:hAnsi="Arial"/>
          <w:sz w:val="18"/>
          <w:szCs w:val="18"/>
          <w:color w:val="auto"/>
        </w:rPr>
        <w:t>Operating expenses in 2021-Q3 were $4.9 million, compared to $4.7 million in 2020-Q3 and $4.9 million in 2021-Q2. Non-GAAP operating expenses in 2021-Q3 were $4.2 million, compared to $4.2 million in 2020-Q3 and $4.3 million in 2021-Q2.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-272415</wp:posOffset>
            </wp:positionV>
            <wp:extent cx="59690"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69" w:lineRule="exact"/>
        <w:rPr>
          <w:sz w:val="20"/>
          <w:szCs w:val="20"/>
          <w:color w:val="auto"/>
        </w:rPr>
      </w:pPr>
    </w:p>
    <w:p>
      <w:pPr>
        <w:ind w:left="540" w:right="20"/>
        <w:spacing w:after="0" w:line="299" w:lineRule="auto"/>
        <w:rPr>
          <w:sz w:val="20"/>
          <w:szCs w:val="20"/>
          <w:color w:val="auto"/>
        </w:rPr>
      </w:pPr>
      <w:r>
        <w:rPr>
          <w:rFonts w:ascii="Arial" w:cs="Arial" w:eastAsia="Arial" w:hAnsi="Arial"/>
          <w:sz w:val="16"/>
          <w:szCs w:val="16"/>
          <w:color w:val="auto"/>
        </w:rPr>
        <w:t>GAAP net loss in 2021-Q3 was $2.2 million, or $0.11 per share, compared to net loss of $1.3 million, or $0.07 per share, in 2020-Q3 and net loss of $1.6 million, or $0.08 per share, in 2021-Q2. Non-GAAP net loss in 2021-Q3 was $1.6 million, or $0.08 per share, compared to net loss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-242570</wp:posOffset>
            </wp:positionV>
            <wp:extent cx="59690"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20"/>
        <w:spacing w:after="0" w:line="292" w:lineRule="auto"/>
        <w:rPr>
          <w:sz w:val="20"/>
          <w:szCs w:val="20"/>
          <w:color w:val="auto"/>
        </w:rPr>
      </w:pPr>
      <w:r>
        <w:rPr>
          <w:rFonts w:ascii="Arial" w:cs="Arial" w:eastAsia="Arial" w:hAnsi="Arial"/>
          <w:sz w:val="18"/>
          <w:szCs w:val="18"/>
          <w:color w:val="auto"/>
        </w:rPr>
        <w:t>$0.8 million, or $0.05 per share, in 2020-Q3 and net loss of $1.0 million, or $0.05 per share, in 2021-Q2. The year-over-year and sequential increase in Non-GAAP net loss was primarily due to decreased revenue and the consequential decline in gross profits.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600" w:type="dxa"/>
            <w:vAlign w:val="bottom"/>
            <w:gridSpan w:val="3"/>
          </w:tcPr>
          <w:p>
            <w:pPr>
              <w:spacing w:after="0"/>
              <w:rPr>
                <w:sz w:val="20"/>
                <w:szCs w:val="20"/>
                <w:color w:val="auto"/>
              </w:rPr>
            </w:pPr>
            <w:r>
              <w:rPr>
                <w:rFonts w:ascii="Arial" w:cs="Arial" w:eastAsia="Arial" w:hAnsi="Arial"/>
                <w:sz w:val="16"/>
                <w:szCs w:val="16"/>
                <w:b w:val="1"/>
                <w:bCs w:val="1"/>
                <w:color w:val="auto"/>
              </w:rPr>
              <w:t>($ in 000, except per share)</w:t>
            </w:r>
          </w:p>
        </w:tc>
        <w:tc>
          <w:tcPr>
            <w:tcW w:w="180" w:type="dxa"/>
            <w:vAlign w:val="bottom"/>
          </w:tcPr>
          <w:p>
            <w:pPr>
              <w:spacing w:after="0"/>
              <w:rPr>
                <w:sz w:val="20"/>
                <w:szCs w:val="20"/>
                <w:color w:val="auto"/>
              </w:rPr>
            </w:pPr>
          </w:p>
        </w:tc>
        <w:tc>
          <w:tcPr>
            <w:tcW w:w="4200" w:type="dxa"/>
            <w:vAlign w:val="bottom"/>
            <w:gridSpan w:val="5"/>
          </w:tcPr>
          <w:p>
            <w:pPr>
              <w:jc w:val="right"/>
              <w:ind w:right="1040"/>
              <w:spacing w:after="0"/>
              <w:rPr>
                <w:sz w:val="20"/>
                <w:szCs w:val="20"/>
                <w:color w:val="auto"/>
              </w:rPr>
            </w:pPr>
            <w:r>
              <w:rPr>
                <w:rFonts w:ascii="Arial" w:cs="Arial" w:eastAsia="Arial" w:hAnsi="Arial"/>
                <w:sz w:val="16"/>
                <w:szCs w:val="16"/>
                <w:b w:val="1"/>
                <w:bCs w:val="1"/>
                <w:color w:val="auto"/>
              </w:rPr>
              <w:t>Three months ended September 30,</w:t>
            </w:r>
          </w:p>
        </w:tc>
        <w:tc>
          <w:tcPr>
            <w:tcW w:w="300" w:type="dxa"/>
            <w:vAlign w:val="bottom"/>
          </w:tcPr>
          <w:p>
            <w:pPr>
              <w:spacing w:after="0"/>
              <w:rPr>
                <w:sz w:val="20"/>
                <w:szCs w:val="20"/>
                <w:color w:val="auto"/>
              </w:rPr>
            </w:pPr>
          </w:p>
        </w:tc>
        <w:tc>
          <w:tcPr>
            <w:tcW w:w="392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 xml:space="preserve">Nine </w:t>
            </w:r>
            <w:r>
              <w:rPr>
                <w:rFonts w:ascii="Arial" w:cs="Arial" w:eastAsia="Arial" w:hAnsi="Arial"/>
                <w:sz w:val="16"/>
                <w:szCs w:val="16"/>
                <w:b w:val="1"/>
                <w:bCs w:val="1"/>
                <w:color w:val="auto"/>
              </w:rPr>
              <w:t>months ended September 30,</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ind w:left="220"/>
              <w:spacing w:after="0" w:line="182" w:lineRule="exact"/>
              <w:rPr>
                <w:sz w:val="20"/>
                <w:szCs w:val="20"/>
                <w:color w:val="auto"/>
              </w:rPr>
            </w:pPr>
            <w:r>
              <w:rPr>
                <w:rFonts w:ascii="Arial" w:cs="Arial" w:eastAsia="Arial" w:hAnsi="Arial"/>
                <w:sz w:val="16"/>
                <w:szCs w:val="16"/>
                <w:b w:val="1"/>
                <w:bCs w:val="1"/>
                <w:color w:val="auto"/>
              </w:rPr>
              <w:t>Positive/</w:t>
            </w:r>
          </w:p>
        </w:tc>
        <w:tc>
          <w:tcPr>
            <w:tcW w:w="3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ind w:left="260"/>
              <w:spacing w:after="0" w:line="182" w:lineRule="exact"/>
              <w:rPr>
                <w:sz w:val="20"/>
                <w:szCs w:val="20"/>
                <w:color w:val="auto"/>
              </w:rPr>
            </w:pPr>
            <w:r>
              <w:rPr>
                <w:rFonts w:ascii="Arial" w:cs="Arial" w:eastAsia="Arial" w:hAnsi="Arial"/>
                <w:sz w:val="16"/>
                <w:szCs w:val="16"/>
                <w:b w:val="1"/>
                <w:bCs w:val="1"/>
                <w:color w:val="auto"/>
              </w:rPr>
              <w:t>Positive/</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0" w:type="dxa"/>
            <w:vAlign w:val="bottom"/>
            <w:gridSpan w:val="2"/>
          </w:tcPr>
          <w:p>
            <w:pPr>
              <w:ind w:left="220"/>
              <w:spacing w:after="0"/>
              <w:rPr>
                <w:sz w:val="20"/>
                <w:szCs w:val="20"/>
                <w:color w:val="auto"/>
              </w:rPr>
            </w:pPr>
            <w:r>
              <w:rPr>
                <w:rFonts w:ascii="Arial" w:cs="Arial" w:eastAsia="Arial" w:hAnsi="Arial"/>
                <w:sz w:val="16"/>
                <w:szCs w:val="16"/>
                <w:b w:val="1"/>
                <w:bCs w:val="1"/>
                <w:color w:val="auto"/>
              </w:rPr>
              <w:t>Adverse</w:t>
            </w:r>
          </w:p>
        </w:tc>
        <w:tc>
          <w:tcPr>
            <w:tcW w:w="300" w:type="dxa"/>
            <w:vAlign w:val="bottom"/>
          </w:tcPr>
          <w:p>
            <w:pPr>
              <w:spacing w:after="0"/>
              <w:rPr>
                <w:sz w:val="17"/>
                <w:szCs w:val="17"/>
                <w:color w:val="auto"/>
              </w:rPr>
            </w:pPr>
          </w:p>
        </w:tc>
        <w:tc>
          <w:tcPr>
            <w:tcW w:w="108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360" w:type="dxa"/>
            <w:vAlign w:val="bottom"/>
          </w:tcPr>
          <w:p>
            <w:pPr>
              <w:spacing w:after="0"/>
              <w:rPr>
                <w:sz w:val="17"/>
                <w:szCs w:val="17"/>
                <w:color w:val="auto"/>
              </w:rPr>
            </w:pPr>
          </w:p>
        </w:tc>
        <w:tc>
          <w:tcPr>
            <w:tcW w:w="1220" w:type="dxa"/>
            <w:vAlign w:val="bottom"/>
            <w:vMerge w:val="restart"/>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260" w:type="dxa"/>
            <w:vAlign w:val="bottom"/>
            <w:gridSpan w:val="2"/>
          </w:tcPr>
          <w:p>
            <w:pPr>
              <w:ind w:left="260"/>
              <w:spacing w:after="0"/>
              <w:rPr>
                <w:sz w:val="20"/>
                <w:szCs w:val="20"/>
                <w:color w:val="auto"/>
              </w:rPr>
            </w:pPr>
            <w:r>
              <w:rPr>
                <w:rFonts w:ascii="Arial" w:cs="Arial" w:eastAsia="Arial" w:hAnsi="Arial"/>
                <w:sz w:val="16"/>
                <w:szCs w:val="16"/>
                <w:b w:val="1"/>
                <w:bCs w:val="1"/>
                <w:color w:val="auto"/>
              </w:rPr>
              <w:t>Adverse</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431"/>
              <w:spacing w:after="0"/>
              <w:rPr>
                <w:sz w:val="20"/>
                <w:szCs w:val="20"/>
                <w:color w:val="auto"/>
              </w:rPr>
            </w:pPr>
            <w:r>
              <w:rPr>
                <w:rFonts w:ascii="Arial" w:cs="Arial" w:eastAsia="Arial" w:hAnsi="Arial"/>
                <w:sz w:val="16"/>
                <w:szCs w:val="16"/>
                <w:b w:val="1"/>
                <w:bCs w:val="1"/>
                <w:color w:val="auto"/>
              </w:rPr>
              <w:t>2021</w:t>
            </w:r>
          </w:p>
        </w:tc>
        <w:tc>
          <w:tcPr>
            <w:tcW w:w="380" w:type="dxa"/>
            <w:vAlign w:val="bottom"/>
          </w:tcPr>
          <w:p>
            <w:pPr>
              <w:spacing w:after="0"/>
              <w:rPr>
                <w:sz w:val="18"/>
                <w:szCs w:val="18"/>
                <w:color w:val="auto"/>
              </w:rPr>
            </w:pPr>
          </w:p>
        </w:tc>
        <w:tc>
          <w:tcPr>
            <w:tcW w:w="1180" w:type="dxa"/>
            <w:vAlign w:val="bottom"/>
          </w:tcPr>
          <w:p>
            <w:pPr>
              <w:jc w:val="right"/>
              <w:ind w:right="571"/>
              <w:spacing w:after="0"/>
              <w:rPr>
                <w:sz w:val="20"/>
                <w:szCs w:val="20"/>
                <w:color w:val="auto"/>
              </w:rPr>
            </w:pPr>
            <w:r>
              <w:rPr>
                <w:rFonts w:ascii="Arial" w:cs="Arial" w:eastAsia="Arial" w:hAnsi="Arial"/>
                <w:sz w:val="16"/>
                <w:szCs w:val="16"/>
                <w:b w:val="1"/>
                <w:bCs w:val="1"/>
                <w:color w:val="auto"/>
              </w:rPr>
              <w:t>2020</w:t>
            </w:r>
          </w:p>
        </w:tc>
        <w:tc>
          <w:tcPr>
            <w:tcW w:w="1400" w:type="dxa"/>
            <w:vAlign w:val="bottom"/>
            <w:gridSpan w:val="2"/>
          </w:tcPr>
          <w:p>
            <w:pPr>
              <w:ind w:left="240"/>
              <w:spacing w:after="0"/>
              <w:rPr>
                <w:sz w:val="20"/>
                <w:szCs w:val="20"/>
                <w:color w:val="auto"/>
              </w:rPr>
            </w:pPr>
            <w:r>
              <w:rPr>
                <w:rFonts w:ascii="Arial" w:cs="Arial" w:eastAsia="Arial" w:hAnsi="Arial"/>
                <w:sz w:val="16"/>
                <w:szCs w:val="16"/>
                <w:b w:val="1"/>
                <w:bCs w:val="1"/>
                <w:color w:val="auto"/>
              </w:rPr>
              <w:t>Change</w:t>
            </w:r>
          </w:p>
        </w:tc>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260" w:type="dxa"/>
            <w:vAlign w:val="bottom"/>
            <w:gridSpan w:val="2"/>
          </w:tcPr>
          <w:p>
            <w:pPr>
              <w:ind w:left="28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09"/>
        </w:trPr>
        <w:tc>
          <w:tcPr>
            <w:tcW w:w="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w w:val="95"/>
              </w:rPr>
              <w:t>GAAP</w:t>
            </w:r>
          </w:p>
        </w:tc>
        <w:tc>
          <w:tcPr>
            <w:tcW w:w="214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600" w:type="dxa"/>
            <w:vAlign w:val="bottom"/>
            <w:gridSpan w:val="3"/>
          </w:tcPr>
          <w:p>
            <w:pPr>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6,992</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71"/>
              <w:spacing w:after="0"/>
              <w:rPr>
                <w:sz w:val="20"/>
                <w:szCs w:val="20"/>
                <w:color w:val="auto"/>
              </w:rPr>
            </w:pPr>
            <w:r>
              <w:rPr>
                <w:rFonts w:ascii="Arial" w:cs="Arial" w:eastAsia="Arial" w:hAnsi="Arial"/>
                <w:sz w:val="18"/>
                <w:szCs w:val="18"/>
                <w:color w:val="auto"/>
              </w:rPr>
              <w:t>8,412</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21,765</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20,503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2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2,851</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3,520</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9,278</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8,976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60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4,860</w:t>
            </w:r>
          </w:p>
        </w:tc>
        <w:tc>
          <w:tcPr>
            <w:tcW w:w="380" w:type="dxa"/>
            <w:vAlign w:val="bottom"/>
          </w:tcPr>
          <w:p>
            <w:pPr>
              <w:spacing w:after="0"/>
              <w:rPr>
                <w:sz w:val="19"/>
                <w:szCs w:val="19"/>
                <w:color w:val="auto"/>
              </w:rPr>
            </w:pPr>
          </w:p>
        </w:tc>
        <w:tc>
          <w:tcPr>
            <w:tcW w:w="1180" w:type="dxa"/>
            <w:vAlign w:val="bottom"/>
          </w:tcPr>
          <w:p>
            <w:pPr>
              <w:jc w:val="right"/>
              <w:ind w:right="171"/>
              <w:spacing w:after="0"/>
              <w:rPr>
                <w:sz w:val="20"/>
                <w:szCs w:val="20"/>
                <w:color w:val="auto"/>
              </w:rPr>
            </w:pPr>
            <w:r>
              <w:rPr>
                <w:rFonts w:ascii="Arial" w:cs="Arial" w:eastAsia="Arial" w:hAnsi="Arial"/>
                <w:sz w:val="18"/>
                <w:szCs w:val="18"/>
                <w:color w:val="auto"/>
              </w:rPr>
              <w:t>4,680</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9"/>
                <w:szCs w:val="19"/>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14,297</w:t>
            </w:r>
          </w:p>
        </w:tc>
        <w:tc>
          <w:tcPr>
            <w:tcW w:w="360" w:type="dxa"/>
            <w:vAlign w:val="bottom"/>
          </w:tcPr>
          <w:p>
            <w:pPr>
              <w:spacing w:after="0"/>
              <w:rPr>
                <w:sz w:val="19"/>
                <w:szCs w:val="19"/>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13,726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2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(1,160)</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(5,019)</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(4,750)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60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(2,169)</w:t>
            </w:r>
          </w:p>
        </w:tc>
        <w:tc>
          <w:tcPr>
            <w:tcW w:w="380" w:type="dxa"/>
            <w:vAlign w:val="bottom"/>
          </w:tcPr>
          <w:p>
            <w:pPr>
              <w:spacing w:after="0"/>
              <w:rPr>
                <w:sz w:val="19"/>
                <w:szCs w:val="19"/>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(1,260)</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-72%</w:t>
            </w:r>
          </w:p>
        </w:tc>
        <w:tc>
          <w:tcPr>
            <w:tcW w:w="3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(5,410)</w:t>
            </w:r>
          </w:p>
        </w:tc>
        <w:tc>
          <w:tcPr>
            <w:tcW w:w="36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(5,044)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2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loss per share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(0.07)</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(0.28)</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(0.30)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60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Non-GAAP</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2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Non-GAAP gross profit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2,853</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3,520</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9,285</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8,978</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600" w:type="dxa"/>
            <w:vAlign w:val="bottom"/>
            <w:gridSpan w:val="3"/>
          </w:tcPr>
          <w:p>
            <w:pPr>
              <w:spacing w:after="0"/>
              <w:rPr>
                <w:sz w:val="20"/>
                <w:szCs w:val="20"/>
                <w:color w:val="auto"/>
              </w:rPr>
            </w:pPr>
            <w:r>
              <w:rPr>
                <w:rFonts w:ascii="Arial" w:cs="Arial" w:eastAsia="Arial" w:hAnsi="Arial"/>
                <w:sz w:val="18"/>
                <w:szCs w:val="18"/>
                <w:color w:val="auto"/>
              </w:rPr>
              <w:t>Non-GAAP operating expenses</w:t>
            </w:r>
          </w:p>
        </w:tc>
        <w:tc>
          <w:tcPr>
            <w:tcW w:w="180" w:type="dxa"/>
            <w:vAlign w:val="bottom"/>
          </w:tcPr>
          <w:p>
            <w:pPr>
              <w:spacing w:after="0"/>
              <w:rPr>
                <w:sz w:val="19"/>
                <w:szCs w:val="19"/>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4,244</w:t>
            </w:r>
          </w:p>
        </w:tc>
        <w:tc>
          <w:tcPr>
            <w:tcW w:w="380" w:type="dxa"/>
            <w:vAlign w:val="bottom"/>
          </w:tcPr>
          <w:p>
            <w:pPr>
              <w:spacing w:after="0"/>
              <w:rPr>
                <w:sz w:val="19"/>
                <w:szCs w:val="19"/>
                <w:color w:val="auto"/>
              </w:rPr>
            </w:pPr>
          </w:p>
        </w:tc>
        <w:tc>
          <w:tcPr>
            <w:tcW w:w="1180" w:type="dxa"/>
            <w:vAlign w:val="bottom"/>
          </w:tcPr>
          <w:p>
            <w:pPr>
              <w:jc w:val="right"/>
              <w:ind w:right="171"/>
              <w:spacing w:after="0"/>
              <w:rPr>
                <w:sz w:val="20"/>
                <w:szCs w:val="20"/>
                <w:color w:val="auto"/>
              </w:rPr>
            </w:pPr>
            <w:r>
              <w:rPr>
                <w:rFonts w:ascii="Arial" w:cs="Arial" w:eastAsia="Arial" w:hAnsi="Arial"/>
                <w:sz w:val="18"/>
                <w:szCs w:val="18"/>
                <w:color w:val="auto"/>
              </w:rPr>
              <w:t>4,232</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12,568</w:t>
            </w:r>
          </w:p>
        </w:tc>
        <w:tc>
          <w:tcPr>
            <w:tcW w:w="360" w:type="dxa"/>
            <w:vAlign w:val="bottom"/>
          </w:tcPr>
          <w:p>
            <w:pPr>
              <w:spacing w:after="0"/>
              <w:rPr>
                <w:sz w:val="19"/>
                <w:szCs w:val="19"/>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12,453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2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Non-GAAP operating loss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(712)</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(3,283)</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(3,475)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600" w:type="dxa"/>
            <w:vAlign w:val="bottom"/>
            <w:gridSpan w:val="3"/>
          </w:tcPr>
          <w:p>
            <w:pPr>
              <w:spacing w:after="0"/>
              <w:rPr>
                <w:sz w:val="20"/>
                <w:szCs w:val="20"/>
                <w:color w:val="auto"/>
              </w:rPr>
            </w:pPr>
            <w:r>
              <w:rPr>
                <w:rFonts w:ascii="Arial" w:cs="Arial" w:eastAsia="Arial" w:hAnsi="Arial"/>
                <w:sz w:val="18"/>
                <w:szCs w:val="18"/>
                <w:color w:val="auto"/>
              </w:rPr>
              <w:t>Non-GAAP net loss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(1,551)</w:t>
            </w:r>
          </w:p>
        </w:tc>
        <w:tc>
          <w:tcPr>
            <w:tcW w:w="380" w:type="dxa"/>
            <w:vAlign w:val="bottom"/>
          </w:tcPr>
          <w:p>
            <w:pPr>
              <w:spacing w:after="0"/>
              <w:rPr>
                <w:sz w:val="19"/>
                <w:szCs w:val="19"/>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(812)</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-91%</w:t>
            </w:r>
          </w:p>
        </w:tc>
        <w:tc>
          <w:tcPr>
            <w:tcW w:w="3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(3,674)</w:t>
            </w:r>
          </w:p>
        </w:tc>
        <w:tc>
          <w:tcPr>
            <w:tcW w:w="36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(3,769)</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2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Non-GAAP Adjusted EBITDA</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(589)</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(3,266)</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(3,197)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2600" w:type="dxa"/>
            <w:vAlign w:val="bottom"/>
            <w:gridSpan w:val="3"/>
          </w:tcPr>
          <w:p>
            <w:pPr>
              <w:spacing w:after="0"/>
              <w:rPr>
                <w:sz w:val="20"/>
                <w:szCs w:val="20"/>
                <w:color w:val="auto"/>
              </w:rPr>
            </w:pPr>
            <w:r>
              <w:rPr>
                <w:rFonts w:ascii="Arial" w:cs="Arial" w:eastAsia="Arial" w:hAnsi="Arial"/>
                <w:sz w:val="18"/>
                <w:szCs w:val="18"/>
                <w:color w:val="auto"/>
                <w:w w:val="93"/>
              </w:rPr>
              <w:t>Non-GAAP loss per share (diluted)</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(0.08)</w:t>
            </w:r>
          </w:p>
        </w:tc>
        <w:tc>
          <w:tcPr>
            <w:tcW w:w="380" w:type="dxa"/>
            <w:vAlign w:val="bottom"/>
          </w:tcPr>
          <w:p>
            <w:pPr>
              <w:spacing w:after="0"/>
              <w:rPr>
                <w:sz w:val="20"/>
                <w:szCs w:val="20"/>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(0.05)</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(0.19)</w:t>
            </w:r>
          </w:p>
        </w:tc>
        <w:tc>
          <w:tcPr>
            <w:tcW w:w="360" w:type="dxa"/>
            <w:vAlign w:val="bottom"/>
          </w:tcPr>
          <w:p>
            <w:pPr>
              <w:spacing w:after="0"/>
              <w:rPr>
                <w:sz w:val="20"/>
                <w:szCs w:val="20"/>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(0.22)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Highlights</w:t>
      </w:r>
    </w:p>
    <w:p>
      <w:pPr>
        <w:spacing w:after="0" w:line="148"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At September 30, 2021, cash, cash equivalents and investments were $10.6 million, as compared to $6.7 million at December 31, 2020. At September 30, 2021, the Company carried a debt of $5.8 million on account of senior convertible notes issued in December 2020, a Paycheck Protection Program (PPP) loan in April 2020 and a short-term bridge loan in 2021. The Company believes the entire PPP loan will be forgiven.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ClearOne</w:t>
      </w:r>
    </w:p>
    <w:p>
      <w:pPr>
        <w:spacing w:after="0" w:line="148"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 xml:space="preserve">ClearOne is a global company that designs, develops and sells conferencing, collaboration, and network streaming solutions for voice and visual communications. The performance and simplicity of its advanced comprehensive solutions offer unprecedented levels of functionality, reliability and scalability. Visit ClearOne at </w:t>
      </w:r>
      <w:r>
        <w:rPr>
          <w:rFonts w:ascii="Arial" w:cs="Arial" w:eastAsia="Arial" w:hAnsi="Arial"/>
          <w:sz w:val="18"/>
          <w:szCs w:val="18"/>
          <w:u w:val="single" w:color="auto"/>
          <w:color w:val="auto"/>
        </w:rPr>
        <w:t>www.clearone.com</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4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To supplement our consolidated financial statements presented on a GAAP basis, ClearOne uses non-GAAP measures of gross profit, operating income (loss), net income (loss), adjusted Earnings Before Interest, Taxes, Depreciation and Amortization (EBITDA) and net income (loss) per share, which are adjusted to exclude certain costs, expenses, gains and losses we believe appropriate to enhance an overall understanding of our past financial performance from period to period and also our prospects for the future. These adjustments to our current period GAAP results are made with the intent of providing both management and investors a more complete understanding of ClearOne’s underlying operational results and trends and our marketplace performance. The non-GAAP results are an indication of our baseline performance before certain gains, losses, or other charges that are considered by management to be outside of our core operating results. In addition, these adjusted non-GAAP results are among the primary indicators management uses as a basis for our planning and forecasting of future periods. The presentation of this additional non-GAAP financial information is not meant to be considered in isolation or as a substitute for gross profit, operating income (loss), net income (loss), income (loss) per share or other financial measures prepared in accordance with GAAP. There are limitations to the use of non-GAAP financial measures. Other companies, including companies in ClearOne’s industry, may calculate non-GAAP financial measures differently than ClearOne does, limiting the usefulness of those measures for comparative purposes. A detailed reconciliation of non-GAAP financial measures to the most directly comparable GAAP financial measures is included with this release below.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48"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and any statements of the plans and objectives of management for future operations and forecasts of future growth and value and the possible outcomes of litigation,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 The information in this press release should be read in conjunction with, and is modified in its entirety by, the Annual Report on Form 10-K (the “10-K”) filed by the Company for the same period with the Securities and Exchange Commission (the “SEC”) and all of the Company’s other public filings with the SEC (the “Public Filings”).</w:t>
      </w:r>
    </w:p>
    <w:p>
      <w:pPr>
        <w:spacing w:after="0" w:line="166"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In particular, the financial information contained herein is subject to and qualified by reference to the financial statements contained in the 10-Q, including the footnotes thereto, as well as the Company’s annual report on Form 10-K for the year ended December 31, 2020 (the “10-K”), the footnotes thereto and the limitations set forth therein. Investors may not rely on the press release without reference to the 10-Q, the 10-K and the Public Filings.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801-975-7200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investor_relations@clearone.com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http://investors.clearone.com</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 w:name="page7"/>
    <w:bookmarkEnd w:id="6"/>
    <w:p>
      <w:pPr>
        <w:jc w:val="center"/>
        <w:ind w:right="120"/>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(Dollars in thousands, except par value)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96"/>
              </w:rPr>
              <w:t>September 30,</w:t>
            </w: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471"/>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8"/>
                <w:szCs w:val="18"/>
                <w:color w:val="auto"/>
              </w:rPr>
            </w:pPr>
          </w:p>
        </w:tc>
        <w:tc>
          <w:tcPr>
            <w:tcW w:w="15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94"/>
              </w:rPr>
              <w:t>December 31, 2020</w:t>
            </w:r>
          </w:p>
        </w:tc>
        <w:tc>
          <w:tcPr>
            <w:tcW w:w="0" w:type="dxa"/>
            <w:vAlign w:val="bottom"/>
          </w:tcPr>
          <w:p>
            <w:pPr>
              <w:spacing w:after="0"/>
              <w:rPr>
                <w:sz w:val="1"/>
                <w:szCs w:val="1"/>
                <w:color w:val="auto"/>
              </w:rPr>
            </w:pPr>
          </w:p>
        </w:tc>
      </w:tr>
      <w:tr>
        <w:trPr>
          <w:trHeight w:val="213"/>
        </w:trPr>
        <w:tc>
          <w:tcPr>
            <w:tcW w:w="7860" w:type="dxa"/>
            <w:vAlign w:val="bottom"/>
            <w:tcBorders>
              <w:top w:val="single" w:sz="8" w:color="CCEEFF"/>
            </w:tcBorders>
            <w:shd w:val="clear" w:color="auto" w:fill="CCEEFF"/>
          </w:tcPr>
          <w:p>
            <w:pPr>
              <w:ind w:left="35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9,161</w:t>
            </w: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3,803</w:t>
            </w:r>
          </w:p>
        </w:tc>
        <w:tc>
          <w:tcPr>
            <w:tcW w:w="0" w:type="dxa"/>
            <w:vAlign w:val="bottom"/>
          </w:tcPr>
          <w:p>
            <w:pPr>
              <w:spacing w:after="0"/>
              <w:rPr>
                <w:sz w:val="1"/>
                <w:szCs w:val="1"/>
                <w:color w:val="auto"/>
              </w:rPr>
            </w:pPr>
          </w:p>
        </w:tc>
      </w:tr>
      <w:tr>
        <w:trPr>
          <w:trHeight w:val="229"/>
        </w:trPr>
        <w:tc>
          <w:tcPr>
            <w:tcW w:w="786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713</w:t>
            </w:r>
          </w:p>
        </w:tc>
        <w:tc>
          <w:tcPr>
            <w:tcW w:w="4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Receivables, net of allowance for doubtful accounts of $505 and $506, respectively</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5,243</w:t>
            </w:r>
          </w:p>
        </w:tc>
        <w:tc>
          <w:tcPr>
            <w:tcW w:w="4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5,194</w:t>
            </w:r>
          </w:p>
        </w:tc>
        <w:tc>
          <w:tcPr>
            <w:tcW w:w="0" w:type="dxa"/>
            <w:vAlign w:val="bottom"/>
          </w:tcPr>
          <w:p>
            <w:pPr>
              <w:spacing w:after="0"/>
              <w:rPr>
                <w:sz w:val="1"/>
                <w:szCs w:val="1"/>
                <w:color w:val="auto"/>
              </w:rPr>
            </w:pPr>
          </w:p>
        </w:tc>
      </w:tr>
      <w:tr>
        <w:trPr>
          <w:trHeight w:val="230"/>
        </w:trPr>
        <w:tc>
          <w:tcPr>
            <w:tcW w:w="7860" w:type="dxa"/>
            <w:vAlign w:val="bottom"/>
          </w:tcPr>
          <w:p>
            <w:pPr>
              <w:ind w:left="40"/>
              <w:spacing w:after="0"/>
              <w:rPr>
                <w:sz w:val="20"/>
                <w:szCs w:val="20"/>
                <w:color w:val="auto"/>
              </w:rPr>
            </w:pPr>
            <w:r>
              <w:rPr>
                <w:rFonts w:ascii="Arial" w:cs="Arial" w:eastAsia="Arial" w:hAnsi="Arial"/>
                <w:sz w:val="18"/>
                <w:szCs w:val="18"/>
                <w:color w:val="auto"/>
              </w:rPr>
              <w:t>Inventories, net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9,218</w:t>
            </w:r>
          </w:p>
        </w:tc>
        <w:tc>
          <w:tcPr>
            <w:tcW w:w="4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10,463</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receivable</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7,221</w:t>
            </w:r>
          </w:p>
        </w:tc>
        <w:tc>
          <w:tcPr>
            <w:tcW w:w="4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7,169</w:t>
            </w:r>
          </w:p>
        </w:tc>
        <w:tc>
          <w:tcPr>
            <w:tcW w:w="0" w:type="dxa"/>
            <w:vAlign w:val="bottom"/>
          </w:tcPr>
          <w:p>
            <w:pPr>
              <w:spacing w:after="0"/>
              <w:rPr>
                <w:sz w:val="1"/>
                <w:szCs w:val="1"/>
                <w:color w:val="auto"/>
              </w:rPr>
            </w:pPr>
          </w:p>
        </w:tc>
      </w:tr>
      <w:tr>
        <w:trPr>
          <w:trHeight w:val="230"/>
        </w:trPr>
        <w:tc>
          <w:tcPr>
            <w:tcW w:w="7860" w:type="dxa"/>
            <w:vAlign w:val="bottom"/>
          </w:tcPr>
          <w:p>
            <w:pPr>
              <w:ind w:left="4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2,505</w:t>
            </w:r>
          </w:p>
        </w:tc>
        <w:tc>
          <w:tcPr>
            <w:tcW w:w="4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09"/>
        </w:trPr>
        <w:tc>
          <w:tcPr>
            <w:tcW w:w="78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34,061</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40"/>
              <w:spacing w:after="0"/>
              <w:rPr>
                <w:sz w:val="20"/>
                <w:szCs w:val="20"/>
                <w:color w:val="auto"/>
              </w:rPr>
            </w:pPr>
            <w:r>
              <w:rPr>
                <w:rFonts w:ascii="Arial" w:cs="Arial" w:eastAsia="Arial" w:hAnsi="Arial"/>
                <w:sz w:val="18"/>
                <w:szCs w:val="18"/>
                <w:color w:val="auto"/>
              </w:rPr>
              <w:t>Long-term marketable securities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707</w:t>
            </w:r>
          </w:p>
        </w:tc>
        <w:tc>
          <w:tcPr>
            <w:tcW w:w="4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1,762</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inventories, net</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3,313</w:t>
            </w:r>
          </w:p>
        </w:tc>
        <w:tc>
          <w:tcPr>
            <w:tcW w:w="4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4,590</w:t>
            </w:r>
          </w:p>
        </w:tc>
        <w:tc>
          <w:tcPr>
            <w:tcW w:w="0" w:type="dxa"/>
            <w:vAlign w:val="bottom"/>
          </w:tcPr>
          <w:p>
            <w:pPr>
              <w:spacing w:after="0"/>
              <w:rPr>
                <w:sz w:val="1"/>
                <w:szCs w:val="1"/>
                <w:color w:val="auto"/>
              </w:rPr>
            </w:pPr>
          </w:p>
        </w:tc>
      </w:tr>
      <w:tr>
        <w:trPr>
          <w:trHeight w:val="229"/>
        </w:trPr>
        <w:tc>
          <w:tcPr>
            <w:tcW w:w="786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688</w:t>
            </w:r>
          </w:p>
        </w:tc>
        <w:tc>
          <w:tcPr>
            <w:tcW w:w="4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 right of use assets, net</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1,690</w:t>
            </w:r>
          </w:p>
        </w:tc>
        <w:tc>
          <w:tcPr>
            <w:tcW w:w="4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1,936</w:t>
            </w:r>
          </w:p>
        </w:tc>
        <w:tc>
          <w:tcPr>
            <w:tcW w:w="0" w:type="dxa"/>
            <w:vAlign w:val="bottom"/>
          </w:tcPr>
          <w:p>
            <w:pPr>
              <w:spacing w:after="0"/>
              <w:rPr>
                <w:sz w:val="1"/>
                <w:szCs w:val="1"/>
                <w:color w:val="auto"/>
              </w:rPr>
            </w:pPr>
          </w:p>
        </w:tc>
      </w:tr>
      <w:tr>
        <w:trPr>
          <w:trHeight w:val="230"/>
        </w:trPr>
        <w:tc>
          <w:tcPr>
            <w:tcW w:w="7860" w:type="dxa"/>
            <w:vAlign w:val="bottom"/>
          </w:tcPr>
          <w:p>
            <w:pPr>
              <w:ind w:left="40"/>
              <w:spacing w:after="0"/>
              <w:rPr>
                <w:sz w:val="20"/>
                <w:szCs w:val="20"/>
                <w:color w:val="auto"/>
              </w:rPr>
            </w:pPr>
            <w:r>
              <w:rPr>
                <w:rFonts w:ascii="Arial" w:cs="Arial" w:eastAsia="Arial" w:hAnsi="Arial"/>
                <w:sz w:val="18"/>
                <w:szCs w:val="18"/>
                <w:color w:val="auto"/>
              </w:rPr>
              <w:t>Intangibles, net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23,179</w:t>
            </w:r>
          </w:p>
        </w:tc>
        <w:tc>
          <w:tcPr>
            <w:tcW w:w="4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19,248</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4,599</w:t>
            </w:r>
          </w:p>
        </w:tc>
        <w:tc>
          <w:tcPr>
            <w:tcW w:w="4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4,599</w:t>
            </w: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68,237</w:t>
            </w:r>
          </w:p>
        </w:tc>
        <w:tc>
          <w:tcPr>
            <w:tcW w:w="22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62,323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860" w:type="dxa"/>
            <w:vAlign w:val="bottom"/>
            <w:shd w:val="clear" w:color="auto" w:fill="CCEEFF"/>
          </w:tcPr>
          <w:p>
            <w:pPr>
              <w:ind w:left="192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4,015</w:t>
            </w: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3,950</w:t>
            </w:r>
          </w:p>
        </w:tc>
        <w:tc>
          <w:tcPr>
            <w:tcW w:w="0" w:type="dxa"/>
            <w:vAlign w:val="bottom"/>
          </w:tcPr>
          <w:p>
            <w:pPr>
              <w:spacing w:after="0"/>
              <w:rPr>
                <w:sz w:val="1"/>
                <w:szCs w:val="1"/>
                <w:color w:val="auto"/>
              </w:rPr>
            </w:pPr>
          </w:p>
        </w:tc>
      </w:tr>
      <w:tr>
        <w:trPr>
          <w:trHeight w:val="230"/>
        </w:trPr>
        <w:tc>
          <w:tcPr>
            <w:tcW w:w="786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2,746</w:t>
            </w:r>
          </w:p>
        </w:tc>
        <w:tc>
          <w:tcPr>
            <w:tcW w:w="4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2,352</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product revenue</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4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30"/>
        </w:trPr>
        <w:tc>
          <w:tcPr>
            <w:tcW w:w="7860" w:type="dxa"/>
            <w:vAlign w:val="bottom"/>
          </w:tcPr>
          <w:p>
            <w:pPr>
              <w:ind w:left="40"/>
              <w:spacing w:after="0"/>
              <w:rPr>
                <w:sz w:val="20"/>
                <w:szCs w:val="20"/>
                <w:color w:val="auto"/>
              </w:rPr>
            </w:pPr>
            <w:r>
              <w:rPr>
                <w:rFonts w:ascii="Arial" w:cs="Arial" w:eastAsia="Arial" w:hAnsi="Arial"/>
                <w:sz w:val="18"/>
                <w:szCs w:val="18"/>
                <w:color w:val="auto"/>
              </w:rPr>
              <w:t>Short-term debt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3,504</w:t>
            </w:r>
          </w:p>
        </w:tc>
        <w:tc>
          <w:tcPr>
            <w:tcW w:w="4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09"/>
        </w:trPr>
        <w:tc>
          <w:tcPr>
            <w:tcW w:w="78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10,322</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40"/>
              <w:spacing w:after="0"/>
              <w:rPr>
                <w:sz w:val="20"/>
                <w:szCs w:val="20"/>
                <w:color w:val="auto"/>
              </w:rPr>
            </w:pPr>
            <w:r>
              <w:rPr>
                <w:rFonts w:ascii="Arial" w:cs="Arial" w:eastAsia="Arial" w:hAnsi="Arial"/>
                <w:sz w:val="18"/>
                <w:szCs w:val="18"/>
                <w:color w:val="auto"/>
              </w:rPr>
              <w:t>Long-term debt, net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2,291</w:t>
            </w:r>
          </w:p>
        </w:tc>
        <w:tc>
          <w:tcPr>
            <w:tcW w:w="4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3,245</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liability, net of current</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1,181</w:t>
            </w:r>
          </w:p>
        </w:tc>
        <w:tc>
          <w:tcPr>
            <w:tcW w:w="4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30"/>
        </w:trPr>
        <w:tc>
          <w:tcPr>
            <w:tcW w:w="786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678</w:t>
            </w:r>
          </w:p>
        </w:tc>
        <w:tc>
          <w:tcPr>
            <w:tcW w:w="4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09"/>
        </w:trPr>
        <w:tc>
          <w:tcPr>
            <w:tcW w:w="78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14,472</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860" w:type="dxa"/>
            <w:vAlign w:val="bottom"/>
          </w:tcPr>
          <w:p>
            <w:pPr>
              <w:ind w:left="40"/>
              <w:spacing w:after="0" w:line="201" w:lineRule="exact"/>
              <w:rPr>
                <w:sz w:val="20"/>
                <w:szCs w:val="20"/>
                <w:color w:val="auto"/>
              </w:rPr>
            </w:pPr>
            <w:r>
              <w:rPr>
                <w:rFonts w:ascii="Arial" w:cs="Arial" w:eastAsia="Arial" w:hAnsi="Arial"/>
                <w:sz w:val="18"/>
                <w:szCs w:val="18"/>
                <w:color w:val="auto"/>
                <w:w w:val="90"/>
              </w:rPr>
              <w:t>Common stock, par value $0.001, 50,000,000 shares authorized, 22,402,970 and 18,775,773 shares issued</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22</w:t>
            </w:r>
          </w:p>
        </w:tc>
        <w:tc>
          <w:tcPr>
            <w:tcW w:w="480" w:type="dxa"/>
            <w:vAlign w:val="bottom"/>
          </w:tcPr>
          <w:p>
            <w:pPr>
              <w:spacing w:after="0"/>
              <w:rPr>
                <w:sz w:val="17"/>
                <w:szCs w:val="17"/>
                <w:color w:val="auto"/>
              </w:rPr>
            </w:pPr>
          </w:p>
        </w:tc>
        <w:tc>
          <w:tcPr>
            <w:tcW w:w="106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7860" w:type="dxa"/>
            <w:vAlign w:val="bottom"/>
          </w:tcPr>
          <w:p>
            <w:pPr>
              <w:ind w:left="320"/>
              <w:spacing w:after="0"/>
              <w:rPr>
                <w:sz w:val="20"/>
                <w:szCs w:val="20"/>
                <w:color w:val="auto"/>
              </w:rPr>
            </w:pPr>
            <w:r>
              <w:rPr>
                <w:rFonts w:ascii="Arial" w:cs="Arial" w:eastAsia="Arial" w:hAnsi="Arial"/>
                <w:sz w:val="18"/>
                <w:szCs w:val="18"/>
                <w:color w:val="auto"/>
              </w:rPr>
              <w:t>and outstanding, respectively</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72,756</w:t>
            </w:r>
          </w:p>
        </w:tc>
        <w:tc>
          <w:tcPr>
            <w:tcW w:w="4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63,359</w:t>
            </w:r>
          </w:p>
        </w:tc>
        <w:tc>
          <w:tcPr>
            <w:tcW w:w="0" w:type="dxa"/>
            <w:vAlign w:val="bottom"/>
          </w:tcPr>
          <w:p>
            <w:pPr>
              <w:spacing w:after="0"/>
              <w:rPr>
                <w:sz w:val="1"/>
                <w:szCs w:val="1"/>
                <w:color w:val="auto"/>
              </w:rPr>
            </w:pPr>
          </w:p>
        </w:tc>
      </w:tr>
      <w:tr>
        <w:trPr>
          <w:trHeight w:val="230"/>
        </w:trPr>
        <w:tc>
          <w:tcPr>
            <w:tcW w:w="7860" w:type="dxa"/>
            <w:vAlign w:val="bottom"/>
          </w:tcPr>
          <w:p>
            <w:pPr>
              <w:ind w:left="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(225)</w:t>
            </w:r>
          </w:p>
        </w:tc>
        <w:tc>
          <w:tcPr>
            <w:tcW w:w="4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(18,788)</w:t>
            </w:r>
          </w:p>
        </w:tc>
        <w:tc>
          <w:tcPr>
            <w:tcW w:w="4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(13,378)</w:t>
            </w:r>
          </w:p>
        </w:tc>
        <w:tc>
          <w:tcPr>
            <w:tcW w:w="0" w:type="dxa"/>
            <w:vAlign w:val="bottom"/>
          </w:tcPr>
          <w:p>
            <w:pPr>
              <w:spacing w:after="0"/>
              <w:rPr>
                <w:sz w:val="1"/>
                <w:szCs w:val="1"/>
                <w:color w:val="auto"/>
              </w:rPr>
            </w:pPr>
          </w:p>
        </w:tc>
      </w:tr>
      <w:tr>
        <w:trPr>
          <w:trHeight w:val="210"/>
        </w:trPr>
        <w:tc>
          <w:tcPr>
            <w:tcW w:w="7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53,765</w:t>
            </w:r>
          </w:p>
        </w:tc>
        <w:tc>
          <w:tcPr>
            <w:tcW w:w="22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49,814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68,237</w:t>
            </w:r>
          </w:p>
        </w:tc>
        <w:tc>
          <w:tcPr>
            <w:tcW w:w="2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62,323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vMerge w:val="restart"/>
          </w:tcPr>
          <w:p>
            <w:pPr>
              <w:ind w:left="558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8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78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p>
      <w:pPr>
        <w:jc w:val="center"/>
        <w:ind w:right="120"/>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UNAUDITED CONDENSED CONSOLIDATED STATEMENTS OF OPERATIONS AND COMPREHENSIVE LOSS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(Dollars in thousands, except per share values)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20" w:type="dxa"/>
            <w:vAlign w:val="bottom"/>
            <w:gridSpan w:val="5"/>
          </w:tcPr>
          <w:p>
            <w:pPr>
              <w:jc w:val="right"/>
              <w:ind w:right="460"/>
              <w:spacing w:after="0"/>
              <w:rPr>
                <w:sz w:val="20"/>
                <w:szCs w:val="20"/>
                <w:color w:val="auto"/>
              </w:rPr>
            </w:pPr>
            <w:r>
              <w:rPr>
                <w:rFonts w:ascii="Arial" w:cs="Arial" w:eastAsia="Arial" w:hAnsi="Arial"/>
                <w:sz w:val="16"/>
                <w:szCs w:val="16"/>
                <w:b w:val="1"/>
                <w:bCs w:val="1"/>
                <w:color w:val="auto"/>
                <w:w w:val="93"/>
              </w:rPr>
              <w:t>Three months ended September 30,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4"/>
              </w:rPr>
              <w:t xml:space="preserve">Nine </w:t>
            </w:r>
            <w:r>
              <w:rPr>
                <w:rFonts w:ascii="Arial" w:cs="Arial" w:eastAsia="Arial" w:hAnsi="Arial"/>
                <w:sz w:val="16"/>
                <w:szCs w:val="16"/>
                <w:b w:val="1"/>
                <w:bCs w:val="1"/>
                <w:color w:val="auto"/>
                <w:w w:val="94"/>
              </w:rPr>
              <w:t>months ended September 30,</w:t>
            </w:r>
          </w:p>
        </w:tc>
        <w:tc>
          <w:tcPr>
            <w:tcW w:w="0" w:type="dxa"/>
            <w:vAlign w:val="bottom"/>
          </w:tcPr>
          <w:p>
            <w:pPr>
              <w:spacing w:after="0"/>
              <w:rPr>
                <w:sz w:val="1"/>
                <w:szCs w:val="1"/>
                <w:color w:val="auto"/>
              </w:rPr>
            </w:pPr>
          </w:p>
        </w:tc>
      </w:tr>
      <w:tr>
        <w:trPr>
          <w:trHeight w:val="207"/>
        </w:trPr>
        <w:tc>
          <w:tcPr>
            <w:tcW w:w="46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2020</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6,992</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4,141</w:t>
            </w:r>
          </w:p>
        </w:tc>
        <w:tc>
          <w:tcPr>
            <w:tcW w:w="34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4,892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12,487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6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2,851</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9,278</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1,692</w:t>
            </w:r>
          </w:p>
        </w:tc>
        <w:tc>
          <w:tcPr>
            <w:tcW w:w="34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1,736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5,020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product development</w:t>
            </w: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1,492</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4,253</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1,676</w:t>
            </w:r>
          </w:p>
        </w:tc>
        <w:tc>
          <w:tcPr>
            <w:tcW w:w="34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1,443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4,860</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14,297</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(2,009)</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(5,019)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29"/>
        </w:trPr>
        <w:tc>
          <w:tcPr>
            <w:tcW w:w="468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20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20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(2,152)</w:t>
            </w:r>
          </w:p>
        </w:tc>
        <w:tc>
          <w:tcPr>
            <w:tcW w:w="3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(1,249)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(5,371)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(5,005)</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(2,169)</w:t>
            </w:r>
          </w:p>
        </w:tc>
        <w:tc>
          <w:tcPr>
            <w:tcW w:w="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(5,410)</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(5,044)</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20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19,449,283</w:t>
            </w:r>
          </w:p>
        </w:tc>
        <w:tc>
          <w:tcPr>
            <w:tcW w:w="34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17,000,215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19,002,758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16,768,088</w:t>
            </w:r>
          </w:p>
        </w:tc>
        <w:tc>
          <w:tcPr>
            <w:tcW w:w="0" w:type="dxa"/>
            <w:vAlign w:val="bottom"/>
          </w:tcPr>
          <w:p>
            <w:pPr>
              <w:spacing w:after="0"/>
              <w:rPr>
                <w:sz w:val="1"/>
                <w:szCs w:val="1"/>
                <w:color w:val="auto"/>
              </w:rPr>
            </w:pPr>
          </w:p>
        </w:tc>
      </w:tr>
      <w:tr>
        <w:trPr>
          <w:trHeight w:val="270"/>
        </w:trPr>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20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19,449,283</w:t>
            </w:r>
          </w:p>
        </w:tc>
        <w:tc>
          <w:tcPr>
            <w:tcW w:w="3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17,000,215</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19,002,758</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16,768,088</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loss per share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(0.07)</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(0.28)</w:t>
            </w:r>
          </w:p>
        </w:tc>
        <w:tc>
          <w:tcPr>
            <w:tcW w:w="4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29"/>
        </w:trPr>
        <w:tc>
          <w:tcPr>
            <w:tcW w:w="4680" w:type="dxa"/>
            <w:vAlign w:val="bottom"/>
          </w:tcPr>
          <w:p>
            <w:pPr>
              <w:ind w:left="40"/>
              <w:spacing w:after="0"/>
              <w:rPr>
                <w:sz w:val="20"/>
                <w:szCs w:val="20"/>
                <w:color w:val="auto"/>
              </w:rPr>
            </w:pPr>
            <w:r>
              <w:rPr>
                <w:rFonts w:ascii="Arial" w:cs="Arial" w:eastAsia="Arial" w:hAnsi="Arial"/>
                <w:sz w:val="18"/>
                <w:szCs w:val="18"/>
                <w:color w:val="auto"/>
              </w:rPr>
              <w:t>Diluted loss per share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(0.11)</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(0.07)</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(0.28)</w:t>
            </w:r>
          </w:p>
        </w:tc>
        <w:tc>
          <w:tcPr>
            <w:tcW w:w="4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(2,169)</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(5,410)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(5,044)</w:t>
            </w:r>
          </w:p>
        </w:tc>
        <w:tc>
          <w:tcPr>
            <w:tcW w:w="0" w:type="dxa"/>
            <w:vAlign w:val="bottom"/>
          </w:tcPr>
          <w:p>
            <w:pPr>
              <w:spacing w:after="0"/>
              <w:rPr>
                <w:sz w:val="1"/>
                <w:szCs w:val="1"/>
                <w:color w:val="auto"/>
              </w:rPr>
            </w:pPr>
          </w:p>
        </w:tc>
      </w:tr>
      <w:tr>
        <w:trPr>
          <w:trHeight w:val="202"/>
        </w:trPr>
        <w:tc>
          <w:tcPr>
            <w:tcW w:w="4680" w:type="dxa"/>
            <w:vAlign w:val="bottom"/>
          </w:tcPr>
          <w:p>
            <w:pPr>
              <w:ind w:left="220"/>
              <w:spacing w:after="0" w:line="201" w:lineRule="exact"/>
              <w:rPr>
                <w:sz w:val="20"/>
                <w:szCs w:val="20"/>
                <w:color w:val="auto"/>
              </w:rPr>
            </w:pPr>
            <w:r>
              <w:rPr>
                <w:rFonts w:ascii="Arial" w:cs="Arial" w:eastAsia="Arial" w:hAnsi="Arial"/>
                <w:sz w:val="18"/>
                <w:szCs w:val="18"/>
                <w:color w:val="auto"/>
              </w:rPr>
              <w:t>Unrealized gain (loss) on available-for-sale securities,</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520"/>
              <w:spacing w:after="0"/>
              <w:rPr>
                <w:sz w:val="20"/>
                <w:szCs w:val="20"/>
                <w:color w:val="auto"/>
              </w:rPr>
            </w:pPr>
            <w:r>
              <w:rPr>
                <w:rFonts w:ascii="Arial" w:cs="Arial" w:eastAsia="Arial" w:hAnsi="Arial"/>
                <w:sz w:val="18"/>
                <w:szCs w:val="18"/>
                <w:color w:val="auto"/>
              </w:rPr>
              <w:t>net of tax</w:t>
            </w:r>
          </w:p>
        </w:tc>
        <w:tc>
          <w:tcPr>
            <w:tcW w:w="20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foreign currency translation adjustment</w:t>
            </w: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680" w:type="dxa"/>
            <w:vAlign w:val="bottom"/>
            <w:vMerge w:val="restart"/>
          </w:tcPr>
          <w:p>
            <w:pPr>
              <w:ind w:left="220"/>
              <w:spacing w:after="0"/>
              <w:rPr>
                <w:sz w:val="20"/>
                <w:szCs w:val="20"/>
                <w:color w:val="auto"/>
              </w:rPr>
            </w:pPr>
            <w:r>
              <w:rPr>
                <w:rFonts w:ascii="Arial" w:cs="Arial" w:eastAsia="Arial" w:hAnsi="Arial"/>
                <w:sz w:val="18"/>
                <w:szCs w:val="18"/>
                <w:color w:val="auto"/>
              </w:rPr>
              <w:t>Comprehensive loss</w:t>
            </w:r>
          </w:p>
        </w:tc>
        <w:tc>
          <w:tcPr>
            <w:tcW w:w="200" w:type="dxa"/>
            <w:vAlign w:val="bottom"/>
          </w:tcPr>
          <w:p>
            <w:pPr>
              <w:spacing w:after="0"/>
              <w:rPr>
                <w:sz w:val="13"/>
                <w:szCs w:val="13"/>
                <w:color w:val="auto"/>
              </w:rPr>
            </w:pPr>
          </w:p>
        </w:tc>
        <w:tc>
          <w:tcPr>
            <w:tcW w:w="14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(2,181)</w:t>
            </w:r>
          </w:p>
        </w:tc>
        <w:tc>
          <w:tcPr>
            <w:tcW w:w="340" w:type="dxa"/>
            <w:vAlign w:val="bottom"/>
          </w:tcPr>
          <w:p>
            <w:pPr>
              <w:spacing w:after="0"/>
              <w:rPr>
                <w:sz w:val="13"/>
                <w:szCs w:val="13"/>
                <w:color w:val="auto"/>
              </w:rPr>
            </w:pPr>
          </w:p>
        </w:tc>
        <w:tc>
          <w:tcPr>
            <w:tcW w:w="12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(1,239)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jc w:val="right"/>
              <w:spacing w:after="0" w:line="156" w:lineRule="exact"/>
              <w:rPr>
                <w:sz w:val="20"/>
                <w:szCs w:val="20"/>
                <w:color w:val="auto"/>
              </w:rPr>
            </w:pPr>
            <w:r>
              <w:rPr>
                <w:rFonts w:ascii="Arial" w:cs="Arial" w:eastAsia="Arial" w:hAnsi="Arial"/>
                <w:sz w:val="18"/>
                <w:szCs w:val="18"/>
                <w:color w:val="auto"/>
              </w:rPr>
              <w:t>(5,449</w:t>
            </w:r>
          </w:p>
        </w:tc>
        <w:tc>
          <w:tcPr>
            <w:tcW w:w="1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spacing w:after="0" w:line="156" w:lineRule="exact"/>
              <w:rPr>
                <w:sz w:val="20"/>
                <w:szCs w:val="20"/>
                <w:color w:val="auto"/>
              </w:rPr>
            </w:pPr>
            <w:r>
              <w:rPr>
                <w:rFonts w:ascii="Arial" w:cs="Arial" w:eastAsia="Arial" w:hAnsi="Arial"/>
                <w:sz w:val="18"/>
                <w:szCs w:val="18"/>
                <w:color w:val="auto"/>
              </w:rPr>
              <w:t>(5,058</w:t>
            </w:r>
          </w:p>
        </w:tc>
        <w:tc>
          <w:tcPr>
            <w:tcW w:w="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46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360" w:type="dxa"/>
            <w:vAlign w:val="bottom"/>
            <w:gridSpan w:val="2"/>
          </w:tcPr>
          <w:p>
            <w:pPr>
              <w:jc w:val="right"/>
              <w:ind w:right="60"/>
              <w:spacing w:after="0" w:line="68" w:lineRule="exact"/>
              <w:rPr>
                <w:sz w:val="20"/>
                <w:szCs w:val="20"/>
                <w:color w:val="auto"/>
              </w:rPr>
            </w:pPr>
            <w:r>
              <w:rPr>
                <w:rFonts w:ascii="Arial" w:cs="Arial" w:eastAsia="Arial" w:hAnsi="Arial"/>
                <w:sz w:val="7"/>
                <w:szCs w:val="7"/>
                <w:color w:val="auto"/>
              </w:rPr>
              <w:t>)</w:t>
            </w: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gridSpan w:val="2"/>
          </w:tcPr>
          <w:p>
            <w:pPr>
              <w:jc w:val="right"/>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ind w:right="351"/>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6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jc w:val="center"/>
        <w:ind w:right="120"/>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UNAUDITED RECONCILIATION OF GAAP MEASURES TO NON-GAAP MEASURES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(Dollars in thousands, except per share values)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40" w:type="dxa"/>
            <w:vAlign w:val="bottom"/>
            <w:gridSpan w:val="6"/>
          </w:tcPr>
          <w:p>
            <w:pPr>
              <w:jc w:val="right"/>
              <w:ind w:right="560"/>
              <w:spacing w:after="0"/>
              <w:rPr>
                <w:sz w:val="20"/>
                <w:szCs w:val="20"/>
                <w:color w:val="auto"/>
              </w:rPr>
            </w:pPr>
            <w:r>
              <w:rPr>
                <w:rFonts w:ascii="Arial" w:cs="Arial" w:eastAsia="Arial" w:hAnsi="Arial"/>
                <w:sz w:val="16"/>
                <w:szCs w:val="16"/>
                <w:b w:val="1"/>
                <w:bCs w:val="1"/>
                <w:color w:val="auto"/>
                <w:w w:val="94"/>
              </w:rPr>
              <w:t>Three months ended September 30,</w:t>
            </w:r>
          </w:p>
        </w:tc>
        <w:tc>
          <w:tcPr>
            <w:tcW w:w="240" w:type="dxa"/>
            <w:vAlign w:val="bottom"/>
          </w:tcPr>
          <w:p>
            <w:pPr>
              <w:spacing w:after="0"/>
              <w:rPr>
                <w:sz w:val="18"/>
                <w:szCs w:val="18"/>
                <w:color w:val="auto"/>
              </w:rPr>
            </w:pPr>
          </w:p>
        </w:tc>
        <w:tc>
          <w:tcPr>
            <w:tcW w:w="3020" w:type="dxa"/>
            <w:vAlign w:val="bottom"/>
            <w:gridSpan w:val="6"/>
          </w:tcPr>
          <w:p>
            <w:pPr>
              <w:jc w:val="right"/>
              <w:ind w:right="460"/>
              <w:spacing w:after="0"/>
              <w:rPr>
                <w:sz w:val="20"/>
                <w:szCs w:val="20"/>
                <w:color w:val="auto"/>
              </w:rPr>
            </w:pPr>
            <w:r>
              <w:rPr>
                <w:rFonts w:ascii="Arial" w:cs="Arial" w:eastAsia="Arial" w:hAnsi="Arial"/>
                <w:sz w:val="16"/>
                <w:szCs w:val="16"/>
                <w:b w:val="1"/>
                <w:bCs w:val="1"/>
                <w:color w:val="auto"/>
                <w:w w:val="95"/>
              </w:rPr>
              <w:t>Nine months ended September 30,</w:t>
            </w:r>
          </w:p>
        </w:tc>
        <w:tc>
          <w:tcPr>
            <w:tcW w:w="0" w:type="dxa"/>
            <w:vAlign w:val="bottom"/>
          </w:tcPr>
          <w:p>
            <w:pPr>
              <w:spacing w:after="0"/>
              <w:rPr>
                <w:sz w:val="1"/>
                <w:szCs w:val="1"/>
                <w:color w:val="auto"/>
              </w:rPr>
            </w:pPr>
          </w:p>
        </w:tc>
      </w:tr>
      <w:tr>
        <w:trPr>
          <w:trHeight w:val="213"/>
        </w:trPr>
        <w:tc>
          <w:tcPr>
            <w:tcW w:w="46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GAAP gross profit</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3,520</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9,278</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Stock-based compensation</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Non-GAAP gross profit</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3,520</w:t>
            </w: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9,285</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GAAP operating loss</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(2,009)</w:t>
            </w:r>
          </w:p>
        </w:tc>
        <w:tc>
          <w:tcPr>
            <w:tcW w:w="400" w:type="dxa"/>
            <w:vAlign w:val="bottom"/>
            <w:gridSpan w:val="2"/>
            <w:shd w:val="clear" w:color="auto" w:fill="CCEEFF"/>
          </w:tcPr>
          <w:p>
            <w:pPr>
              <w:jc w:val="right"/>
              <w:ind w:right="164"/>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(1,160)</w:t>
            </w: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5,019</w:t>
            </w:r>
            <w:r>
              <w:rPr>
                <w:rFonts w:ascii="Arial" w:cs="Arial" w:eastAsia="Arial" w:hAnsi="Arial"/>
                <w:sz w:val="16"/>
                <w:szCs w:val="16"/>
                <w:color w:val="auto"/>
              </w:rPr>
              <w:t>)</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4,750</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462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9"/>
                <w:szCs w:val="19"/>
                <w:color w:val="auto"/>
              </w:rPr>
            </w:pPr>
          </w:p>
        </w:tc>
        <w:tc>
          <w:tcPr>
            <w:tcW w:w="1360" w:type="dxa"/>
            <w:vAlign w:val="bottom"/>
            <w:gridSpan w:val="2"/>
          </w:tcPr>
          <w:p>
            <w:pPr>
              <w:jc w:val="right"/>
              <w:ind w:right="59"/>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intangibles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1,636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6"/>
                <w:szCs w:val="16"/>
                <w:b w:val="1"/>
                <w:bCs w:val="1"/>
                <w:color w:val="auto"/>
              </w:rPr>
              <w:t>Non-GAAP operating loss</w:t>
            </w: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ind w:right="2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210"/>
        </w:trPr>
        <w:tc>
          <w:tcPr>
            <w:tcW w:w="4620" w:type="dxa"/>
            <w:vAlign w:val="bottom"/>
            <w:vMerge w:val="continue"/>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80"/>
              <w:spacing w:after="0"/>
              <w:rPr>
                <w:sz w:val="20"/>
                <w:szCs w:val="20"/>
                <w:color w:val="auto"/>
              </w:rPr>
            </w:pPr>
            <w:r>
              <w:rPr>
                <w:rFonts w:ascii="Arial" w:cs="Arial" w:eastAsia="Arial" w:hAnsi="Arial"/>
                <w:sz w:val="16"/>
                <w:szCs w:val="16"/>
                <w:color w:val="auto"/>
              </w:rPr>
              <w:t>(1,391)</w:t>
            </w:r>
          </w:p>
        </w:tc>
        <w:tc>
          <w:tcPr>
            <w:tcW w:w="80" w:type="dxa"/>
            <w:vAlign w:val="bottom"/>
            <w:vMerge w:val="continue"/>
          </w:tcPr>
          <w:p>
            <w:pPr>
              <w:spacing w:after="0"/>
              <w:rPr>
                <w:sz w:val="18"/>
                <w:szCs w:val="18"/>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(712)</w:t>
            </w: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3,283</w:t>
            </w:r>
          </w:p>
        </w:tc>
        <w:tc>
          <w:tcPr>
            <w:tcW w:w="140" w:type="dxa"/>
            <w:vAlign w:val="bottom"/>
            <w:vMerge w:val="continue"/>
          </w:tcPr>
          <w:p>
            <w:pPr>
              <w:spacing w:after="0"/>
              <w:rPr>
                <w:sz w:val="18"/>
                <w:szCs w:val="18"/>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3,475</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GAAP net loss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80"/>
              <w:spacing w:after="0"/>
              <w:rPr>
                <w:sz w:val="20"/>
                <w:szCs w:val="20"/>
                <w:color w:val="auto"/>
              </w:rPr>
            </w:pPr>
            <w:r>
              <w:rPr>
                <w:rFonts w:ascii="Arial" w:cs="Arial" w:eastAsia="Arial" w:hAnsi="Arial"/>
                <w:sz w:val="16"/>
                <w:szCs w:val="16"/>
                <w:color w:val="auto"/>
              </w:rPr>
              <w:t>(2,169)</w:t>
            </w:r>
          </w:p>
        </w:tc>
        <w:tc>
          <w:tcPr>
            <w:tcW w:w="400" w:type="dxa"/>
            <w:vAlign w:val="bottom"/>
            <w:gridSpan w:val="2"/>
          </w:tcPr>
          <w:p>
            <w:pPr>
              <w:jc w:val="right"/>
              <w:ind w:right="164"/>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(1,260)</w:t>
            </w: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5,410</w:t>
            </w:r>
            <w:r>
              <w:rPr>
                <w:rFonts w:ascii="Arial" w:cs="Arial" w:eastAsia="Arial" w:hAnsi="Arial"/>
                <w:sz w:val="16"/>
                <w:szCs w:val="16"/>
                <w:color w:val="auto"/>
              </w:rPr>
              <w:t>)</w:t>
            </w:r>
          </w:p>
        </w:tc>
        <w:tc>
          <w:tcPr>
            <w:tcW w:w="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5,044</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w:t>
            </w: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4620" w:type="dxa"/>
            <w:vAlign w:val="bottom"/>
          </w:tcPr>
          <w:p>
            <w:pPr>
              <w:ind w:left="40"/>
              <w:spacing w:after="0"/>
              <w:rPr>
                <w:sz w:val="20"/>
                <w:szCs w:val="20"/>
                <w:color w:val="auto"/>
              </w:rPr>
            </w:pPr>
            <w:r>
              <w:rPr>
                <w:rFonts w:ascii="Arial" w:cs="Arial" w:eastAsia="Arial" w:hAnsi="Arial"/>
                <w:sz w:val="16"/>
                <w:szCs w:val="16"/>
                <w:color w:val="auto"/>
              </w:rPr>
              <w:t>Amortization of intangibles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582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59"/>
              <w:spacing w:after="0"/>
              <w:rPr>
                <w:sz w:val="20"/>
                <w:szCs w:val="20"/>
                <w:color w:val="auto"/>
              </w:rPr>
            </w:pPr>
            <w:r>
              <w:rPr>
                <w:rFonts w:ascii="Arial" w:cs="Arial" w:eastAsia="Arial" w:hAnsi="Arial"/>
                <w:sz w:val="18"/>
                <w:szCs w:val="18"/>
                <w:color w:val="auto"/>
              </w:rPr>
              <w:t>1,636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0"/>
        </w:trPr>
        <w:tc>
          <w:tcPr>
            <w:tcW w:w="4620" w:type="dxa"/>
            <w:vAlign w:val="bottom"/>
            <w:vMerge w:val="restart"/>
            <w:shd w:val="clear" w:color="auto" w:fill="CCEEFF"/>
          </w:tcPr>
          <w:p>
            <w:pPr>
              <w:ind w:left="40"/>
              <w:spacing w:after="0"/>
              <w:rPr>
                <w:sz w:val="20"/>
                <w:szCs w:val="20"/>
                <w:color w:val="auto"/>
              </w:rPr>
            </w:pPr>
            <w:r>
              <w:rPr>
                <w:rFonts w:ascii="Arial" w:cs="Arial" w:eastAsia="Arial" w:hAnsi="Arial"/>
                <w:sz w:val="16"/>
                <w:szCs w:val="16"/>
                <w:b w:val="1"/>
                <w:bCs w:val="1"/>
                <w:color w:val="auto"/>
              </w:rPr>
              <w:t>Non-GAAP net loss</w:t>
            </w: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jc w:val="right"/>
              <w:ind w:right="2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210"/>
        </w:trPr>
        <w:tc>
          <w:tcPr>
            <w:tcW w:w="46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(1,551)</w:t>
            </w:r>
          </w:p>
        </w:tc>
        <w:tc>
          <w:tcPr>
            <w:tcW w:w="8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(812)</w:t>
            </w: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3,674</w:t>
            </w:r>
          </w:p>
        </w:tc>
        <w:tc>
          <w:tcPr>
            <w:tcW w:w="140" w:type="dxa"/>
            <w:vAlign w:val="bottom"/>
            <w:vMerge w:val="continue"/>
            <w:shd w:val="clear" w:color="auto" w:fill="CCEEFF"/>
          </w:tcPr>
          <w:p>
            <w:pPr>
              <w:spacing w:after="0"/>
              <w:rPr>
                <w:sz w:val="18"/>
                <w:szCs w:val="18"/>
                <w:color w:val="auto"/>
              </w:rPr>
            </w:pP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3,769</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GAAP net loss</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(2,169)</w:t>
            </w:r>
          </w:p>
        </w:tc>
        <w:tc>
          <w:tcPr>
            <w:tcW w:w="400" w:type="dxa"/>
            <w:vAlign w:val="bottom"/>
            <w:gridSpan w:val="2"/>
            <w:shd w:val="clear" w:color="auto" w:fill="CCEEFF"/>
          </w:tcPr>
          <w:p>
            <w:pPr>
              <w:jc w:val="right"/>
              <w:ind w:right="164"/>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(1,260)</w:t>
            </w: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5,410</w:t>
            </w:r>
            <w:r>
              <w:rPr>
                <w:rFonts w:ascii="Arial" w:cs="Arial" w:eastAsia="Arial" w:hAnsi="Arial"/>
                <w:sz w:val="16"/>
                <w:szCs w:val="16"/>
                <w:color w:val="auto"/>
              </w:rPr>
              <w:t>)</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5,044</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40"/>
              <w:spacing w:after="0"/>
              <w:rPr>
                <w:sz w:val="20"/>
                <w:szCs w:val="20"/>
                <w:color w:val="auto"/>
              </w:rPr>
            </w:pPr>
            <w:r>
              <w:rPr>
                <w:rFonts w:ascii="Arial" w:cs="Arial" w:eastAsia="Arial" w:hAnsi="Arial"/>
                <w:sz w:val="16"/>
                <w:szCs w:val="16"/>
                <w:color w:val="auto"/>
                <w:w w:val="95"/>
              </w:rPr>
              <w:t>Number of shares used in computing GAAP loss per share (diluted)</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19,449,283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17,000,215</w:t>
            </w:r>
          </w:p>
        </w:tc>
        <w:tc>
          <w:tcPr>
            <w:tcW w:w="240" w:type="dxa"/>
            <w:vAlign w:val="bottom"/>
          </w:tcPr>
          <w:p>
            <w:pPr>
              <w:spacing w:after="0"/>
              <w:rPr>
                <w:sz w:val="18"/>
                <w:szCs w:val="18"/>
                <w:color w:val="auto"/>
              </w:rPr>
            </w:pPr>
          </w:p>
        </w:tc>
        <w:tc>
          <w:tcPr>
            <w:tcW w:w="1360" w:type="dxa"/>
            <w:vAlign w:val="bottom"/>
            <w:gridSpan w:val="2"/>
          </w:tcPr>
          <w:p>
            <w:pPr>
              <w:jc w:val="right"/>
              <w:ind w:right="59"/>
              <w:spacing w:after="0"/>
              <w:rPr>
                <w:sz w:val="20"/>
                <w:szCs w:val="20"/>
                <w:color w:val="auto"/>
              </w:rPr>
            </w:pPr>
            <w:r>
              <w:rPr>
                <w:rFonts w:ascii="Arial" w:cs="Arial" w:eastAsia="Arial" w:hAnsi="Arial"/>
                <w:sz w:val="18"/>
                <w:szCs w:val="18"/>
                <w:color w:val="auto"/>
              </w:rPr>
              <w:t>19,002,758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16,768,088</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GAAP loss per share (diluted)</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(0.11)</w:t>
            </w:r>
          </w:p>
        </w:tc>
        <w:tc>
          <w:tcPr>
            <w:tcW w:w="400" w:type="dxa"/>
            <w:vAlign w:val="bottom"/>
            <w:gridSpan w:val="2"/>
            <w:shd w:val="clear" w:color="auto" w:fill="CCEEFF"/>
          </w:tcPr>
          <w:p>
            <w:pPr>
              <w:jc w:val="right"/>
              <w:ind w:right="164"/>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(0.07)</w:t>
            </w: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0.28</w:t>
            </w:r>
            <w:r>
              <w:rPr>
                <w:rFonts w:ascii="Arial" w:cs="Arial" w:eastAsia="Arial" w:hAnsi="Arial"/>
                <w:sz w:val="16"/>
                <w:szCs w:val="16"/>
                <w:color w:val="auto"/>
              </w:rPr>
              <w:t>)</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0.30</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4620" w:type="dxa"/>
            <w:vAlign w:val="bottom"/>
          </w:tcPr>
          <w:p>
            <w:pPr>
              <w:ind w:left="40"/>
              <w:spacing w:after="0"/>
              <w:rPr>
                <w:sz w:val="20"/>
                <w:szCs w:val="20"/>
                <w:color w:val="auto"/>
              </w:rPr>
            </w:pPr>
            <w:r>
              <w:rPr>
                <w:rFonts w:ascii="Arial" w:cs="Arial" w:eastAsia="Arial" w:hAnsi="Arial"/>
                <w:sz w:val="16"/>
                <w:szCs w:val="16"/>
                <w:color w:val="auto"/>
              </w:rPr>
              <w:t>Non-GAAP net loss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80"/>
              <w:spacing w:after="0"/>
              <w:rPr>
                <w:sz w:val="20"/>
                <w:szCs w:val="20"/>
                <w:color w:val="auto"/>
              </w:rPr>
            </w:pPr>
            <w:r>
              <w:rPr>
                <w:rFonts w:ascii="Arial" w:cs="Arial" w:eastAsia="Arial" w:hAnsi="Arial"/>
                <w:sz w:val="16"/>
                <w:szCs w:val="16"/>
                <w:color w:val="auto"/>
              </w:rPr>
              <w:t>(1,551)</w:t>
            </w:r>
          </w:p>
        </w:tc>
        <w:tc>
          <w:tcPr>
            <w:tcW w:w="400" w:type="dxa"/>
            <w:vAlign w:val="bottom"/>
            <w:gridSpan w:val="2"/>
          </w:tcPr>
          <w:p>
            <w:pPr>
              <w:jc w:val="right"/>
              <w:ind w:right="164"/>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(812)</w:t>
            </w: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3,674</w:t>
            </w:r>
            <w:r>
              <w:rPr>
                <w:rFonts w:ascii="Arial" w:cs="Arial" w:eastAsia="Arial" w:hAnsi="Arial"/>
                <w:sz w:val="16"/>
                <w:szCs w:val="16"/>
                <w:color w:val="auto"/>
              </w:rPr>
              <w:t>)</w:t>
            </w:r>
          </w:p>
        </w:tc>
        <w:tc>
          <w:tcPr>
            <w:tcW w:w="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3,769</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4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Number of shares used in computing Non-GAAP loss per share</w:t>
            </w: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60" w:type="dxa"/>
            <w:vAlign w:val="bottom"/>
            <w:gridSpan w:val="2"/>
            <w:vMerge w:val="restart"/>
            <w:shd w:val="clear" w:color="auto" w:fill="CCEEFF"/>
          </w:tcPr>
          <w:p>
            <w:pPr>
              <w:jc w:val="right"/>
              <w:ind w:right="59"/>
              <w:spacing w:after="0"/>
              <w:rPr>
                <w:sz w:val="20"/>
                <w:szCs w:val="20"/>
                <w:color w:val="auto"/>
              </w:rPr>
            </w:pPr>
            <w:r>
              <w:rPr>
                <w:rFonts w:ascii="Arial" w:cs="Arial" w:eastAsia="Arial" w:hAnsi="Arial"/>
                <w:sz w:val="18"/>
                <w:szCs w:val="18"/>
                <w:color w:val="auto"/>
              </w:rPr>
              <w:t>19,002,758</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16,768,088</w:t>
            </w:r>
          </w:p>
        </w:tc>
        <w:tc>
          <w:tcPr>
            <w:tcW w:w="0" w:type="dxa"/>
            <w:vAlign w:val="bottom"/>
          </w:tcPr>
          <w:p>
            <w:pPr>
              <w:spacing w:after="0"/>
              <w:rPr>
                <w:sz w:val="1"/>
                <w:szCs w:val="1"/>
                <w:color w:val="auto"/>
              </w:rPr>
            </w:pPr>
          </w:p>
        </w:tc>
      </w:tr>
      <w:tr>
        <w:trPr>
          <w:trHeight w:val="212"/>
        </w:trPr>
        <w:tc>
          <w:tcPr>
            <w:tcW w:w="4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(diluted)</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19,449,283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17,000,215</w:t>
            </w:r>
          </w:p>
        </w:tc>
        <w:tc>
          <w:tcPr>
            <w:tcW w:w="24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Non-GAAP loss per share (diluted)</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80"/>
              <w:spacing w:after="0"/>
              <w:rPr>
                <w:sz w:val="20"/>
                <w:szCs w:val="20"/>
                <w:color w:val="auto"/>
              </w:rPr>
            </w:pPr>
            <w:r>
              <w:rPr>
                <w:rFonts w:ascii="Arial" w:cs="Arial" w:eastAsia="Arial" w:hAnsi="Arial"/>
                <w:sz w:val="16"/>
                <w:szCs w:val="16"/>
                <w:color w:val="auto"/>
              </w:rPr>
              <w:t>(0.08)</w:t>
            </w:r>
          </w:p>
        </w:tc>
        <w:tc>
          <w:tcPr>
            <w:tcW w:w="400" w:type="dxa"/>
            <w:vAlign w:val="bottom"/>
            <w:gridSpan w:val="2"/>
          </w:tcPr>
          <w:p>
            <w:pPr>
              <w:jc w:val="right"/>
              <w:ind w:right="164"/>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(0.05)</w:t>
            </w: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0.19</w:t>
            </w:r>
            <w:r>
              <w:rPr>
                <w:rFonts w:ascii="Arial" w:cs="Arial" w:eastAsia="Arial" w:hAnsi="Arial"/>
                <w:sz w:val="16"/>
                <w:szCs w:val="16"/>
                <w:color w:val="auto"/>
              </w:rPr>
              <w:t>)</w:t>
            </w:r>
          </w:p>
        </w:tc>
        <w:tc>
          <w:tcPr>
            <w:tcW w:w="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0.22</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GAAP net loss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80"/>
              <w:spacing w:after="0"/>
              <w:rPr>
                <w:sz w:val="20"/>
                <w:szCs w:val="20"/>
                <w:color w:val="auto"/>
              </w:rPr>
            </w:pPr>
            <w:r>
              <w:rPr>
                <w:rFonts w:ascii="Arial" w:cs="Arial" w:eastAsia="Arial" w:hAnsi="Arial"/>
                <w:sz w:val="16"/>
                <w:szCs w:val="16"/>
                <w:color w:val="auto"/>
              </w:rPr>
              <w:t>(2,169)</w:t>
            </w:r>
          </w:p>
        </w:tc>
        <w:tc>
          <w:tcPr>
            <w:tcW w:w="400" w:type="dxa"/>
            <w:vAlign w:val="bottom"/>
            <w:gridSpan w:val="2"/>
          </w:tcPr>
          <w:p>
            <w:pPr>
              <w:jc w:val="right"/>
              <w:ind w:right="164"/>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(1,260)</w:t>
            </w: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5,410</w:t>
            </w:r>
            <w:r>
              <w:rPr>
                <w:rFonts w:ascii="Arial" w:cs="Arial" w:eastAsia="Arial" w:hAnsi="Arial"/>
                <w:sz w:val="16"/>
                <w:szCs w:val="16"/>
                <w:color w:val="auto"/>
              </w:rPr>
              <w:t>)</w:t>
            </w:r>
          </w:p>
        </w:tc>
        <w:tc>
          <w:tcPr>
            <w:tcW w:w="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5,044</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w:t>
            </w: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4620" w:type="dxa"/>
            <w:vAlign w:val="bottom"/>
          </w:tcPr>
          <w:p>
            <w:pPr>
              <w:ind w:left="40"/>
              <w:spacing w:after="0"/>
              <w:rPr>
                <w:sz w:val="20"/>
                <w:szCs w:val="20"/>
                <w:color w:val="auto"/>
              </w:rPr>
            </w:pPr>
            <w:r>
              <w:rPr>
                <w:rFonts w:ascii="Arial" w:cs="Arial" w:eastAsia="Arial" w:hAnsi="Arial"/>
                <w:sz w:val="16"/>
                <w:szCs w:val="16"/>
                <w:color w:val="auto"/>
              </w:rPr>
              <w:t>Depreciation</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104</w:t>
            </w:r>
          </w:p>
        </w:tc>
        <w:tc>
          <w:tcPr>
            <w:tcW w:w="240" w:type="dxa"/>
            <w:vAlign w:val="bottom"/>
          </w:tcPr>
          <w:p>
            <w:pPr>
              <w:spacing w:after="0"/>
              <w:rPr>
                <w:sz w:val="19"/>
                <w:szCs w:val="19"/>
                <w:color w:val="auto"/>
              </w:rPr>
            </w:pPr>
          </w:p>
        </w:tc>
        <w:tc>
          <w:tcPr>
            <w:tcW w:w="136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intangibles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446</w:t>
            </w: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1,636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16"/>
        </w:trPr>
        <w:tc>
          <w:tcPr>
            <w:tcW w:w="462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108</w:t>
            </w:r>
          </w:p>
        </w:tc>
        <w:tc>
          <w:tcPr>
            <w:tcW w:w="240" w:type="dxa"/>
            <w:vAlign w:val="bottom"/>
          </w:tcPr>
          <w:p>
            <w:pPr>
              <w:spacing w:after="0"/>
              <w:rPr>
                <w:sz w:val="18"/>
                <w:szCs w:val="18"/>
                <w:color w:val="auto"/>
              </w:rPr>
            </w:pPr>
          </w:p>
        </w:tc>
        <w:tc>
          <w:tcPr>
            <w:tcW w:w="1360" w:type="dxa"/>
            <w:vAlign w:val="bottom"/>
            <w:gridSpan w:val="2"/>
          </w:tcPr>
          <w:p>
            <w:pPr>
              <w:jc w:val="right"/>
              <w:ind w:right="59"/>
              <w:spacing w:after="0"/>
              <w:rPr>
                <w:sz w:val="20"/>
                <w:szCs w:val="20"/>
                <w:color w:val="auto"/>
              </w:rPr>
            </w:pPr>
            <w:r>
              <w:rPr>
                <w:rFonts w:ascii="Arial" w:cs="Arial" w:eastAsia="Arial" w:hAnsi="Arial"/>
                <w:sz w:val="18"/>
                <w:szCs w:val="18"/>
                <w:color w:val="auto"/>
              </w:rPr>
              <w:t>369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6"/>
                <w:szCs w:val="16"/>
                <w:b w:val="1"/>
                <w:bCs w:val="1"/>
                <w:color w:val="auto"/>
              </w:rPr>
              <w:t>Non-GAAP Adjusted EBITDA</w:t>
            </w: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ind w:right="2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210"/>
        </w:trPr>
        <w:tc>
          <w:tcPr>
            <w:tcW w:w="4620" w:type="dxa"/>
            <w:vAlign w:val="bottom"/>
            <w:vMerge w:val="continue"/>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80"/>
              <w:spacing w:after="0"/>
              <w:rPr>
                <w:sz w:val="20"/>
                <w:szCs w:val="20"/>
                <w:color w:val="auto"/>
              </w:rPr>
            </w:pPr>
            <w:r>
              <w:rPr>
                <w:rFonts w:ascii="Arial" w:cs="Arial" w:eastAsia="Arial" w:hAnsi="Arial"/>
                <w:sz w:val="16"/>
                <w:szCs w:val="16"/>
                <w:color w:val="auto"/>
              </w:rPr>
              <w:t>(1,295)</w:t>
            </w:r>
          </w:p>
        </w:tc>
        <w:tc>
          <w:tcPr>
            <w:tcW w:w="80" w:type="dxa"/>
            <w:vAlign w:val="bottom"/>
            <w:vMerge w:val="continue"/>
          </w:tcPr>
          <w:p>
            <w:pPr>
              <w:spacing w:after="0"/>
              <w:rPr>
                <w:sz w:val="18"/>
                <w:szCs w:val="18"/>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(589)</w:t>
            </w: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3,266</w:t>
            </w:r>
          </w:p>
        </w:tc>
        <w:tc>
          <w:tcPr>
            <w:tcW w:w="140" w:type="dxa"/>
            <w:vAlign w:val="bottom"/>
            <w:vMerge w:val="continue"/>
          </w:tcPr>
          <w:p>
            <w:pPr>
              <w:spacing w:after="0"/>
              <w:rPr>
                <w:sz w:val="18"/>
                <w:szCs w:val="18"/>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3,197</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46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jc w:val="right"/>
              <w:ind w:right="359"/>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6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2021-11-12T18:52:18Z</dcterms:created>
  <dcterms:modified xsi:type="dcterms:W3CDTF">2021-11-12T18:52:18Z</dcterms:modified>
</cp:coreProperties>
</file>