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ind w:left="220" w:hanging="212"/>
        <w:spacing w:after="0" w:line="219" w:lineRule="auto"/>
        <w:tabs>
          <w:tab w:leader="none" w:pos="220" w:val="left"/>
        </w:tabs>
        <w:numPr>
          <w:ilvl w:val="0"/>
          <w:numId w:val="1"/>
        </w:numPr>
        <w:rPr>
          <w:rFonts w:ascii="Arial" w:cs="Arial" w:eastAsia="Arial" w:hAnsi="Arial"/>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4"/>
          <w:szCs w:val="24"/>
          <w:color w:val="auto"/>
        </w:rPr>
      </w:pPr>
    </w:p>
    <w:p>
      <w:pPr>
        <w:ind w:left="260"/>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June 30, 2011</w:t>
      </w:r>
    </w:p>
    <w:p>
      <w:pPr>
        <w:ind w:left="1300"/>
        <w:spacing w:after="0" w:line="230" w:lineRule="auto"/>
        <w:rPr>
          <w:sz w:val="20"/>
          <w:szCs w:val="20"/>
          <w:color w:val="auto"/>
        </w:rPr>
      </w:pPr>
      <w:r>
        <w:rPr>
          <w:rFonts w:ascii="Arial" w:cs="Arial" w:eastAsia="Arial" w:hAnsi="Arial"/>
          <w:sz w:val="22"/>
          <w:szCs w:val="22"/>
          <w:color w:val="auto"/>
        </w:rPr>
        <w:t>or</w:t>
      </w:r>
    </w:p>
    <w:p>
      <w:pPr>
        <w:ind w:left="220" w:hanging="212"/>
        <w:spacing w:after="0" w:line="190" w:lineRule="auto"/>
        <w:tabs>
          <w:tab w:leader="none" w:pos="220" w:val="left"/>
        </w:tabs>
        <w:numPr>
          <w:ilvl w:val="0"/>
          <w:numId w:val="2"/>
        </w:numPr>
        <w:rPr>
          <w:rFonts w:ascii="Arial" w:cs="Arial" w:eastAsia="Arial" w:hAnsi="Arial"/>
          <w:sz w:val="22"/>
          <w:szCs w:val="22"/>
          <w:color w:val="auto"/>
          <w:vertAlign w:val="subscript"/>
        </w:rPr>
      </w:pPr>
      <w:r>
        <w:rPr>
          <w:rFonts w:ascii="Arial" w:cs="Arial" w:eastAsia="Arial" w:hAnsi="Arial"/>
          <w:sz w:val="12"/>
          <w:szCs w:val="12"/>
          <w:b w:val="1"/>
          <w:bCs w:val="1"/>
          <w:color w:val="auto"/>
        </w:rPr>
        <w:t>TRANSITION REPORT PURSUANT TO SECTION 13 OR 15(d) OF THE SECURITIES EXCHANGE ACT OF 1934</w:t>
      </w:r>
    </w:p>
    <w:p>
      <w:pPr>
        <w:spacing w:after="0" w:line="16" w:lineRule="exact"/>
        <w:rPr>
          <w:sz w:val="24"/>
          <w:szCs w:val="24"/>
          <w:color w:val="auto"/>
        </w:rPr>
      </w:pPr>
    </w:p>
    <w:p>
      <w:pPr>
        <w:ind w:left="260"/>
        <w:spacing w:after="0"/>
        <w:rPr>
          <w:sz w:val="20"/>
          <w:szCs w:val="20"/>
          <w:color w:val="auto"/>
        </w:rPr>
      </w:pPr>
      <w:r>
        <w:rPr>
          <w:rFonts w:ascii="Arial" w:cs="Arial" w:eastAsia="Arial" w:hAnsi="Arial"/>
          <w:sz w:val="22"/>
          <w:szCs w:val="22"/>
          <w:color w:val="auto"/>
        </w:rPr>
        <w:t>For the transition period _______ to _______</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001-33660</w:t>
      </w:r>
    </w:p>
    <w:p>
      <w:pPr>
        <w:jc w:val="center"/>
        <w:ind w:right="-59"/>
        <w:spacing w:after="0"/>
        <w:rPr>
          <w:sz w:val="20"/>
          <w:szCs w:val="20"/>
          <w:color w:val="auto"/>
        </w:rPr>
      </w:pPr>
      <w:r>
        <w:rPr>
          <w:sz w:val="1"/>
          <w:szCs w:val="1"/>
          <w:color w:val="auto"/>
        </w:rPr>
        <w:drawing>
          <wp:inline distT="0" distB="0" distL="0" distR="0">
            <wp:extent cx="137160" cy="123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Arial" w:cs="Arial" w:eastAsia="Arial" w:hAnsi="Arial"/>
          <w:sz w:val="22"/>
          <w:szCs w:val="22"/>
          <w:color w:val="auto"/>
        </w:rPr>
        <w:t>[clro2011q2_10q001.jpg]</w:t>
      </w:r>
    </w:p>
    <w:p>
      <w:pPr>
        <w:jc w:val="center"/>
        <w:ind w:right="-39"/>
        <w:spacing w:after="0" w:line="234" w:lineRule="auto"/>
        <w:rPr>
          <w:sz w:val="20"/>
          <w:szCs w:val="20"/>
          <w:color w:val="auto"/>
        </w:rPr>
      </w:pPr>
      <w:r>
        <w:rPr>
          <w:rFonts w:ascii="Arial" w:cs="Arial" w:eastAsia="Arial" w:hAnsi="Arial"/>
          <w:sz w:val="22"/>
          <w:szCs w:val="22"/>
          <w:b w:val="1"/>
          <w:bCs w:val="1"/>
          <w:color w:val="auto"/>
        </w:rPr>
        <w:t>CLEARONE COMMUNICATIONS, INC.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156845</wp:posOffset>
            </wp:positionV>
            <wp:extent cx="7233285" cy="1162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3285" cy="1162050"/>
                    </a:xfrm>
                    <a:prstGeom prst="rect">
                      <a:avLst/>
                    </a:prstGeom>
                    <a:noFill/>
                  </pic:spPr>
                </pic:pic>
              </a:graphicData>
            </a:graphic>
          </wp:anchor>
        </w:drawing>
      </w:r>
    </w:p>
    <w:p>
      <w:pPr>
        <w:spacing w:after="0" w:line="239"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668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4660" w:type="dxa"/>
            <w:vAlign w:val="bottom"/>
            <w:gridSpan w:val="2"/>
          </w:tcPr>
          <w:p>
            <w:pPr>
              <w:jc w:val="right"/>
              <w:ind w:right="17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6680" w:type="dxa"/>
            <w:vAlign w:val="bottom"/>
            <w:tcBorders>
              <w:top w:val="single" w:sz="8" w:color="auto"/>
            </w:tcBorders>
          </w:tcPr>
          <w:p>
            <w:pPr>
              <w:jc w:val="right"/>
              <w:ind w:right="2230"/>
              <w:spacing w:after="0"/>
              <w:rPr>
                <w:sz w:val="20"/>
                <w:szCs w:val="20"/>
                <w:color w:val="auto"/>
              </w:rPr>
            </w:pPr>
            <w:r>
              <w:rPr>
                <w:rFonts w:ascii="Arial" w:cs="Arial" w:eastAsia="Arial" w:hAnsi="Arial"/>
                <w:sz w:val="18"/>
                <w:szCs w:val="18"/>
                <w:color w:val="auto"/>
                <w:w w:val="93"/>
              </w:rPr>
              <w:t>(State or other jurisdiction of incorporation or organization)</w:t>
            </w:r>
          </w:p>
        </w:tc>
        <w:tc>
          <w:tcPr>
            <w:tcW w:w="160" w:type="dxa"/>
            <w:vAlign w:val="bottom"/>
          </w:tcPr>
          <w:p>
            <w:pPr>
              <w:spacing w:after="0"/>
              <w:rPr>
                <w:sz w:val="19"/>
                <w:szCs w:val="19"/>
                <w:color w:val="auto"/>
              </w:rPr>
            </w:pPr>
          </w:p>
        </w:tc>
        <w:tc>
          <w:tcPr>
            <w:tcW w:w="45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(I.R.S. employer identification number)</w:t>
            </w:r>
          </w:p>
        </w:tc>
      </w:tr>
      <w:tr>
        <w:trPr>
          <w:trHeight w:val="418"/>
        </w:trPr>
        <w:tc>
          <w:tcPr>
            <w:tcW w:w="668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660" w:type="dxa"/>
            <w:vAlign w:val="bottom"/>
            <w:gridSpan w:val="2"/>
          </w:tcPr>
          <w:p>
            <w:pPr>
              <w:jc w:val="right"/>
              <w:ind w:right="1930"/>
              <w:spacing w:after="0"/>
              <w:rPr>
                <w:sz w:val="20"/>
                <w:szCs w:val="20"/>
                <w:color w:val="auto"/>
              </w:rPr>
            </w:pPr>
            <w:r>
              <w:rPr>
                <w:rFonts w:ascii="Arial" w:cs="Arial" w:eastAsia="Arial" w:hAnsi="Arial"/>
                <w:sz w:val="18"/>
                <w:szCs w:val="18"/>
                <w:b w:val="1"/>
                <w:bCs w:val="1"/>
                <w:color w:val="auto"/>
              </w:rPr>
              <w:t>84116</w:t>
            </w:r>
          </w:p>
        </w:tc>
      </w:tr>
      <w:tr>
        <w:trPr>
          <w:trHeight w:val="224"/>
        </w:trPr>
        <w:tc>
          <w:tcPr>
            <w:tcW w:w="6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60" w:type="dxa"/>
            <w:vAlign w:val="bottom"/>
          </w:tcPr>
          <w:p>
            <w:pPr>
              <w:spacing w:after="0"/>
              <w:rPr>
                <w:sz w:val="19"/>
                <w:szCs w:val="19"/>
                <w:color w:val="auto"/>
              </w:rPr>
            </w:pPr>
          </w:p>
        </w:tc>
        <w:tc>
          <w:tcPr>
            <w:tcW w:w="450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(Zip Code)</w:t>
            </w:r>
          </w:p>
        </w:tc>
      </w:tr>
      <w:tr>
        <w:trPr>
          <w:trHeight w:val="418"/>
        </w:trPr>
        <w:tc>
          <w:tcPr>
            <w:tcW w:w="6680" w:type="dxa"/>
            <w:vAlign w:val="bottom"/>
          </w:tcPr>
          <w:p>
            <w:pPr>
              <w:jc w:val="right"/>
              <w:ind w:right="350"/>
              <w:spacing w:after="0"/>
              <w:rPr>
                <w:sz w:val="20"/>
                <w:szCs w:val="20"/>
                <w:color w:val="auto"/>
              </w:rPr>
            </w:pPr>
            <w:r>
              <w:rPr>
                <w:rFonts w:ascii="Arial" w:cs="Arial" w:eastAsia="Arial" w:hAnsi="Arial"/>
                <w:sz w:val="18"/>
                <w:szCs w:val="18"/>
                <w:b w:val="1"/>
                <w:bCs w:val="1"/>
                <w:color w:val="auto"/>
              </w:rPr>
              <w:t>(801) 975-7200</w:t>
            </w:r>
          </w:p>
        </w:tc>
        <w:tc>
          <w:tcPr>
            <w:tcW w:w="16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85" w:lineRule="exact"/>
        <w:rPr>
          <w:sz w:val="24"/>
          <w:szCs w:val="24"/>
          <w:color w:val="auto"/>
        </w:rPr>
      </w:pPr>
    </w:p>
    <w:p>
      <w:pPr>
        <w:ind w:right="560"/>
        <w:spacing w:after="0" w:line="258" w:lineRule="auto"/>
        <w:rPr>
          <w:sz w:val="20"/>
          <w:szCs w:val="20"/>
          <w:color w:val="auto"/>
        </w:rPr>
      </w:pPr>
      <w:r>
        <w:rPr>
          <w:rFonts w:ascii="Arial" w:cs="Arial" w:eastAsia="Arial" w:hAnsi="Arial"/>
          <w:sz w:val="21"/>
          <w:szCs w:val="21"/>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1" w:lineRule="exact"/>
        <w:rPr>
          <w:sz w:val="24"/>
          <w:szCs w:val="24"/>
          <w:color w:val="auto"/>
        </w:rPr>
      </w:pPr>
    </w:p>
    <w:p>
      <w:pPr>
        <w:ind w:right="280"/>
        <w:spacing w:after="0" w:line="251" w:lineRule="auto"/>
        <w:rPr>
          <w:sz w:val="20"/>
          <w:szCs w:val="20"/>
          <w:color w:val="auto"/>
        </w:rPr>
      </w:pPr>
      <w:r>
        <w:rPr>
          <w:rFonts w:ascii="Arial" w:cs="Arial" w:eastAsia="Arial" w:hAnsi="Arial"/>
          <w:sz w:val="22"/>
          <w:szCs w:val="22"/>
          <w:color w:val="auto"/>
        </w:rPr>
        <w:t>See the definition of “large accelerated filer, “accelerated filer” and “smaller reporting company” in Rule 12b-2 of the Exchange Act. (Check one):</w:t>
      </w:r>
    </w:p>
    <w:p>
      <w:pPr>
        <w:spacing w:after="0" w:line="212" w:lineRule="exact"/>
        <w:rPr>
          <w:sz w:val="24"/>
          <w:szCs w:val="24"/>
          <w:color w:val="auto"/>
        </w:rPr>
      </w:pPr>
    </w:p>
    <w:tbl>
      <w:tblPr>
        <w:tblLayout w:type="fixed"/>
        <w:tblInd w:w="30" w:type="dxa"/>
        <w:tblCellMar>
          <w:top w:w="0" w:type="dxa"/>
          <w:left w:w="0" w:type="dxa"/>
          <w:bottom w:w="0" w:type="dxa"/>
          <w:right w:w="0" w:type="dxa"/>
        </w:tblCellMar>
      </w:tblPr>
      <w:tr>
        <w:trPr>
          <w:trHeight w:val="250"/>
        </w:trPr>
        <w:tc>
          <w:tcPr>
            <w:tcW w:w="5780" w:type="dxa"/>
            <w:vAlign w:val="bottom"/>
            <w:tcBorders>
              <w:top w:val="single" w:sz="8" w:color="808080"/>
              <w:left w:val="single" w:sz="8" w:color="808080"/>
            </w:tcBorders>
          </w:tcPr>
          <w:p>
            <w:pPr>
              <w:ind w:left="80"/>
              <w:spacing w:after="0"/>
              <w:rPr>
                <w:sz w:val="20"/>
                <w:szCs w:val="20"/>
                <w:color w:val="auto"/>
              </w:rPr>
            </w:pPr>
            <w:r>
              <w:rPr>
                <w:rFonts w:ascii="Arial" w:cs="Arial" w:eastAsia="Arial" w:hAnsi="Arial"/>
                <w:sz w:val="18"/>
                <w:szCs w:val="18"/>
                <w:color w:val="auto"/>
              </w:rPr>
              <w:t>Larger Accelerated Filer o</w:t>
            </w:r>
          </w:p>
        </w:tc>
        <w:tc>
          <w:tcPr>
            <w:tcW w:w="3760" w:type="dxa"/>
            <w:vAlign w:val="bottom"/>
            <w:tcBorders>
              <w:top w:val="single" w:sz="8" w:color="808080"/>
              <w:right w:val="single" w:sz="8" w:color="808080"/>
            </w:tcBorders>
          </w:tcPr>
          <w:p>
            <w:pPr>
              <w:ind w:left="500"/>
              <w:spacing w:after="0"/>
              <w:rPr>
                <w:sz w:val="20"/>
                <w:szCs w:val="20"/>
                <w:color w:val="auto"/>
              </w:rPr>
            </w:pPr>
            <w:r>
              <w:rPr>
                <w:rFonts w:ascii="Arial" w:cs="Arial" w:eastAsia="Arial" w:hAnsi="Arial"/>
                <w:sz w:val="18"/>
                <w:szCs w:val="18"/>
                <w:color w:val="auto"/>
              </w:rPr>
              <w:t>Accelerated Filer o</w:t>
            </w:r>
          </w:p>
        </w:tc>
      </w:tr>
      <w:tr>
        <w:trPr>
          <w:trHeight w:val="266"/>
        </w:trPr>
        <w:tc>
          <w:tcPr>
            <w:tcW w:w="57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3760" w:type="dxa"/>
            <w:vAlign w:val="bottom"/>
            <w:tcBorders>
              <w:right w:val="single" w:sz="8" w:color="808080"/>
            </w:tcBorders>
          </w:tcPr>
          <w:p>
            <w:pPr>
              <w:ind w:left="500"/>
              <w:spacing w:after="0"/>
              <w:rPr>
                <w:sz w:val="20"/>
                <w:szCs w:val="20"/>
                <w:color w:val="auto"/>
              </w:rPr>
            </w:pPr>
            <w:r>
              <w:rPr>
                <w:rFonts w:ascii="Arial" w:cs="Arial" w:eastAsia="Arial" w:hAnsi="Arial"/>
                <w:sz w:val="18"/>
                <w:szCs w:val="18"/>
                <w:color w:val="auto"/>
              </w:rPr>
              <w:t>Smaller Reporting Company  x</w:t>
            </w:r>
          </w:p>
        </w:tc>
      </w:tr>
      <w:tr>
        <w:trPr>
          <w:trHeight w:val="64"/>
        </w:trPr>
        <w:tc>
          <w:tcPr>
            <w:tcW w:w="5780" w:type="dxa"/>
            <w:vAlign w:val="bottom"/>
            <w:tcBorders>
              <w:left w:val="single" w:sz="8" w:color="808080"/>
              <w:bottom w:val="single" w:sz="8" w:color="808080"/>
            </w:tcBorders>
          </w:tcPr>
          <w:p>
            <w:pPr>
              <w:spacing w:after="0"/>
              <w:rPr>
                <w:sz w:val="5"/>
                <w:szCs w:val="5"/>
                <w:color w:val="auto"/>
              </w:rPr>
            </w:pPr>
          </w:p>
        </w:tc>
        <w:tc>
          <w:tcPr>
            <w:tcW w:w="3760" w:type="dxa"/>
            <w:vAlign w:val="bottom"/>
            <w:tcBorders>
              <w:bottom w:val="single" w:sz="8" w:color="808080"/>
              <w:right w:val="single" w:sz="8" w:color="808080"/>
            </w:tcBorders>
          </w:tcPr>
          <w:p>
            <w:pPr>
              <w:spacing w:after="0"/>
              <w:rPr>
                <w:sz w:val="5"/>
                <w:szCs w:val="5"/>
                <w:color w:val="auto"/>
              </w:rPr>
            </w:pPr>
          </w:p>
        </w:tc>
      </w:tr>
    </w:tbl>
    <w:p>
      <w:pPr>
        <w:spacing w:after="0" w:line="232" w:lineRule="exact"/>
        <w:rPr>
          <w:sz w:val="24"/>
          <w:szCs w:val="24"/>
          <w:color w:val="auto"/>
        </w:rPr>
      </w:pPr>
    </w:p>
    <w:p>
      <w:pPr>
        <w:jc w:val="center"/>
        <w:ind w:right="260"/>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 ] No [x]</w:t>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APPLICABLE ONLY TO CORPORATE ISSUERS:</w:t>
      </w:r>
    </w:p>
    <w:p>
      <w:pPr>
        <w:spacing w:after="0" w:line="23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9,058,258 shares issued and outstanding as of August 12,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246620"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 ENDED JUNE 30, 2011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40" w:type="dxa"/>
            <w:vAlign w:val="bottom"/>
            <w:tcBorders>
              <w:right w:val="single" w:sz="8" w:color="808080"/>
            </w:tcBorders>
          </w:tcPr>
          <w:p>
            <w:pPr>
              <w:spacing w:after="0"/>
              <w:rPr>
                <w:sz w:val="24"/>
                <w:szCs w:val="24"/>
                <w:color w:val="auto"/>
              </w:rPr>
            </w:pPr>
          </w:p>
        </w:tc>
        <w:tc>
          <w:tcPr>
            <w:tcW w:w="880" w:type="dxa"/>
            <w:vAlign w:val="bottom"/>
            <w:tcBorders>
              <w:top w:val="single" w:sz="8" w:color="808080"/>
            </w:tcBorders>
          </w:tcPr>
          <w:p>
            <w:pPr>
              <w:spacing w:after="0"/>
              <w:rPr>
                <w:sz w:val="24"/>
                <w:szCs w:val="24"/>
                <w:color w:val="auto"/>
              </w:rPr>
            </w:pPr>
          </w:p>
        </w:tc>
        <w:tc>
          <w:tcPr>
            <w:tcW w:w="10040" w:type="dxa"/>
            <w:vAlign w:val="bottom"/>
            <w:tcBorders>
              <w:top w:val="single" w:sz="8" w:color="808080"/>
            </w:tcBorders>
          </w:tcPr>
          <w:p>
            <w:pPr>
              <w:spacing w:after="0"/>
              <w:rPr>
                <w:sz w:val="24"/>
                <w:szCs w:val="24"/>
                <w:color w:val="auto"/>
              </w:rPr>
            </w:pPr>
          </w:p>
        </w:tc>
        <w:tc>
          <w:tcPr>
            <w:tcW w:w="440" w:type="dxa"/>
            <w:vAlign w:val="bottom"/>
            <w:tcBorders>
              <w:top w:val="single" w:sz="8" w:color="808080"/>
              <w:right w:val="single" w:sz="8" w:color="808080"/>
            </w:tcBorders>
            <w:gridSpan w:val="2"/>
          </w:tcPr>
          <w:p>
            <w:pPr>
              <w:jc w:val="right"/>
              <w:ind w:right="80"/>
              <w:spacing w:after="0"/>
              <w:rPr>
                <w:sz w:val="20"/>
                <w:szCs w:val="20"/>
                <w:color w:val="auto"/>
              </w:rPr>
            </w:pPr>
            <w:r>
              <w:rPr>
                <w:rFonts w:ascii="Arial" w:cs="Arial" w:eastAsia="Arial" w:hAnsi="Arial"/>
                <w:sz w:val="18"/>
                <w:szCs w:val="18"/>
                <w:b w:val="1"/>
                <w:bCs w:val="1"/>
                <w:color w:val="auto"/>
                <w:w w:val="78"/>
              </w:rPr>
              <w:t>Page</w:t>
            </w:r>
          </w:p>
        </w:tc>
        <w:tc>
          <w:tcPr>
            <w:tcW w:w="20" w:type="dxa"/>
            <w:vAlign w:val="bottom"/>
          </w:tcPr>
          <w:p>
            <w:pPr>
              <w:spacing w:after="0"/>
              <w:rPr>
                <w:sz w:val="24"/>
                <w:szCs w:val="24"/>
                <w:color w:val="auto"/>
              </w:rPr>
            </w:pPr>
          </w:p>
        </w:tc>
      </w:tr>
      <w:tr>
        <w:trPr>
          <w:trHeight w:val="453"/>
        </w:trPr>
        <w:tc>
          <w:tcPr>
            <w:tcW w:w="40" w:type="dxa"/>
            <w:vAlign w:val="bottom"/>
            <w:tcBorders>
              <w:right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Pr>
          <w:p>
            <w:pPr>
              <w:ind w:left="338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Borders>
              <w:top w:val="single" w:sz="8" w:color="auto"/>
            </w:tcBorders>
          </w:tcPr>
          <w:p>
            <w:pPr>
              <w:spacing w:after="0"/>
              <w:rPr>
                <w:sz w:val="24"/>
                <w:szCs w:val="24"/>
                <w:color w:val="auto"/>
              </w:rPr>
            </w:pP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1.</w:t>
            </w:r>
          </w:p>
        </w:tc>
        <w:tc>
          <w:tcPr>
            <w:tcW w:w="10040" w:type="dxa"/>
            <w:vAlign w:val="bottom"/>
          </w:tcPr>
          <w:p>
            <w:pPr>
              <w:ind w:left="160"/>
              <w:spacing w:after="0"/>
              <w:rPr>
                <w:sz w:val="20"/>
                <w:szCs w:val="20"/>
                <w:color w:val="auto"/>
              </w:rPr>
            </w:pPr>
            <w:r>
              <w:rPr>
                <w:rFonts w:ascii="Arial" w:cs="Arial" w:eastAsia="Arial" w:hAnsi="Arial"/>
                <w:sz w:val="18"/>
                <w:szCs w:val="18"/>
                <w:color w:val="auto"/>
              </w:rPr>
              <w:t>Consolidated Financial Statements</w:t>
            </w:r>
          </w:p>
        </w:tc>
        <w:tc>
          <w:tcPr>
            <w:tcW w:w="360" w:type="dxa"/>
            <w:vAlign w:val="bottom"/>
          </w:tcPr>
          <w:p>
            <w:pPr>
              <w:spacing w:after="0"/>
              <w:rPr>
                <w:sz w:val="24"/>
                <w:szCs w:val="24"/>
                <w:color w:val="auto"/>
              </w:rPr>
            </w:pP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Pr>
          <w:p>
            <w:pPr>
              <w:ind w:left="400"/>
              <w:spacing w:after="0"/>
              <w:rPr>
                <w:sz w:val="20"/>
                <w:szCs w:val="20"/>
                <w:color w:val="auto"/>
              </w:rPr>
            </w:pPr>
            <w:r>
              <w:rPr>
                <w:rFonts w:ascii="Arial" w:cs="Arial" w:eastAsia="Arial" w:hAnsi="Arial"/>
                <w:sz w:val="18"/>
                <w:szCs w:val="18"/>
                <w:color w:val="auto"/>
              </w:rPr>
              <w:t>Consolidated Balance Sheets as of June 30, 2011 and December 31, 2010</w:t>
            </w:r>
          </w:p>
        </w:tc>
        <w:tc>
          <w:tcPr>
            <w:tcW w:w="440" w:type="dxa"/>
            <w:vAlign w:val="bottom"/>
            <w:tcBorders>
              <w:right w:val="single" w:sz="8" w:color="808080"/>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Pr>
          <w:p>
            <w:pPr>
              <w:ind w:left="380"/>
              <w:spacing w:after="0"/>
              <w:rPr>
                <w:sz w:val="20"/>
                <w:szCs w:val="20"/>
                <w:color w:val="auto"/>
              </w:rPr>
            </w:pPr>
            <w:r>
              <w:rPr>
                <w:rFonts w:ascii="Arial" w:cs="Arial" w:eastAsia="Arial" w:hAnsi="Arial"/>
                <w:sz w:val="18"/>
                <w:szCs w:val="18"/>
                <w:color w:val="auto"/>
              </w:rPr>
              <w:t>Consolidated Statements of Operations for the three and six months ended June 30, 2011 and 2010</w:t>
            </w:r>
          </w:p>
        </w:tc>
        <w:tc>
          <w:tcPr>
            <w:tcW w:w="440" w:type="dxa"/>
            <w:vAlign w:val="bottom"/>
            <w:tcBorders>
              <w:right w:val="single" w:sz="8" w:color="808080"/>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Pr>
          <w:p>
            <w:pPr>
              <w:ind w:left="380"/>
              <w:spacing w:after="0"/>
              <w:rPr>
                <w:sz w:val="20"/>
                <w:szCs w:val="20"/>
                <w:color w:val="auto"/>
              </w:rPr>
            </w:pPr>
            <w:r>
              <w:rPr>
                <w:rFonts w:ascii="Arial" w:cs="Arial" w:eastAsia="Arial" w:hAnsi="Arial"/>
                <w:sz w:val="18"/>
                <w:szCs w:val="18"/>
                <w:color w:val="auto"/>
              </w:rPr>
              <w:t>Consolidated Statements of Cash Flows for six months ended June 30, 2011 and 2010</w:t>
            </w:r>
          </w:p>
        </w:tc>
        <w:tc>
          <w:tcPr>
            <w:tcW w:w="440" w:type="dxa"/>
            <w:vAlign w:val="bottom"/>
            <w:tcBorders>
              <w:right w:val="single" w:sz="8" w:color="808080"/>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Pr>
          <w:p>
            <w:pPr>
              <w:ind w:left="380"/>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tcBorders>
              <w:right w:val="single" w:sz="8" w:color="808080"/>
            </w:tcBorders>
            <w:gridSpan w:val="2"/>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2.</w:t>
            </w:r>
          </w:p>
        </w:tc>
        <w:tc>
          <w:tcPr>
            <w:tcW w:w="1004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tcBorders>
              <w:right w:val="single" w:sz="8" w:color="808080"/>
            </w:tcBorders>
            <w:gridSpan w:val="2"/>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3.</w:t>
            </w:r>
          </w:p>
        </w:tc>
        <w:tc>
          <w:tcPr>
            <w:tcW w:w="1004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4.</w:t>
            </w:r>
          </w:p>
        </w:tc>
        <w:tc>
          <w:tcPr>
            <w:tcW w:w="1004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0" w:type="dxa"/>
            <w:vAlign w:val="bottom"/>
            <w:tcBorders>
              <w:right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Pr>
          <w:p>
            <w:pPr>
              <w:ind w:left="3540"/>
              <w:spacing w:after="0"/>
              <w:rPr>
                <w:sz w:val="20"/>
                <w:szCs w:val="20"/>
                <w:color w:val="auto"/>
              </w:rPr>
            </w:pPr>
            <w:r>
              <w:rPr>
                <w:rFonts w:ascii="Arial" w:cs="Arial" w:eastAsia="Arial" w:hAnsi="Arial"/>
                <w:sz w:val="18"/>
                <w:szCs w:val="18"/>
                <w:b w:val="1"/>
                <w:bCs w:val="1"/>
                <w:color w:val="auto"/>
              </w:rPr>
              <w:t>PART II – OTHER INFORMATION</w:t>
            </w:r>
          </w:p>
        </w:tc>
        <w:tc>
          <w:tcPr>
            <w:tcW w:w="360" w:type="dxa"/>
            <w:vAlign w:val="bottom"/>
          </w:tcPr>
          <w:p>
            <w:pPr>
              <w:spacing w:after="0"/>
              <w:rPr>
                <w:sz w:val="24"/>
                <w:szCs w:val="24"/>
                <w:color w:val="auto"/>
              </w:rPr>
            </w:pP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1.</w:t>
            </w:r>
          </w:p>
        </w:tc>
        <w:tc>
          <w:tcPr>
            <w:tcW w:w="1004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1A.</w:t>
            </w:r>
          </w:p>
        </w:tc>
        <w:tc>
          <w:tcPr>
            <w:tcW w:w="1004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2.</w:t>
            </w:r>
          </w:p>
        </w:tc>
        <w:tc>
          <w:tcPr>
            <w:tcW w:w="1004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3.</w:t>
            </w:r>
          </w:p>
        </w:tc>
        <w:tc>
          <w:tcPr>
            <w:tcW w:w="10040" w:type="dxa"/>
            <w:vAlign w:val="bottom"/>
          </w:tcPr>
          <w:p>
            <w:pPr>
              <w:ind w:left="160"/>
              <w:spacing w:after="0"/>
              <w:rPr>
                <w:sz w:val="20"/>
                <w:szCs w:val="20"/>
                <w:color w:val="auto"/>
              </w:rPr>
            </w:pPr>
            <w:r>
              <w:rPr>
                <w:rFonts w:ascii="Arial" w:cs="Arial" w:eastAsia="Arial" w:hAnsi="Arial"/>
                <w:sz w:val="18"/>
                <w:szCs w:val="18"/>
                <w:color w:val="auto"/>
              </w:rPr>
              <w:t>Defaults Upon Senior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4.</w:t>
            </w:r>
          </w:p>
        </w:tc>
        <w:tc>
          <w:tcPr>
            <w:tcW w:w="10040" w:type="dxa"/>
            <w:vAlign w:val="bottom"/>
          </w:tcPr>
          <w:p>
            <w:pPr>
              <w:ind w:left="160"/>
              <w:spacing w:after="0"/>
              <w:rPr>
                <w:sz w:val="20"/>
                <w:szCs w:val="20"/>
                <w:color w:val="auto"/>
              </w:rPr>
            </w:pPr>
            <w:r>
              <w:rPr>
                <w:rFonts w:ascii="Arial" w:cs="Arial" w:eastAsia="Arial" w:hAnsi="Arial"/>
                <w:sz w:val="18"/>
                <w:szCs w:val="18"/>
                <w:color w:val="auto"/>
              </w:rPr>
              <w:t>Removed and Reserved</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5.</w:t>
            </w:r>
          </w:p>
        </w:tc>
        <w:tc>
          <w:tcPr>
            <w:tcW w:w="1004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Borders>
              <w:right w:val="single" w:sz="8" w:color="808080"/>
            </w:tcBorders>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6.</w:t>
            </w:r>
          </w:p>
        </w:tc>
        <w:tc>
          <w:tcPr>
            <w:tcW w:w="10040" w:type="dxa"/>
            <w:vAlign w:val="bottom"/>
          </w:tcPr>
          <w:p>
            <w:pPr>
              <w:ind w:left="160"/>
              <w:spacing w:after="0"/>
              <w:rPr>
                <w:sz w:val="20"/>
                <w:szCs w:val="20"/>
                <w:color w:val="auto"/>
              </w:rPr>
            </w:pPr>
            <w:r>
              <w:rPr>
                <w:rFonts w:ascii="Arial" w:cs="Arial" w:eastAsia="Arial" w:hAnsi="Arial"/>
                <w:sz w:val="18"/>
                <w:szCs w:val="18"/>
                <w:color w:val="auto"/>
              </w:rPr>
              <w:t>Exhibits</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64"/>
        </w:trPr>
        <w:tc>
          <w:tcPr>
            <w:tcW w:w="40" w:type="dxa"/>
            <w:vAlign w:val="bottom"/>
            <w:tcBorders>
              <w:right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00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80" w:type="dxa"/>
            <w:vAlign w:val="bottom"/>
            <w:tcBorders>
              <w:bottom w:val="single" w:sz="8" w:color="808080"/>
              <w:right w:val="single" w:sz="8" w:color="808080"/>
            </w:tcBorders>
          </w:tcPr>
          <w:p>
            <w:pPr>
              <w:spacing w:after="0"/>
              <w:rPr>
                <w:sz w:val="5"/>
                <w:szCs w:val="5"/>
                <w:color w:val="auto"/>
              </w:rPr>
            </w:pPr>
          </w:p>
        </w:tc>
        <w:tc>
          <w:tcPr>
            <w:tcW w:w="20" w:type="dxa"/>
            <w:vAlign w:val="bottom"/>
          </w:tcPr>
          <w:p>
            <w:pPr>
              <w:spacing w:after="0"/>
              <w:rPr>
                <w:sz w:val="5"/>
                <w:szCs w:val="5"/>
                <w:color w:val="auto"/>
              </w:rPr>
            </w:pPr>
          </w:p>
        </w:tc>
      </w:tr>
      <w:tr>
        <w:trPr>
          <w:trHeight w:val="230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40" w:type="dxa"/>
            <w:vAlign w:val="bottom"/>
            <w:tcBorders>
              <w:right w:val="single" w:sz="8" w:color="808080"/>
            </w:tcBorders>
            <w:shd w:val="clear" w:color="auto" w:fill="808080"/>
          </w:tcPr>
          <w:p>
            <w:pPr>
              <w:spacing w:after="0"/>
              <w:rPr>
                <w:sz w:val="11"/>
                <w:szCs w:val="11"/>
                <w:color w:val="auto"/>
              </w:rPr>
            </w:pPr>
          </w:p>
        </w:tc>
        <w:tc>
          <w:tcPr>
            <w:tcW w:w="880" w:type="dxa"/>
            <w:vAlign w:val="bottom"/>
            <w:shd w:val="clear" w:color="auto" w:fill="808080"/>
          </w:tcPr>
          <w:p>
            <w:pPr>
              <w:spacing w:after="0"/>
              <w:rPr>
                <w:sz w:val="11"/>
                <w:szCs w:val="11"/>
                <w:color w:val="auto"/>
              </w:rPr>
            </w:pPr>
          </w:p>
        </w:tc>
        <w:tc>
          <w:tcPr>
            <w:tcW w:w="10040" w:type="dxa"/>
            <w:vAlign w:val="bottom"/>
            <w:shd w:val="clear" w:color="auto" w:fill="808080"/>
          </w:tcPr>
          <w:p>
            <w:pPr>
              <w:spacing w:after="0"/>
              <w:rPr>
                <w:sz w:val="11"/>
                <w:szCs w:val="11"/>
                <w:color w:val="auto"/>
              </w:rPr>
            </w:pPr>
          </w:p>
        </w:tc>
        <w:tc>
          <w:tcPr>
            <w:tcW w:w="360" w:type="dxa"/>
            <w:vAlign w:val="bottom"/>
            <w:shd w:val="clear" w:color="auto" w:fill="808080"/>
          </w:tcPr>
          <w:p>
            <w:pPr>
              <w:spacing w:after="0"/>
              <w:rPr>
                <w:sz w:val="11"/>
                <w:szCs w:val="11"/>
                <w:color w:val="auto"/>
              </w:rPr>
            </w:pPr>
          </w:p>
        </w:tc>
        <w:tc>
          <w:tcPr>
            <w:tcW w:w="80" w:type="dxa"/>
            <w:vAlign w:val="bottom"/>
            <w:tcBorders>
              <w:right w:val="single" w:sz="8" w:color="808080"/>
            </w:tcBorders>
            <w:shd w:val="clear" w:color="auto" w:fill="808080"/>
          </w:tcPr>
          <w:p>
            <w:pPr>
              <w:spacing w:after="0"/>
              <w:rPr>
                <w:sz w:val="11"/>
                <w:szCs w:val="11"/>
                <w:color w:val="auto"/>
              </w:rPr>
            </w:pPr>
          </w:p>
        </w:tc>
        <w:tc>
          <w:tcPr>
            <w:tcW w:w="20" w:type="dxa"/>
            <w:vAlign w:val="bottom"/>
            <w:shd w:val="clear" w:color="auto" w:fill="808080"/>
          </w:tcPr>
          <w:p>
            <w:pPr>
              <w:spacing w:after="0"/>
              <w:rPr>
                <w:sz w:val="11"/>
                <w:szCs w:val="11"/>
                <w:color w:val="auto"/>
              </w:rPr>
            </w:pPr>
          </w:p>
        </w:tc>
      </w:tr>
    </w:tbl>
    <w:p>
      <w:pPr>
        <w:sectPr>
          <w:pgSz w:w="11900" w:h="16838" w:orient="portrait"/>
          <w:cols w:equalWidth="0" w:num="1">
            <w:col w:w="11420"/>
          </w:cols>
          <w:pgMar w:left="240" w:top="355"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33"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CLEARONE COMMUNICATIONS, INC.</w:t>
      </w:r>
    </w:p>
    <w:p>
      <w:pPr>
        <w:spacing w:after="0" w:line="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CONSOLIDATED BALANCE SHEETS</w:t>
      </w:r>
    </w:p>
    <w:p>
      <w:pPr>
        <w:ind w:left="3880"/>
        <w:spacing w:after="0"/>
        <w:rPr>
          <w:sz w:val="20"/>
          <w:szCs w:val="20"/>
          <w:color w:val="auto"/>
        </w:rPr>
      </w:pPr>
      <w:r>
        <w:rPr>
          <w:rFonts w:ascii="Arial" w:cs="Arial" w:eastAsia="Arial" w:hAnsi="Arial"/>
          <w:sz w:val="22"/>
          <w:szCs w:val="22"/>
          <w:b w:val="1"/>
          <w:bCs w:val="1"/>
          <w:color w:val="auto"/>
        </w:rPr>
        <w:t>(Dollars in thousands, except par value)</w:t>
      </w:r>
    </w:p>
    <w:p>
      <w:pPr>
        <w:spacing w:after="0" w:line="227" w:lineRule="exact"/>
        <w:rPr>
          <w:sz w:val="20"/>
          <w:szCs w:val="20"/>
          <w:color w:val="auto"/>
        </w:rPr>
      </w:pPr>
    </w:p>
    <w:tbl>
      <w:tblPr>
        <w:tblLayout w:type="fixed"/>
        <w:tblInd w:w="30" w:type="dxa"/>
        <w:tblCellMar>
          <w:top w:w="0" w:type="dxa"/>
          <w:left w:w="0" w:type="dxa"/>
          <w:bottom w:w="0" w:type="dxa"/>
          <w:right w:w="0" w:type="dxa"/>
        </w:tblCellMar>
      </w:tblPr>
      <w:tr>
        <w:trPr>
          <w:trHeight w:val="240"/>
        </w:trPr>
        <w:tc>
          <w:tcPr>
            <w:tcW w:w="8340" w:type="dxa"/>
            <w:vAlign w:val="bottom"/>
            <w:tcBorders>
              <w:top w:val="single" w:sz="8" w:color="808080"/>
              <w:left w:val="single" w:sz="8" w:color="808080"/>
            </w:tcBorders>
          </w:tcPr>
          <w:p>
            <w:pPr>
              <w:spacing w:after="0"/>
              <w:rPr>
                <w:sz w:val="20"/>
                <w:szCs w:val="20"/>
                <w:color w:val="auto"/>
              </w:rPr>
            </w:pPr>
          </w:p>
        </w:tc>
        <w:tc>
          <w:tcPr>
            <w:tcW w:w="380" w:type="dxa"/>
            <w:vAlign w:val="bottom"/>
            <w:tcBorders>
              <w:top w:val="single" w:sz="8" w:color="808080"/>
            </w:tcBorders>
          </w:tcPr>
          <w:p>
            <w:pPr>
              <w:spacing w:after="0"/>
              <w:rPr>
                <w:sz w:val="20"/>
                <w:szCs w:val="20"/>
                <w:color w:val="auto"/>
              </w:rPr>
            </w:pPr>
          </w:p>
        </w:tc>
        <w:tc>
          <w:tcPr>
            <w:tcW w:w="1000" w:type="dxa"/>
            <w:vAlign w:val="bottom"/>
            <w:tcBorders>
              <w:top w:val="single" w:sz="8" w:color="808080"/>
            </w:tcBorders>
          </w:tcPr>
          <w:p>
            <w:pPr>
              <w:jc w:val="center"/>
              <w:ind w:right="171"/>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Borders>
              <w:top w:val="single" w:sz="8" w:color="808080"/>
            </w:tcBorders>
          </w:tcPr>
          <w:p>
            <w:pPr>
              <w:spacing w:after="0"/>
              <w:rPr>
                <w:sz w:val="20"/>
                <w:szCs w:val="20"/>
                <w:color w:val="auto"/>
              </w:rPr>
            </w:pPr>
          </w:p>
        </w:tc>
        <w:tc>
          <w:tcPr>
            <w:tcW w:w="360" w:type="dxa"/>
            <w:vAlign w:val="bottom"/>
            <w:tcBorders>
              <w:top w:val="single" w:sz="8" w:color="808080"/>
            </w:tcBorders>
          </w:tcPr>
          <w:p>
            <w:pPr>
              <w:spacing w:after="0"/>
              <w:rPr>
                <w:sz w:val="20"/>
                <w:szCs w:val="20"/>
                <w:color w:val="auto"/>
              </w:rPr>
            </w:pPr>
          </w:p>
        </w:tc>
        <w:tc>
          <w:tcPr>
            <w:tcW w:w="1200" w:type="dxa"/>
            <w:vAlign w:val="bottom"/>
            <w:tcBorders>
              <w:top w:val="single" w:sz="8" w:color="808080"/>
              <w:right w:val="single" w:sz="8" w:color="808080"/>
            </w:tcBorders>
            <w:gridSpan w:val="2"/>
          </w:tcPr>
          <w:p>
            <w:pPr>
              <w:jc w:val="center"/>
              <w:ind w:right="400"/>
              <w:spacing w:after="0"/>
              <w:rPr>
                <w:sz w:val="20"/>
                <w:szCs w:val="20"/>
                <w:color w:val="auto"/>
              </w:rPr>
            </w:pPr>
            <w:r>
              <w:rPr>
                <w:rFonts w:ascii="Arial" w:cs="Arial" w:eastAsia="Arial" w:hAnsi="Arial"/>
                <w:sz w:val="16"/>
                <w:szCs w:val="16"/>
                <w:b w:val="1"/>
                <w:bCs w:val="1"/>
                <w:color w:val="auto"/>
                <w:w w:val="93"/>
              </w:rPr>
              <w:t>Audited</w:t>
            </w:r>
          </w:p>
        </w:tc>
      </w:tr>
      <w:tr>
        <w:trPr>
          <w:trHeight w:val="188"/>
        </w:trPr>
        <w:tc>
          <w:tcPr>
            <w:tcW w:w="8340" w:type="dxa"/>
            <w:vAlign w:val="bottom"/>
            <w:tcBorders>
              <w:left w:val="single" w:sz="8" w:color="808080"/>
            </w:tcBorders>
          </w:tcPr>
          <w:p>
            <w:pPr>
              <w:spacing w:after="0"/>
              <w:rPr>
                <w:sz w:val="16"/>
                <w:szCs w:val="16"/>
                <w:color w:val="auto"/>
              </w:rPr>
            </w:pPr>
          </w:p>
        </w:tc>
        <w:tc>
          <w:tcPr>
            <w:tcW w:w="1380" w:type="dxa"/>
            <w:vAlign w:val="bottom"/>
            <w:tcBorders>
              <w:top w:val="single" w:sz="8" w:color="auto"/>
            </w:tcBorders>
            <w:gridSpan w:val="2"/>
          </w:tcPr>
          <w:p>
            <w:pPr>
              <w:jc w:val="center"/>
              <w:ind w:left="32"/>
              <w:spacing w:after="0"/>
              <w:rPr>
                <w:sz w:val="20"/>
                <w:szCs w:val="20"/>
                <w:color w:val="auto"/>
              </w:rPr>
            </w:pPr>
            <w:r>
              <w:rPr>
                <w:rFonts w:ascii="Arial" w:cs="Arial" w:eastAsia="Arial" w:hAnsi="Arial"/>
                <w:sz w:val="16"/>
                <w:szCs w:val="16"/>
                <w:b w:val="1"/>
                <w:bCs w:val="1"/>
                <w:color w:val="auto"/>
                <w:w w:val="90"/>
              </w:rPr>
              <w:t>As of June 30,</w:t>
            </w:r>
          </w:p>
        </w:tc>
        <w:tc>
          <w:tcPr>
            <w:tcW w:w="120" w:type="dxa"/>
            <w:vAlign w:val="bottom"/>
          </w:tcPr>
          <w:p>
            <w:pPr>
              <w:spacing w:after="0"/>
              <w:rPr>
                <w:sz w:val="16"/>
                <w:szCs w:val="16"/>
                <w:color w:val="auto"/>
              </w:rPr>
            </w:pP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40" w:type="dxa"/>
            <w:vAlign w:val="bottom"/>
            <w:tcBorders>
              <w:right w:val="single" w:sz="8" w:color="808080"/>
            </w:tcBorders>
          </w:tcPr>
          <w:p>
            <w:pPr>
              <w:spacing w:after="0"/>
              <w:rPr>
                <w:sz w:val="16"/>
                <w:szCs w:val="16"/>
                <w:color w:val="auto"/>
              </w:rPr>
            </w:pPr>
          </w:p>
        </w:tc>
      </w:tr>
      <w:tr>
        <w:trPr>
          <w:trHeight w:val="210"/>
        </w:trPr>
        <w:tc>
          <w:tcPr>
            <w:tcW w:w="8340" w:type="dxa"/>
            <w:vAlign w:val="bottom"/>
            <w:tcBorders>
              <w:left w:val="single" w:sz="8" w:color="808080"/>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4"/>
              </w:rPr>
              <w:t>2011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2010</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386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12,396</w:t>
            </w:r>
          </w:p>
        </w:tc>
        <w:tc>
          <w:tcPr>
            <w:tcW w:w="4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11,431</w:t>
            </w:r>
          </w:p>
        </w:tc>
        <w:tc>
          <w:tcPr>
            <w:tcW w:w="40" w:type="dxa"/>
            <w:vAlign w:val="bottom"/>
            <w:tcBorders>
              <w:right w:val="single" w:sz="8" w:color="808080"/>
            </w:tcBorders>
          </w:tcPr>
          <w:p>
            <w:pPr>
              <w:spacing w:after="0"/>
              <w:rPr>
                <w:sz w:val="18"/>
                <w:szCs w:val="18"/>
                <w:color w:val="auto"/>
              </w:rPr>
            </w:pPr>
          </w:p>
        </w:tc>
      </w:tr>
      <w:tr>
        <w:trPr>
          <w:trHeight w:val="432"/>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Receivables, net of allowance for doubtful accounts of $157 and $206, respectively</w:t>
            </w:r>
          </w:p>
        </w:tc>
        <w:tc>
          <w:tcPr>
            <w:tcW w:w="380" w:type="dxa"/>
            <w:vAlign w:val="bottom"/>
            <w:shd w:val="clear" w:color="auto" w:fill="DBE5F1"/>
          </w:tcPr>
          <w:p>
            <w:pPr>
              <w:spacing w:after="0"/>
              <w:rPr>
                <w:sz w:val="24"/>
                <w:szCs w:val="24"/>
                <w:color w:val="auto"/>
              </w:rPr>
            </w:pP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8,924</w:t>
            </w:r>
          </w:p>
        </w:tc>
        <w:tc>
          <w:tcPr>
            <w:tcW w:w="120" w:type="dxa"/>
            <w:vAlign w:val="bottom"/>
            <w:shd w:val="clear" w:color="auto" w:fill="DBE5F1"/>
          </w:tcPr>
          <w:p>
            <w:pPr>
              <w:spacing w:after="0"/>
              <w:rPr>
                <w:sz w:val="24"/>
                <w:szCs w:val="24"/>
                <w:color w:val="auto"/>
              </w:rPr>
            </w:pPr>
          </w:p>
        </w:tc>
        <w:tc>
          <w:tcPr>
            <w:tcW w:w="360" w:type="dxa"/>
            <w:vAlign w:val="bottom"/>
            <w:shd w:val="clear" w:color="auto" w:fill="DBE5F1"/>
          </w:tcPr>
          <w:p>
            <w:pPr>
              <w:spacing w:after="0"/>
              <w:rPr>
                <w:sz w:val="24"/>
                <w:szCs w:val="24"/>
                <w:color w:val="auto"/>
              </w:rPr>
            </w:pP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9,951</w:t>
            </w:r>
          </w:p>
        </w:tc>
        <w:tc>
          <w:tcPr>
            <w:tcW w:w="40" w:type="dxa"/>
            <w:vAlign w:val="bottom"/>
            <w:tcBorders>
              <w:right w:val="single" w:sz="8" w:color="808080"/>
            </w:tcBorders>
          </w:tcPr>
          <w:p>
            <w:pPr>
              <w:spacing w:after="0"/>
              <w:rPr>
                <w:sz w:val="24"/>
                <w:szCs w:val="24"/>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8,780</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2,975</w:t>
            </w: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3,389</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446</w:t>
            </w:r>
          </w:p>
        </w:tc>
        <w:tc>
          <w:tcPr>
            <w:tcW w:w="40" w:type="dxa"/>
            <w:vAlign w:val="bottom"/>
            <w:tcBorders>
              <w:right w:val="single" w:sz="8" w:color="808080"/>
            </w:tcBorders>
          </w:tcPr>
          <w:p>
            <w:pPr>
              <w:spacing w:after="0"/>
              <w:rPr>
                <w:sz w:val="18"/>
                <w:szCs w:val="18"/>
                <w:color w:val="auto"/>
              </w:rPr>
            </w:pPr>
          </w:p>
        </w:tc>
      </w:tr>
      <w:tr>
        <w:trPr>
          <w:trHeight w:val="210"/>
        </w:trPr>
        <w:tc>
          <w:tcPr>
            <w:tcW w:w="8340" w:type="dxa"/>
            <w:vAlign w:val="bottom"/>
            <w:tcBorders>
              <w:left w:val="single" w:sz="8" w:color="808080"/>
            </w:tcBorders>
            <w:shd w:val="clear" w:color="auto" w:fill="DBE5F1"/>
          </w:tcPr>
          <w:p>
            <w:pPr>
              <w:ind w:left="2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35,206</w:t>
            </w: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33,997</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Long-term inventories, net</w:t>
            </w: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2,617</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2,965</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Intangibles, net</w:t>
            </w: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2,745</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913</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bottom w:val="single" w:sz="8" w:color="DBE5F1"/>
            </w:tcBorders>
          </w:tcPr>
          <w:p>
            <w:pPr>
              <w:ind w:left="8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DBE5F1"/>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40" w:type="dxa"/>
            <w:vAlign w:val="bottom"/>
            <w:tcBorders>
              <w:right w:val="single" w:sz="8" w:color="808080"/>
            </w:tcBorders>
          </w:tcPr>
          <w:p>
            <w:pPr>
              <w:spacing w:after="0"/>
              <w:rPr>
                <w:sz w:val="18"/>
                <w:szCs w:val="18"/>
                <w:color w:val="auto"/>
              </w:rPr>
            </w:pPr>
          </w:p>
        </w:tc>
      </w:tr>
      <w:tr>
        <w:trPr>
          <w:trHeight w:val="250"/>
        </w:trPr>
        <w:tc>
          <w:tcPr>
            <w:tcW w:w="8340" w:type="dxa"/>
            <w:vAlign w:val="bottom"/>
            <w:tcBorders>
              <w:left w:val="single" w:sz="8" w:color="808080"/>
            </w:tcBorders>
            <w:shd w:val="clear" w:color="auto" w:fill="DBE5F1"/>
          </w:tcPr>
          <w:p>
            <w:pPr>
              <w:ind w:left="26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44,361</w:t>
            </w:r>
          </w:p>
        </w:tc>
        <w:tc>
          <w:tcPr>
            <w:tcW w:w="480" w:type="dxa"/>
            <w:vAlign w:val="bottom"/>
            <w:gridSpan w:val="2"/>
            <w:shd w:val="clear" w:color="auto" w:fill="DBE5F1"/>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43,981</w:t>
            </w:r>
          </w:p>
        </w:tc>
        <w:tc>
          <w:tcPr>
            <w:tcW w:w="40" w:type="dxa"/>
            <w:vAlign w:val="bottom"/>
            <w:tcBorders>
              <w:right w:val="single" w:sz="8" w:color="808080"/>
            </w:tcBorders>
          </w:tcPr>
          <w:p>
            <w:pPr>
              <w:spacing w:after="0"/>
              <w:rPr>
                <w:sz w:val="21"/>
                <w:szCs w:val="21"/>
                <w:color w:val="auto"/>
              </w:rPr>
            </w:pPr>
          </w:p>
        </w:tc>
      </w:tr>
      <w:tr>
        <w:trPr>
          <w:trHeight w:val="210"/>
        </w:trPr>
        <w:tc>
          <w:tcPr>
            <w:tcW w:w="8340" w:type="dxa"/>
            <w:vAlign w:val="bottom"/>
            <w:tcBorders>
              <w:top w:val="single" w:sz="8" w:color="DBE5F1"/>
              <w:left w:val="single" w:sz="8" w:color="808080"/>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DBE5F1"/>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224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2,248</w:t>
            </w: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2,362</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4,573</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bottom w:val="single" w:sz="8" w:color="DBE5F1"/>
            </w:tcBorders>
            <w:shd w:val="clear" w:color="auto" w:fill="DBE5F1"/>
          </w:tcPr>
          <w:p>
            <w:pPr>
              <w:ind w:left="80"/>
              <w:spacing w:after="0"/>
              <w:rPr>
                <w:sz w:val="20"/>
                <w:szCs w:val="20"/>
                <w:color w:val="auto"/>
              </w:rPr>
            </w:pPr>
            <w:r>
              <w:rPr>
                <w:rFonts w:ascii="Arial" w:cs="Arial" w:eastAsia="Arial" w:hAnsi="Arial"/>
                <w:sz w:val="18"/>
                <w:szCs w:val="18"/>
                <w:color w:val="auto"/>
              </w:rPr>
              <w:t>Deferred product revenue</w:t>
            </w:r>
          </w:p>
        </w:tc>
        <w:tc>
          <w:tcPr>
            <w:tcW w:w="38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3,753</w:t>
            </w:r>
          </w:p>
        </w:tc>
        <w:tc>
          <w:tcPr>
            <w:tcW w:w="120" w:type="dxa"/>
            <w:vAlign w:val="bottom"/>
            <w:tcBorders>
              <w:bottom w:val="single" w:sz="8" w:color="DBE5F1"/>
            </w:tcBorders>
            <w:shd w:val="clear" w:color="auto" w:fill="DBE5F1"/>
          </w:tcPr>
          <w:p>
            <w:pPr>
              <w:spacing w:after="0"/>
              <w:rPr>
                <w:sz w:val="18"/>
                <w:szCs w:val="18"/>
                <w:color w:val="auto"/>
              </w:rPr>
            </w:pPr>
          </w:p>
        </w:tc>
        <w:tc>
          <w:tcPr>
            <w:tcW w:w="360" w:type="dxa"/>
            <w:vAlign w:val="bottom"/>
            <w:tcBorders>
              <w:bottom w:val="single" w:sz="8" w:color="auto"/>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4,306</w:t>
            </w:r>
          </w:p>
        </w:tc>
        <w:tc>
          <w:tcPr>
            <w:tcW w:w="40" w:type="dxa"/>
            <w:vAlign w:val="bottom"/>
            <w:tcBorders>
              <w:right w:val="single" w:sz="8" w:color="808080"/>
            </w:tcBorders>
          </w:tcPr>
          <w:p>
            <w:pPr>
              <w:spacing w:after="0"/>
              <w:rPr>
                <w:sz w:val="18"/>
                <w:szCs w:val="18"/>
                <w:color w:val="auto"/>
              </w:rPr>
            </w:pPr>
          </w:p>
        </w:tc>
      </w:tr>
      <w:tr>
        <w:trPr>
          <w:trHeight w:val="210"/>
        </w:trPr>
        <w:tc>
          <w:tcPr>
            <w:tcW w:w="834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11,241</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Deferred rent</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584</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DBE5F1"/>
          </w:tcPr>
          <w:p>
            <w:pPr>
              <w:spacing w:after="0"/>
              <w:rPr>
                <w:sz w:val="18"/>
                <w:szCs w:val="18"/>
                <w:color w:val="auto"/>
              </w:rPr>
            </w:pPr>
          </w:p>
        </w:tc>
        <w:tc>
          <w:tcPr>
            <w:tcW w:w="360" w:type="dxa"/>
            <w:vAlign w:val="bottom"/>
            <w:tcBorders>
              <w:bottom w:val="single" w:sz="8" w:color="auto"/>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421</w:t>
            </w:r>
          </w:p>
        </w:tc>
        <w:tc>
          <w:tcPr>
            <w:tcW w:w="40" w:type="dxa"/>
            <w:vAlign w:val="bottom"/>
            <w:tcBorders>
              <w:right w:val="single" w:sz="8" w:color="808080"/>
            </w:tcBorders>
          </w:tcPr>
          <w:p>
            <w:pPr>
              <w:spacing w:after="0"/>
              <w:rPr>
                <w:sz w:val="18"/>
                <w:szCs w:val="18"/>
                <w:color w:val="auto"/>
              </w:rPr>
            </w:pPr>
          </w:p>
        </w:tc>
      </w:tr>
      <w:tr>
        <w:trPr>
          <w:trHeight w:val="210"/>
        </w:trPr>
        <w:tc>
          <w:tcPr>
            <w:tcW w:w="834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9,693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12,246</w:t>
            </w:r>
          </w:p>
        </w:tc>
        <w:tc>
          <w:tcPr>
            <w:tcW w:w="40" w:type="dxa"/>
            <w:vAlign w:val="bottom"/>
            <w:tcBorders>
              <w:right w:val="single" w:sz="8" w:color="808080"/>
            </w:tcBorders>
          </w:tcPr>
          <w:p>
            <w:pPr>
              <w:spacing w:after="0"/>
              <w:rPr>
                <w:sz w:val="18"/>
                <w:szCs w:val="18"/>
                <w:color w:val="auto"/>
              </w:rPr>
            </w:pPr>
          </w:p>
        </w:tc>
      </w:tr>
      <w:tr>
        <w:trPr>
          <w:trHeight w:val="210"/>
        </w:trPr>
        <w:tc>
          <w:tcPr>
            <w:tcW w:w="8340" w:type="dxa"/>
            <w:vAlign w:val="bottom"/>
            <w:tcBorders>
              <w:left w:val="single" w:sz="8" w:color="808080"/>
            </w:tcBorders>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10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60" w:type="dxa"/>
            <w:vAlign w:val="bottom"/>
            <w:shd w:val="clear" w:color="auto" w:fill="DBE5F1"/>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02"/>
        </w:trPr>
        <w:tc>
          <w:tcPr>
            <w:tcW w:w="8340" w:type="dxa"/>
            <w:vAlign w:val="bottom"/>
            <w:tcBorders>
              <w:left w:val="single" w:sz="8" w:color="808080"/>
            </w:tcBorders>
            <w:shd w:val="clear" w:color="auto" w:fill="DBE5F1"/>
          </w:tcPr>
          <w:p>
            <w:pPr>
              <w:ind w:left="80"/>
              <w:spacing w:after="0" w:line="201" w:lineRule="exact"/>
              <w:rPr>
                <w:sz w:val="20"/>
                <w:szCs w:val="20"/>
                <w:color w:val="auto"/>
              </w:rPr>
            </w:pPr>
            <w:r>
              <w:rPr>
                <w:rFonts w:ascii="Arial" w:cs="Arial" w:eastAsia="Arial" w:hAnsi="Arial"/>
                <w:sz w:val="18"/>
                <w:szCs w:val="18"/>
                <w:color w:val="auto"/>
                <w:w w:val="94"/>
              </w:rPr>
              <w:t>Common stock, par value $0.001, 50,000,000 shares authorized, 9,058,206 and 8,929,439 shares issued and</w:t>
            </w:r>
          </w:p>
        </w:tc>
        <w:tc>
          <w:tcPr>
            <w:tcW w:w="38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c>
          <w:tcPr>
            <w:tcW w:w="120" w:type="dxa"/>
            <w:vAlign w:val="bottom"/>
            <w:shd w:val="clear" w:color="auto" w:fill="DBE5F1"/>
          </w:tcPr>
          <w:p>
            <w:pPr>
              <w:spacing w:after="0"/>
              <w:rPr>
                <w:sz w:val="17"/>
                <w:szCs w:val="17"/>
                <w:color w:val="auto"/>
              </w:rPr>
            </w:pPr>
          </w:p>
        </w:tc>
        <w:tc>
          <w:tcPr>
            <w:tcW w:w="360" w:type="dxa"/>
            <w:vAlign w:val="bottom"/>
            <w:shd w:val="clear" w:color="auto" w:fill="DBE5F1"/>
          </w:tcPr>
          <w:p>
            <w:pPr>
              <w:spacing w:after="0"/>
              <w:rPr>
                <w:sz w:val="17"/>
                <w:szCs w:val="17"/>
                <w:color w:val="auto"/>
              </w:rPr>
            </w:pPr>
          </w:p>
        </w:tc>
        <w:tc>
          <w:tcPr>
            <w:tcW w:w="1160" w:type="dxa"/>
            <w:vAlign w:val="bottom"/>
            <w:shd w:val="clear" w:color="auto" w:fill="DBE5F1"/>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30"/>
        </w:trPr>
        <w:tc>
          <w:tcPr>
            <w:tcW w:w="8340" w:type="dxa"/>
            <w:vAlign w:val="bottom"/>
            <w:tcBorders>
              <w:left w:val="single" w:sz="8" w:color="808080"/>
            </w:tcBorders>
            <w:shd w:val="clear" w:color="auto" w:fill="DBE5F1"/>
          </w:tcPr>
          <w:p>
            <w:pPr>
              <w:ind w:left="240"/>
              <w:spacing w:after="0"/>
              <w:rPr>
                <w:sz w:val="20"/>
                <w:szCs w:val="20"/>
                <w:color w:val="auto"/>
              </w:rPr>
            </w:pPr>
            <w:r>
              <w:rPr>
                <w:rFonts w:ascii="Arial" w:cs="Arial" w:eastAsia="Arial" w:hAnsi="Arial"/>
                <w:sz w:val="18"/>
                <w:szCs w:val="18"/>
                <w:color w:val="auto"/>
              </w:rPr>
              <w:t>outstanding, respectively</w:t>
            </w:r>
          </w:p>
        </w:tc>
        <w:tc>
          <w:tcPr>
            <w:tcW w:w="38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E5F1"/>
          </w:tcPr>
          <w:p>
            <w:pPr>
              <w:spacing w:after="0"/>
              <w:rPr>
                <w:sz w:val="20"/>
                <w:szCs w:val="20"/>
                <w:color w:val="auto"/>
              </w:rPr>
            </w:pPr>
          </w:p>
        </w:tc>
        <w:tc>
          <w:tcPr>
            <w:tcW w:w="36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808080"/>
            </w:tcBorders>
          </w:tcPr>
          <w:p>
            <w:pPr>
              <w:spacing w:after="0"/>
              <w:rPr>
                <w:sz w:val="20"/>
                <w:szCs w:val="20"/>
                <w:color w:val="auto"/>
              </w:rPr>
            </w:pPr>
          </w:p>
        </w:tc>
      </w:tr>
      <w:tr>
        <w:trPr>
          <w:trHeight w:val="216"/>
        </w:trPr>
        <w:tc>
          <w:tcPr>
            <w:tcW w:w="8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39,073</w:t>
            </w:r>
          </w:p>
        </w:tc>
        <w:tc>
          <w:tcPr>
            <w:tcW w:w="40" w:type="dxa"/>
            <w:vAlign w:val="bottom"/>
            <w:tcBorders>
              <w:right w:val="single" w:sz="8" w:color="808080"/>
            </w:tcBorders>
          </w:tcPr>
          <w:p>
            <w:pPr>
              <w:spacing w:after="0"/>
              <w:rPr>
                <w:sz w:val="18"/>
                <w:szCs w:val="18"/>
                <w:color w:val="auto"/>
              </w:rPr>
            </w:pPr>
          </w:p>
        </w:tc>
      </w:tr>
      <w:tr>
        <w:trPr>
          <w:trHeight w:val="216"/>
        </w:trPr>
        <w:tc>
          <w:tcPr>
            <w:tcW w:w="83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shd w:val="clear" w:color="auto" w:fill="DBE5F1"/>
          </w:tcPr>
          <w:p>
            <w:pPr>
              <w:spacing w:after="0"/>
              <w:rPr>
                <w:sz w:val="18"/>
                <w:szCs w:val="18"/>
                <w:color w:val="auto"/>
              </w:rPr>
            </w:pPr>
          </w:p>
        </w:tc>
        <w:tc>
          <w:tcPr>
            <w:tcW w:w="10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(5,214)</w:t>
            </w:r>
          </w:p>
        </w:tc>
        <w:tc>
          <w:tcPr>
            <w:tcW w:w="120" w:type="dxa"/>
            <w:vAlign w:val="bottom"/>
            <w:shd w:val="clear" w:color="auto" w:fill="DBE5F1"/>
          </w:tcPr>
          <w:p>
            <w:pPr>
              <w:spacing w:after="0"/>
              <w:rPr>
                <w:sz w:val="18"/>
                <w:szCs w:val="18"/>
                <w:color w:val="auto"/>
              </w:rPr>
            </w:pPr>
          </w:p>
        </w:tc>
        <w:tc>
          <w:tcPr>
            <w:tcW w:w="360" w:type="dxa"/>
            <w:vAlign w:val="bottom"/>
            <w:tcBorders>
              <w:bottom w:val="single" w:sz="8" w:color="auto"/>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(7,347)</w:t>
            </w:r>
          </w:p>
        </w:tc>
        <w:tc>
          <w:tcPr>
            <w:tcW w:w="40" w:type="dxa"/>
            <w:vAlign w:val="bottom"/>
            <w:tcBorders>
              <w:right w:val="single" w:sz="8" w:color="808080"/>
            </w:tcBorders>
          </w:tcPr>
          <w:p>
            <w:pPr>
              <w:spacing w:after="0"/>
              <w:rPr>
                <w:sz w:val="18"/>
                <w:szCs w:val="18"/>
                <w:color w:val="auto"/>
              </w:rPr>
            </w:pPr>
          </w:p>
        </w:tc>
      </w:tr>
      <w:tr>
        <w:trPr>
          <w:trHeight w:val="210"/>
        </w:trPr>
        <w:tc>
          <w:tcPr>
            <w:tcW w:w="834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34,668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31,735</w:t>
            </w:r>
          </w:p>
        </w:tc>
        <w:tc>
          <w:tcPr>
            <w:tcW w:w="40" w:type="dxa"/>
            <w:vAlign w:val="bottom"/>
            <w:tcBorders>
              <w:right w:val="single" w:sz="8" w:color="808080"/>
            </w:tcBorders>
          </w:tcPr>
          <w:p>
            <w:pPr>
              <w:spacing w:after="0"/>
              <w:rPr>
                <w:sz w:val="18"/>
                <w:szCs w:val="18"/>
                <w:color w:val="auto"/>
              </w:rPr>
            </w:pPr>
          </w:p>
        </w:tc>
      </w:tr>
      <w:tr>
        <w:trPr>
          <w:trHeight w:val="250"/>
        </w:trPr>
        <w:tc>
          <w:tcPr>
            <w:tcW w:w="8340" w:type="dxa"/>
            <w:vAlign w:val="bottom"/>
            <w:tcBorders>
              <w:left w:val="single" w:sz="8" w:color="808080"/>
            </w:tcBorders>
            <w:shd w:val="clear" w:color="auto" w:fill="DBE5F1"/>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44,361</w:t>
            </w:r>
          </w:p>
        </w:tc>
        <w:tc>
          <w:tcPr>
            <w:tcW w:w="480" w:type="dxa"/>
            <w:vAlign w:val="bottom"/>
            <w:gridSpan w:val="2"/>
            <w:shd w:val="clear" w:color="auto" w:fill="DBE5F1"/>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E5F1"/>
          </w:tcPr>
          <w:p>
            <w:pPr>
              <w:jc w:val="right"/>
              <w:ind w:right="11"/>
              <w:spacing w:after="0"/>
              <w:rPr>
                <w:sz w:val="20"/>
                <w:szCs w:val="20"/>
                <w:color w:val="auto"/>
              </w:rPr>
            </w:pPr>
            <w:r>
              <w:rPr>
                <w:rFonts w:ascii="Arial" w:cs="Arial" w:eastAsia="Arial" w:hAnsi="Arial"/>
                <w:sz w:val="18"/>
                <w:szCs w:val="18"/>
                <w:color w:val="auto"/>
              </w:rPr>
              <w:t>43,981</w:t>
            </w:r>
          </w:p>
        </w:tc>
        <w:tc>
          <w:tcPr>
            <w:tcW w:w="40" w:type="dxa"/>
            <w:vAlign w:val="bottom"/>
            <w:tcBorders>
              <w:right w:val="single" w:sz="8" w:color="808080"/>
            </w:tcBorders>
          </w:tcPr>
          <w:p>
            <w:pPr>
              <w:spacing w:after="0"/>
              <w:rPr>
                <w:sz w:val="21"/>
                <w:szCs w:val="21"/>
                <w:color w:val="auto"/>
              </w:rPr>
            </w:pPr>
          </w:p>
        </w:tc>
      </w:tr>
      <w:tr>
        <w:trPr>
          <w:trHeight w:val="20"/>
        </w:trPr>
        <w:tc>
          <w:tcPr>
            <w:tcW w:w="8340" w:type="dxa"/>
            <w:vAlign w:val="bottom"/>
            <w:tcBorders>
              <w:top w:val="single" w:sz="8" w:color="DBE5F1"/>
              <w:left w:val="single" w:sz="8" w:color="808080"/>
              <w:bottom w:val="single" w:sz="8" w:color="808080"/>
            </w:tcBorders>
          </w:tcPr>
          <w:p>
            <w:pPr>
              <w:spacing w:after="0" w:line="20" w:lineRule="exact"/>
              <w:rPr>
                <w:sz w:val="1"/>
                <w:szCs w:val="1"/>
                <w:color w:val="auto"/>
              </w:rPr>
            </w:pPr>
          </w:p>
        </w:tc>
        <w:tc>
          <w:tcPr>
            <w:tcW w:w="380" w:type="dxa"/>
            <w:vAlign w:val="bottom"/>
            <w:tcBorders>
              <w:top w:val="single" w:sz="8" w:color="auto"/>
              <w:bottom w:val="single" w:sz="8" w:color="808080"/>
            </w:tcBorders>
          </w:tcPr>
          <w:p>
            <w:pPr>
              <w:spacing w:after="0" w:line="20" w:lineRule="exact"/>
              <w:rPr>
                <w:sz w:val="1"/>
                <w:szCs w:val="1"/>
                <w:color w:val="auto"/>
              </w:rPr>
            </w:pPr>
          </w:p>
        </w:tc>
        <w:tc>
          <w:tcPr>
            <w:tcW w:w="1000" w:type="dxa"/>
            <w:vAlign w:val="bottom"/>
            <w:tcBorders>
              <w:top w:val="single" w:sz="8" w:color="auto"/>
              <w:bottom w:val="single" w:sz="8" w:color="808080"/>
            </w:tcBorders>
          </w:tcPr>
          <w:p>
            <w:pPr>
              <w:spacing w:after="0" w:line="20" w:lineRule="exact"/>
              <w:rPr>
                <w:sz w:val="1"/>
                <w:szCs w:val="1"/>
                <w:color w:val="auto"/>
              </w:rPr>
            </w:pPr>
          </w:p>
        </w:tc>
        <w:tc>
          <w:tcPr>
            <w:tcW w:w="120" w:type="dxa"/>
            <w:vAlign w:val="bottom"/>
            <w:tcBorders>
              <w:top w:val="single" w:sz="8" w:color="DBE5F1"/>
              <w:bottom w:val="single" w:sz="8" w:color="808080"/>
            </w:tcBorders>
          </w:tcPr>
          <w:p>
            <w:pPr>
              <w:spacing w:after="0" w:line="20" w:lineRule="exact"/>
              <w:rPr>
                <w:sz w:val="1"/>
                <w:szCs w:val="1"/>
                <w:color w:val="auto"/>
              </w:rPr>
            </w:pPr>
          </w:p>
        </w:tc>
        <w:tc>
          <w:tcPr>
            <w:tcW w:w="360" w:type="dxa"/>
            <w:vAlign w:val="bottom"/>
            <w:tcBorders>
              <w:top w:val="single" w:sz="8" w:color="auto"/>
              <w:bottom w:val="single" w:sz="8" w:color="808080"/>
            </w:tcBorders>
          </w:tcPr>
          <w:p>
            <w:pPr>
              <w:spacing w:after="0" w:line="20" w:lineRule="exact"/>
              <w:rPr>
                <w:sz w:val="1"/>
                <w:szCs w:val="1"/>
                <w:color w:val="auto"/>
              </w:rPr>
            </w:pPr>
          </w:p>
        </w:tc>
        <w:tc>
          <w:tcPr>
            <w:tcW w:w="1160" w:type="dxa"/>
            <w:vAlign w:val="bottom"/>
            <w:tcBorders>
              <w:top w:val="single" w:sz="8" w:color="auto"/>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 w:name="page4"/>
    <w:bookmarkEnd w:id="3"/>
    <w:p>
      <w:pPr>
        <w:ind w:left="3720"/>
        <w:spacing w:after="0"/>
        <w:rPr>
          <w:sz w:val="20"/>
          <w:szCs w:val="20"/>
          <w:color w:val="auto"/>
        </w:rPr>
      </w:pPr>
      <w:r>
        <w:rPr>
          <w:rFonts w:ascii="Arial" w:cs="Arial" w:eastAsia="Arial" w:hAnsi="Arial"/>
          <w:sz w:val="22"/>
          <w:szCs w:val="22"/>
          <w:b w:val="1"/>
          <w:bCs w:val="1"/>
          <w:color w:val="auto"/>
        </w:rPr>
        <w:t>CLEARONE COMMUNICATIONS, INC.</w:t>
      </w:r>
    </w:p>
    <w:p>
      <w:pPr>
        <w:spacing w:after="0" w:line="16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UNAUDITED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amounts)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720" w:type="dxa"/>
            <w:vAlign w:val="bottom"/>
            <w:tcBorders>
              <w:top w:val="single" w:sz="8" w:color="808080"/>
              <w:left w:val="single" w:sz="8" w:color="808080"/>
            </w:tcBorders>
          </w:tcPr>
          <w:p>
            <w:pPr>
              <w:spacing w:after="0"/>
              <w:rPr>
                <w:sz w:val="20"/>
                <w:szCs w:val="20"/>
                <w:color w:val="auto"/>
              </w:rPr>
            </w:pPr>
          </w:p>
        </w:tc>
        <w:tc>
          <w:tcPr>
            <w:tcW w:w="240" w:type="dxa"/>
            <w:vAlign w:val="bottom"/>
            <w:tcBorders>
              <w:top w:val="single" w:sz="8" w:color="808080"/>
            </w:tcBorders>
          </w:tcPr>
          <w:p>
            <w:pPr>
              <w:spacing w:after="0"/>
              <w:rPr>
                <w:sz w:val="20"/>
                <w:szCs w:val="20"/>
                <w:color w:val="auto"/>
              </w:rPr>
            </w:pPr>
          </w:p>
        </w:tc>
        <w:tc>
          <w:tcPr>
            <w:tcW w:w="3000" w:type="dxa"/>
            <w:vAlign w:val="bottom"/>
            <w:tcBorders>
              <w:top w:val="single" w:sz="8" w:color="808080"/>
            </w:tcBorders>
            <w:gridSpan w:val="4"/>
          </w:tcPr>
          <w:p>
            <w:pPr>
              <w:jc w:val="right"/>
              <w:ind w:right="81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top w:val="single" w:sz="8" w:color="808080"/>
            </w:tcBorders>
          </w:tcPr>
          <w:p>
            <w:pPr>
              <w:spacing w:after="0"/>
              <w:rPr>
                <w:sz w:val="20"/>
                <w:szCs w:val="20"/>
                <w:color w:val="auto"/>
              </w:rPr>
            </w:pPr>
          </w:p>
        </w:tc>
        <w:tc>
          <w:tcPr>
            <w:tcW w:w="260" w:type="dxa"/>
            <w:vAlign w:val="bottom"/>
            <w:tcBorders>
              <w:top w:val="single" w:sz="8" w:color="808080"/>
            </w:tcBorders>
          </w:tcPr>
          <w:p>
            <w:pPr>
              <w:spacing w:after="0"/>
              <w:rPr>
                <w:sz w:val="20"/>
                <w:szCs w:val="20"/>
                <w:color w:val="auto"/>
              </w:rPr>
            </w:pPr>
          </w:p>
        </w:tc>
        <w:tc>
          <w:tcPr>
            <w:tcW w:w="3040" w:type="dxa"/>
            <w:vAlign w:val="bottom"/>
            <w:tcBorders>
              <w:top w:val="single" w:sz="8" w:color="808080"/>
              <w:right w:val="single" w:sz="8" w:color="808080"/>
            </w:tcBorders>
            <w:gridSpan w:val="5"/>
          </w:tcPr>
          <w:p>
            <w:pPr>
              <w:ind w:left="760"/>
              <w:spacing w:after="0"/>
              <w:rPr>
                <w:sz w:val="20"/>
                <w:szCs w:val="20"/>
                <w:color w:val="auto"/>
              </w:rPr>
            </w:pPr>
            <w:r>
              <w:rPr>
                <w:rFonts w:ascii="Arial" w:cs="Arial" w:eastAsia="Arial" w:hAnsi="Arial"/>
                <w:sz w:val="16"/>
                <w:szCs w:val="16"/>
                <w:b w:val="1"/>
                <w:bCs w:val="1"/>
                <w:color w:val="auto"/>
              </w:rPr>
              <w:t>Six months ended</w:t>
            </w:r>
          </w:p>
        </w:tc>
      </w:tr>
      <w:tr>
        <w:trPr>
          <w:trHeight w:val="208"/>
        </w:trPr>
        <w:tc>
          <w:tcPr>
            <w:tcW w:w="4720" w:type="dxa"/>
            <w:vAlign w:val="bottom"/>
            <w:tcBorders>
              <w:left w:val="single" w:sz="8" w:color="808080"/>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4"/>
              </w:rPr>
              <w:t>June 30, 2011</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2010</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4"/>
              </w:rPr>
              <w:t>June 30, 2011</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4"/>
              </w:rPr>
              <w:t>June 30, 2010</w:t>
            </w:r>
          </w:p>
        </w:tc>
        <w:tc>
          <w:tcPr>
            <w:tcW w:w="40" w:type="dxa"/>
            <w:vAlign w:val="bottom"/>
            <w:tcBorders>
              <w:right w:val="single" w:sz="8" w:color="808080"/>
            </w:tcBorders>
          </w:tcPr>
          <w:p>
            <w:pPr>
              <w:spacing w:after="0"/>
              <w:rPr>
                <w:sz w:val="18"/>
                <w:szCs w:val="18"/>
                <w:color w:val="auto"/>
              </w:rPr>
            </w:pPr>
          </w:p>
        </w:tc>
      </w:tr>
      <w:tr>
        <w:trPr>
          <w:trHeight w:val="226"/>
        </w:trPr>
        <w:tc>
          <w:tcPr>
            <w:tcW w:w="47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11,890</w:t>
            </w:r>
          </w:p>
        </w:tc>
        <w:tc>
          <w:tcPr>
            <w:tcW w:w="38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9,937</w:t>
            </w:r>
          </w:p>
        </w:tc>
        <w:tc>
          <w:tcPr>
            <w:tcW w:w="40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22,591</w:t>
            </w:r>
          </w:p>
        </w:tc>
        <w:tc>
          <w:tcPr>
            <w:tcW w:w="38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18,293</w:t>
            </w: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bottom w:val="single" w:sz="8" w:color="DBE5F1"/>
            </w:tcBorders>
          </w:tcPr>
          <w:p>
            <w:pPr>
              <w:ind w:left="8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4,734</w:t>
            </w:r>
          </w:p>
        </w:tc>
        <w:tc>
          <w:tcPr>
            <w:tcW w:w="14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4,276</w:t>
            </w:r>
          </w:p>
        </w:tc>
        <w:tc>
          <w:tcPr>
            <w:tcW w:w="14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9,133</w:t>
            </w:r>
          </w:p>
        </w:tc>
        <w:tc>
          <w:tcPr>
            <w:tcW w:w="1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7,437</w:t>
            </w:r>
          </w:p>
        </w:tc>
        <w:tc>
          <w:tcPr>
            <w:tcW w:w="40" w:type="dxa"/>
            <w:vAlign w:val="bottom"/>
            <w:tcBorders>
              <w:right w:val="single" w:sz="8" w:color="808080"/>
            </w:tcBorders>
          </w:tcPr>
          <w:p>
            <w:pPr>
              <w:spacing w:after="0"/>
              <w:rPr>
                <w:sz w:val="19"/>
                <w:szCs w:val="19"/>
                <w:color w:val="auto"/>
              </w:rPr>
            </w:pPr>
          </w:p>
        </w:tc>
      </w:tr>
      <w:tr>
        <w:trPr>
          <w:trHeight w:val="196"/>
        </w:trPr>
        <w:tc>
          <w:tcPr>
            <w:tcW w:w="4720" w:type="dxa"/>
            <w:vAlign w:val="bottom"/>
            <w:tcBorders>
              <w:left w:val="single" w:sz="8" w:color="808080"/>
              <w:bottom w:val="single" w:sz="8" w:color="DBE5F1"/>
            </w:tcBorders>
            <w:shd w:val="clear" w:color="auto" w:fill="DBE5F1"/>
          </w:tcPr>
          <w:p>
            <w:pPr>
              <w:ind w:left="8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DBE5F1"/>
          </w:tcPr>
          <w:p>
            <w:pPr>
              <w:spacing w:after="0"/>
              <w:rPr>
                <w:sz w:val="17"/>
                <w:szCs w:val="17"/>
                <w:color w:val="auto"/>
              </w:rPr>
            </w:pPr>
          </w:p>
        </w:tc>
        <w:tc>
          <w:tcPr>
            <w:tcW w:w="1300" w:type="dxa"/>
            <w:vAlign w:val="bottom"/>
            <w:tcBorders>
              <w:bottom w:val="single" w:sz="8" w:color="auto"/>
            </w:tcBorders>
            <w:shd w:val="clear" w:color="auto" w:fill="DBE5F1"/>
          </w:tcPr>
          <w:p>
            <w:pPr>
              <w:jc w:val="right"/>
              <w:ind w:right="411"/>
              <w:spacing w:after="0" w:line="196" w:lineRule="exact"/>
              <w:rPr>
                <w:sz w:val="20"/>
                <w:szCs w:val="20"/>
                <w:color w:val="auto"/>
              </w:rPr>
            </w:pPr>
            <w:r>
              <w:rPr>
                <w:rFonts w:ascii="Arial" w:cs="Arial" w:eastAsia="Arial" w:hAnsi="Arial"/>
                <w:sz w:val="18"/>
                <w:szCs w:val="18"/>
                <w:color w:val="auto"/>
              </w:rPr>
              <w:t>7,156</w:t>
            </w:r>
          </w:p>
        </w:tc>
        <w:tc>
          <w:tcPr>
            <w:tcW w:w="140" w:type="dxa"/>
            <w:vAlign w:val="bottom"/>
            <w:tcBorders>
              <w:bottom w:val="single" w:sz="8" w:color="DBE5F1"/>
            </w:tcBorders>
            <w:shd w:val="clear" w:color="auto" w:fill="DBE5F1"/>
          </w:tcPr>
          <w:p>
            <w:pPr>
              <w:spacing w:after="0"/>
              <w:rPr>
                <w:sz w:val="17"/>
                <w:szCs w:val="17"/>
                <w:color w:val="auto"/>
              </w:rPr>
            </w:pPr>
          </w:p>
        </w:tc>
        <w:tc>
          <w:tcPr>
            <w:tcW w:w="240" w:type="dxa"/>
            <w:vAlign w:val="bottom"/>
            <w:tcBorders>
              <w:bottom w:val="single" w:sz="8" w:color="auto"/>
            </w:tcBorders>
            <w:shd w:val="clear" w:color="auto" w:fill="DBE5F1"/>
          </w:tcPr>
          <w:p>
            <w:pPr>
              <w:spacing w:after="0"/>
              <w:rPr>
                <w:sz w:val="17"/>
                <w:szCs w:val="17"/>
                <w:color w:val="auto"/>
              </w:rPr>
            </w:pPr>
          </w:p>
        </w:tc>
        <w:tc>
          <w:tcPr>
            <w:tcW w:w="1320" w:type="dxa"/>
            <w:vAlign w:val="bottom"/>
            <w:tcBorders>
              <w:bottom w:val="single" w:sz="8" w:color="auto"/>
            </w:tcBorders>
            <w:shd w:val="clear" w:color="auto" w:fill="DBE5F1"/>
          </w:tcPr>
          <w:p>
            <w:pPr>
              <w:jc w:val="right"/>
              <w:ind w:right="411"/>
              <w:spacing w:after="0" w:line="196" w:lineRule="exact"/>
              <w:rPr>
                <w:sz w:val="20"/>
                <w:szCs w:val="20"/>
                <w:color w:val="auto"/>
              </w:rPr>
            </w:pPr>
            <w:r>
              <w:rPr>
                <w:rFonts w:ascii="Arial" w:cs="Arial" w:eastAsia="Arial" w:hAnsi="Arial"/>
                <w:sz w:val="18"/>
                <w:szCs w:val="18"/>
                <w:color w:val="auto"/>
              </w:rPr>
              <w:t>5,661</w:t>
            </w:r>
          </w:p>
        </w:tc>
        <w:tc>
          <w:tcPr>
            <w:tcW w:w="14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auto"/>
            </w:tcBorders>
            <w:shd w:val="clear" w:color="auto" w:fill="DBE5F1"/>
          </w:tcPr>
          <w:p>
            <w:pPr>
              <w:spacing w:after="0"/>
              <w:rPr>
                <w:sz w:val="17"/>
                <w:szCs w:val="17"/>
                <w:color w:val="auto"/>
              </w:rPr>
            </w:pPr>
          </w:p>
        </w:tc>
        <w:tc>
          <w:tcPr>
            <w:tcW w:w="1320" w:type="dxa"/>
            <w:vAlign w:val="bottom"/>
            <w:tcBorders>
              <w:bottom w:val="single" w:sz="8" w:color="auto"/>
            </w:tcBorders>
            <w:shd w:val="clear" w:color="auto" w:fill="DBE5F1"/>
          </w:tcPr>
          <w:p>
            <w:pPr>
              <w:jc w:val="right"/>
              <w:ind w:right="431"/>
              <w:spacing w:after="0" w:line="196" w:lineRule="exact"/>
              <w:rPr>
                <w:sz w:val="20"/>
                <w:szCs w:val="20"/>
                <w:color w:val="auto"/>
              </w:rPr>
            </w:pPr>
            <w:r>
              <w:rPr>
                <w:rFonts w:ascii="Arial" w:cs="Arial" w:eastAsia="Arial" w:hAnsi="Arial"/>
                <w:sz w:val="18"/>
                <w:szCs w:val="18"/>
                <w:color w:val="auto"/>
              </w:rPr>
              <w:t>13,458</w:t>
            </w:r>
          </w:p>
        </w:tc>
        <w:tc>
          <w:tcPr>
            <w:tcW w:w="160" w:type="dxa"/>
            <w:vAlign w:val="bottom"/>
            <w:tcBorders>
              <w:bottom w:val="single" w:sz="8" w:color="DBE5F1"/>
            </w:tcBorders>
            <w:shd w:val="clear" w:color="auto" w:fill="DBE5F1"/>
          </w:tcPr>
          <w:p>
            <w:pPr>
              <w:spacing w:after="0"/>
              <w:rPr>
                <w:sz w:val="17"/>
                <w:szCs w:val="17"/>
                <w:color w:val="auto"/>
              </w:rPr>
            </w:pPr>
          </w:p>
        </w:tc>
        <w:tc>
          <w:tcPr>
            <w:tcW w:w="220" w:type="dxa"/>
            <w:vAlign w:val="bottom"/>
            <w:tcBorders>
              <w:bottom w:val="single" w:sz="8" w:color="auto"/>
            </w:tcBorders>
            <w:shd w:val="clear" w:color="auto" w:fill="DBE5F1"/>
          </w:tcPr>
          <w:p>
            <w:pPr>
              <w:spacing w:after="0"/>
              <w:rPr>
                <w:sz w:val="17"/>
                <w:szCs w:val="17"/>
                <w:color w:val="auto"/>
              </w:rPr>
            </w:pPr>
          </w:p>
        </w:tc>
        <w:tc>
          <w:tcPr>
            <w:tcW w:w="1300" w:type="dxa"/>
            <w:vAlign w:val="bottom"/>
            <w:tcBorders>
              <w:bottom w:val="single" w:sz="8" w:color="auto"/>
            </w:tcBorders>
            <w:shd w:val="clear" w:color="auto" w:fill="DBE5F1"/>
          </w:tcPr>
          <w:p>
            <w:pPr>
              <w:jc w:val="right"/>
              <w:ind w:right="431"/>
              <w:spacing w:after="0" w:line="196" w:lineRule="exact"/>
              <w:rPr>
                <w:sz w:val="20"/>
                <w:szCs w:val="20"/>
                <w:color w:val="auto"/>
              </w:rPr>
            </w:pPr>
            <w:r>
              <w:rPr>
                <w:rFonts w:ascii="Arial" w:cs="Arial" w:eastAsia="Arial" w:hAnsi="Arial"/>
                <w:sz w:val="18"/>
                <w:szCs w:val="18"/>
                <w:color w:val="auto"/>
              </w:rPr>
              <w:t>10,856</w:t>
            </w:r>
          </w:p>
        </w:tc>
        <w:tc>
          <w:tcPr>
            <w:tcW w:w="40" w:type="dxa"/>
            <w:vAlign w:val="bottom"/>
            <w:tcBorders>
              <w:right w:val="single" w:sz="8" w:color="808080"/>
            </w:tcBorders>
          </w:tcPr>
          <w:p>
            <w:pPr>
              <w:spacing w:after="0"/>
              <w:rPr>
                <w:sz w:val="17"/>
                <w:szCs w:val="17"/>
                <w:color w:val="auto"/>
              </w:rPr>
            </w:pPr>
          </w:p>
        </w:tc>
      </w:tr>
      <w:tr>
        <w:trPr>
          <w:trHeight w:val="223"/>
        </w:trPr>
        <w:tc>
          <w:tcPr>
            <w:tcW w:w="4720" w:type="dxa"/>
            <w:vAlign w:val="bottom"/>
            <w:tcBorders>
              <w:left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DBE5F1"/>
          </w:tcPr>
          <w:p>
            <w:pPr>
              <w:spacing w:after="0"/>
              <w:rPr>
                <w:sz w:val="19"/>
                <w:szCs w:val="19"/>
                <w:color w:val="auto"/>
              </w:rPr>
            </w:pPr>
          </w:p>
        </w:tc>
        <w:tc>
          <w:tcPr>
            <w:tcW w:w="130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32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320" w:type="dxa"/>
            <w:vAlign w:val="bottom"/>
            <w:shd w:val="clear" w:color="auto" w:fill="DBE5F1"/>
          </w:tcPr>
          <w:p>
            <w:pPr>
              <w:spacing w:after="0"/>
              <w:rPr>
                <w:sz w:val="19"/>
                <w:szCs w:val="19"/>
                <w:color w:val="auto"/>
              </w:rPr>
            </w:pPr>
          </w:p>
        </w:tc>
        <w:tc>
          <w:tcPr>
            <w:tcW w:w="16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1300" w:type="dxa"/>
            <w:vAlign w:val="bottom"/>
            <w:shd w:val="clear" w:color="auto" w:fill="DBE5F1"/>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2,106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411"/>
              <w:spacing w:after="0"/>
              <w:rPr>
                <w:sz w:val="20"/>
                <w:szCs w:val="20"/>
                <w:color w:val="auto"/>
              </w:rPr>
            </w:pPr>
            <w:r>
              <w:rPr>
                <w:rFonts w:ascii="Arial" w:cs="Arial" w:eastAsia="Arial" w:hAnsi="Arial"/>
                <w:sz w:val="18"/>
                <w:szCs w:val="18"/>
                <w:color w:val="auto"/>
              </w:rPr>
              <w:t>2,183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4,089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431"/>
              <w:spacing w:after="0"/>
              <w:rPr>
                <w:sz w:val="20"/>
                <w:szCs w:val="20"/>
                <w:color w:val="auto"/>
              </w:rPr>
            </w:pPr>
            <w:r>
              <w:rPr>
                <w:rFonts w:ascii="Arial" w:cs="Arial" w:eastAsia="Arial" w:hAnsi="Arial"/>
                <w:sz w:val="18"/>
                <w:szCs w:val="18"/>
                <w:color w:val="auto"/>
              </w:rPr>
              <w:t>4,085</w:t>
            </w: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Research and product development</w:t>
            </w:r>
          </w:p>
        </w:tc>
        <w:tc>
          <w:tcPr>
            <w:tcW w:w="240" w:type="dxa"/>
            <w:vAlign w:val="bottom"/>
            <w:shd w:val="clear" w:color="auto" w:fill="DBE5F1"/>
          </w:tcPr>
          <w:p>
            <w:pPr>
              <w:spacing w:after="0"/>
              <w:rPr>
                <w:sz w:val="19"/>
                <w:szCs w:val="19"/>
                <w:color w:val="auto"/>
              </w:rPr>
            </w:pPr>
          </w:p>
        </w:tc>
        <w:tc>
          <w:tcPr>
            <w:tcW w:w="130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1,816</w:t>
            </w: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32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1,744</w:t>
            </w:r>
          </w:p>
        </w:tc>
        <w:tc>
          <w:tcPr>
            <w:tcW w:w="1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32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3,453</w:t>
            </w:r>
          </w:p>
        </w:tc>
        <w:tc>
          <w:tcPr>
            <w:tcW w:w="16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130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3,648</w:t>
            </w: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bottom w:val="single" w:sz="8" w:color="DBE5F1"/>
            </w:tcBorders>
          </w:tcPr>
          <w:p>
            <w:pPr>
              <w:ind w:left="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1,361</w:t>
            </w:r>
          </w:p>
        </w:tc>
        <w:tc>
          <w:tcPr>
            <w:tcW w:w="14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1,214</w:t>
            </w:r>
          </w:p>
        </w:tc>
        <w:tc>
          <w:tcPr>
            <w:tcW w:w="14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2,833</w:t>
            </w:r>
          </w:p>
        </w:tc>
        <w:tc>
          <w:tcPr>
            <w:tcW w:w="1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2,146</w:t>
            </w:r>
          </w:p>
        </w:tc>
        <w:tc>
          <w:tcPr>
            <w:tcW w:w="40" w:type="dxa"/>
            <w:vAlign w:val="bottom"/>
            <w:tcBorders>
              <w:right w:val="single" w:sz="8" w:color="808080"/>
            </w:tcBorders>
          </w:tcPr>
          <w:p>
            <w:pPr>
              <w:spacing w:after="0"/>
              <w:rPr>
                <w:sz w:val="19"/>
                <w:szCs w:val="19"/>
                <w:color w:val="auto"/>
              </w:rPr>
            </w:pPr>
          </w:p>
        </w:tc>
      </w:tr>
      <w:tr>
        <w:trPr>
          <w:trHeight w:val="196"/>
        </w:trPr>
        <w:tc>
          <w:tcPr>
            <w:tcW w:w="4720" w:type="dxa"/>
            <w:vAlign w:val="bottom"/>
            <w:tcBorders>
              <w:left w:val="single" w:sz="8" w:color="808080"/>
              <w:bottom w:val="single" w:sz="8" w:color="DBE5F1"/>
            </w:tcBorders>
            <w:shd w:val="clear" w:color="auto" w:fill="DBE5F1"/>
          </w:tcPr>
          <w:p>
            <w:pPr>
              <w:ind w:left="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DBE5F1"/>
          </w:tcPr>
          <w:p>
            <w:pPr>
              <w:spacing w:after="0"/>
              <w:rPr>
                <w:sz w:val="17"/>
                <w:szCs w:val="17"/>
                <w:color w:val="auto"/>
              </w:rPr>
            </w:pPr>
          </w:p>
        </w:tc>
        <w:tc>
          <w:tcPr>
            <w:tcW w:w="1300" w:type="dxa"/>
            <w:vAlign w:val="bottom"/>
            <w:tcBorders>
              <w:bottom w:val="single" w:sz="8" w:color="auto"/>
            </w:tcBorders>
            <w:shd w:val="clear" w:color="auto" w:fill="DBE5F1"/>
          </w:tcPr>
          <w:p>
            <w:pPr>
              <w:jc w:val="right"/>
              <w:ind w:right="411"/>
              <w:spacing w:after="0" w:line="196" w:lineRule="exact"/>
              <w:rPr>
                <w:sz w:val="20"/>
                <w:szCs w:val="20"/>
                <w:color w:val="auto"/>
              </w:rPr>
            </w:pPr>
            <w:r>
              <w:rPr>
                <w:rFonts w:ascii="Arial" w:cs="Arial" w:eastAsia="Arial" w:hAnsi="Arial"/>
                <w:sz w:val="18"/>
                <w:szCs w:val="18"/>
                <w:color w:val="auto"/>
              </w:rPr>
              <w:t>5,283</w:t>
            </w:r>
          </w:p>
        </w:tc>
        <w:tc>
          <w:tcPr>
            <w:tcW w:w="140" w:type="dxa"/>
            <w:vAlign w:val="bottom"/>
            <w:tcBorders>
              <w:bottom w:val="single" w:sz="8" w:color="DBE5F1"/>
            </w:tcBorders>
            <w:shd w:val="clear" w:color="auto" w:fill="DBE5F1"/>
          </w:tcPr>
          <w:p>
            <w:pPr>
              <w:spacing w:after="0"/>
              <w:rPr>
                <w:sz w:val="17"/>
                <w:szCs w:val="17"/>
                <w:color w:val="auto"/>
              </w:rPr>
            </w:pPr>
          </w:p>
        </w:tc>
        <w:tc>
          <w:tcPr>
            <w:tcW w:w="240" w:type="dxa"/>
            <w:vAlign w:val="bottom"/>
            <w:tcBorders>
              <w:bottom w:val="single" w:sz="8" w:color="auto"/>
            </w:tcBorders>
            <w:shd w:val="clear" w:color="auto" w:fill="DBE5F1"/>
          </w:tcPr>
          <w:p>
            <w:pPr>
              <w:spacing w:after="0"/>
              <w:rPr>
                <w:sz w:val="17"/>
                <w:szCs w:val="17"/>
                <w:color w:val="auto"/>
              </w:rPr>
            </w:pPr>
          </w:p>
        </w:tc>
        <w:tc>
          <w:tcPr>
            <w:tcW w:w="1320" w:type="dxa"/>
            <w:vAlign w:val="bottom"/>
            <w:tcBorders>
              <w:bottom w:val="single" w:sz="8" w:color="auto"/>
            </w:tcBorders>
            <w:shd w:val="clear" w:color="auto" w:fill="DBE5F1"/>
          </w:tcPr>
          <w:p>
            <w:pPr>
              <w:jc w:val="right"/>
              <w:ind w:right="411"/>
              <w:spacing w:after="0" w:line="196" w:lineRule="exact"/>
              <w:rPr>
                <w:sz w:val="20"/>
                <w:szCs w:val="20"/>
                <w:color w:val="auto"/>
              </w:rPr>
            </w:pPr>
            <w:r>
              <w:rPr>
                <w:rFonts w:ascii="Arial" w:cs="Arial" w:eastAsia="Arial" w:hAnsi="Arial"/>
                <w:sz w:val="18"/>
                <w:szCs w:val="18"/>
                <w:color w:val="auto"/>
              </w:rPr>
              <w:t>5,141</w:t>
            </w:r>
          </w:p>
        </w:tc>
        <w:tc>
          <w:tcPr>
            <w:tcW w:w="14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auto"/>
            </w:tcBorders>
            <w:shd w:val="clear" w:color="auto" w:fill="DBE5F1"/>
          </w:tcPr>
          <w:p>
            <w:pPr>
              <w:spacing w:after="0"/>
              <w:rPr>
                <w:sz w:val="17"/>
                <w:szCs w:val="17"/>
                <w:color w:val="auto"/>
              </w:rPr>
            </w:pPr>
          </w:p>
        </w:tc>
        <w:tc>
          <w:tcPr>
            <w:tcW w:w="1320" w:type="dxa"/>
            <w:vAlign w:val="bottom"/>
            <w:tcBorders>
              <w:bottom w:val="single" w:sz="8" w:color="auto"/>
            </w:tcBorders>
            <w:shd w:val="clear" w:color="auto" w:fill="DBE5F1"/>
          </w:tcPr>
          <w:p>
            <w:pPr>
              <w:jc w:val="right"/>
              <w:ind w:right="431"/>
              <w:spacing w:after="0" w:line="196" w:lineRule="exact"/>
              <w:rPr>
                <w:sz w:val="20"/>
                <w:szCs w:val="20"/>
                <w:color w:val="auto"/>
              </w:rPr>
            </w:pPr>
            <w:r>
              <w:rPr>
                <w:rFonts w:ascii="Arial" w:cs="Arial" w:eastAsia="Arial" w:hAnsi="Arial"/>
                <w:sz w:val="18"/>
                <w:szCs w:val="18"/>
                <w:color w:val="auto"/>
              </w:rPr>
              <w:t>10,375</w:t>
            </w:r>
          </w:p>
        </w:tc>
        <w:tc>
          <w:tcPr>
            <w:tcW w:w="160" w:type="dxa"/>
            <w:vAlign w:val="bottom"/>
            <w:tcBorders>
              <w:bottom w:val="single" w:sz="8" w:color="DBE5F1"/>
            </w:tcBorders>
            <w:shd w:val="clear" w:color="auto" w:fill="DBE5F1"/>
          </w:tcPr>
          <w:p>
            <w:pPr>
              <w:spacing w:after="0"/>
              <w:rPr>
                <w:sz w:val="17"/>
                <w:szCs w:val="17"/>
                <w:color w:val="auto"/>
              </w:rPr>
            </w:pPr>
          </w:p>
        </w:tc>
        <w:tc>
          <w:tcPr>
            <w:tcW w:w="220" w:type="dxa"/>
            <w:vAlign w:val="bottom"/>
            <w:tcBorders>
              <w:bottom w:val="single" w:sz="8" w:color="auto"/>
            </w:tcBorders>
            <w:shd w:val="clear" w:color="auto" w:fill="DBE5F1"/>
          </w:tcPr>
          <w:p>
            <w:pPr>
              <w:spacing w:after="0"/>
              <w:rPr>
                <w:sz w:val="17"/>
                <w:szCs w:val="17"/>
                <w:color w:val="auto"/>
              </w:rPr>
            </w:pPr>
          </w:p>
        </w:tc>
        <w:tc>
          <w:tcPr>
            <w:tcW w:w="1300" w:type="dxa"/>
            <w:vAlign w:val="bottom"/>
            <w:tcBorders>
              <w:bottom w:val="single" w:sz="8" w:color="auto"/>
            </w:tcBorders>
            <w:shd w:val="clear" w:color="auto" w:fill="DBE5F1"/>
          </w:tcPr>
          <w:p>
            <w:pPr>
              <w:jc w:val="right"/>
              <w:ind w:right="431"/>
              <w:spacing w:after="0" w:line="196" w:lineRule="exact"/>
              <w:rPr>
                <w:sz w:val="20"/>
                <w:szCs w:val="20"/>
                <w:color w:val="auto"/>
              </w:rPr>
            </w:pPr>
            <w:r>
              <w:rPr>
                <w:rFonts w:ascii="Arial" w:cs="Arial" w:eastAsia="Arial" w:hAnsi="Arial"/>
                <w:sz w:val="18"/>
                <w:szCs w:val="18"/>
                <w:color w:val="auto"/>
              </w:rPr>
              <w:t>9,879</w:t>
            </w:r>
          </w:p>
        </w:tc>
        <w:tc>
          <w:tcPr>
            <w:tcW w:w="40" w:type="dxa"/>
            <w:vAlign w:val="bottom"/>
            <w:tcBorders>
              <w:right w:val="single" w:sz="8" w:color="808080"/>
            </w:tcBorders>
          </w:tcPr>
          <w:p>
            <w:pPr>
              <w:spacing w:after="0"/>
              <w:rPr>
                <w:sz w:val="17"/>
                <w:szCs w:val="17"/>
                <w:color w:val="auto"/>
              </w:rPr>
            </w:pPr>
          </w:p>
        </w:tc>
      </w:tr>
      <w:tr>
        <w:trPr>
          <w:trHeight w:val="223"/>
        </w:trPr>
        <w:tc>
          <w:tcPr>
            <w:tcW w:w="4720" w:type="dxa"/>
            <w:vAlign w:val="bottom"/>
            <w:tcBorders>
              <w:left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DBE5F1"/>
          </w:tcPr>
          <w:p>
            <w:pPr>
              <w:spacing w:after="0"/>
              <w:rPr>
                <w:sz w:val="19"/>
                <w:szCs w:val="19"/>
                <w:color w:val="auto"/>
              </w:rPr>
            </w:pPr>
          </w:p>
        </w:tc>
        <w:tc>
          <w:tcPr>
            <w:tcW w:w="130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1,873</w:t>
            </w: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32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32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3,083</w:t>
            </w:r>
          </w:p>
        </w:tc>
        <w:tc>
          <w:tcPr>
            <w:tcW w:w="16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130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977</w:t>
            </w: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16"/>
        </w:trPr>
        <w:tc>
          <w:tcPr>
            <w:tcW w:w="4720" w:type="dxa"/>
            <w:vAlign w:val="bottom"/>
            <w:tcBorders>
              <w:left w:val="single" w:sz="8" w:color="808080"/>
              <w:bottom w:val="single" w:sz="8" w:color="DBE5F1"/>
            </w:tcBorders>
            <w:shd w:val="clear" w:color="auto" w:fill="DBE5F1"/>
          </w:tcPr>
          <w:p>
            <w:pPr>
              <w:ind w:left="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DBE5F1"/>
          </w:tcPr>
          <w:p>
            <w:pPr>
              <w:spacing w:after="0"/>
              <w:rPr>
                <w:sz w:val="18"/>
                <w:szCs w:val="18"/>
                <w:color w:val="auto"/>
              </w:rPr>
            </w:pPr>
          </w:p>
        </w:tc>
        <w:tc>
          <w:tcPr>
            <w:tcW w:w="1300" w:type="dxa"/>
            <w:vAlign w:val="bottom"/>
            <w:tcBorders>
              <w:bottom w:val="single" w:sz="8" w:color="auto"/>
            </w:tcBorders>
            <w:shd w:val="clear" w:color="auto" w:fill="DBE5F1"/>
          </w:tcPr>
          <w:p>
            <w:pPr>
              <w:jc w:val="right"/>
              <w:ind w:right="411"/>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DBE5F1"/>
            </w:tcBorders>
            <w:shd w:val="clear" w:color="auto" w:fill="DBE5F1"/>
          </w:tcPr>
          <w:p>
            <w:pPr>
              <w:spacing w:after="0"/>
              <w:rPr>
                <w:sz w:val="18"/>
                <w:szCs w:val="18"/>
                <w:color w:val="auto"/>
              </w:rPr>
            </w:pPr>
          </w:p>
        </w:tc>
        <w:tc>
          <w:tcPr>
            <w:tcW w:w="240" w:type="dxa"/>
            <w:vAlign w:val="bottom"/>
            <w:tcBorders>
              <w:bottom w:val="single" w:sz="8" w:color="auto"/>
            </w:tcBorders>
            <w:shd w:val="clear" w:color="auto" w:fill="DBE5F1"/>
          </w:tcPr>
          <w:p>
            <w:pPr>
              <w:spacing w:after="0"/>
              <w:rPr>
                <w:sz w:val="18"/>
                <w:szCs w:val="18"/>
                <w:color w:val="auto"/>
              </w:rPr>
            </w:pPr>
          </w:p>
        </w:tc>
        <w:tc>
          <w:tcPr>
            <w:tcW w:w="1320" w:type="dxa"/>
            <w:vAlign w:val="bottom"/>
            <w:tcBorders>
              <w:bottom w:val="single" w:sz="8" w:color="auto"/>
            </w:tcBorders>
            <w:shd w:val="clear" w:color="auto" w:fill="DBE5F1"/>
          </w:tcPr>
          <w:p>
            <w:pPr>
              <w:jc w:val="right"/>
              <w:ind w:right="4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spacing w:after="0"/>
              <w:rPr>
                <w:sz w:val="18"/>
                <w:szCs w:val="18"/>
                <w:color w:val="auto"/>
              </w:rPr>
            </w:pPr>
          </w:p>
        </w:tc>
        <w:tc>
          <w:tcPr>
            <w:tcW w:w="1320" w:type="dxa"/>
            <w:vAlign w:val="bottom"/>
            <w:tcBorders>
              <w:bottom w:val="single" w:sz="8" w:color="auto"/>
            </w:tcBorders>
            <w:shd w:val="clear" w:color="auto" w:fill="DBE5F1"/>
          </w:tcPr>
          <w:p>
            <w:pPr>
              <w:jc w:val="right"/>
              <w:ind w:right="431"/>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DBE5F1"/>
            </w:tcBorders>
            <w:shd w:val="clear" w:color="auto" w:fill="DBE5F1"/>
          </w:tcPr>
          <w:p>
            <w:pPr>
              <w:spacing w:after="0"/>
              <w:rPr>
                <w:sz w:val="18"/>
                <w:szCs w:val="18"/>
                <w:color w:val="auto"/>
              </w:rPr>
            </w:pPr>
          </w:p>
        </w:tc>
        <w:tc>
          <w:tcPr>
            <w:tcW w:w="220" w:type="dxa"/>
            <w:vAlign w:val="bottom"/>
            <w:tcBorders>
              <w:bottom w:val="single" w:sz="8" w:color="auto"/>
            </w:tcBorders>
            <w:shd w:val="clear" w:color="auto" w:fill="DBE5F1"/>
          </w:tcPr>
          <w:p>
            <w:pPr>
              <w:spacing w:after="0"/>
              <w:rPr>
                <w:sz w:val="18"/>
                <w:szCs w:val="18"/>
                <w:color w:val="auto"/>
              </w:rPr>
            </w:pPr>
          </w:p>
        </w:tc>
        <w:tc>
          <w:tcPr>
            <w:tcW w:w="1300" w:type="dxa"/>
            <w:vAlign w:val="bottom"/>
            <w:tcBorders>
              <w:bottom w:val="single" w:sz="8" w:color="auto"/>
            </w:tcBorders>
            <w:shd w:val="clear" w:color="auto" w:fill="DBE5F1"/>
          </w:tcPr>
          <w:p>
            <w:pPr>
              <w:jc w:val="right"/>
              <w:ind w:right="391"/>
              <w:spacing w:after="0"/>
              <w:rPr>
                <w:sz w:val="20"/>
                <w:szCs w:val="20"/>
                <w:color w:val="auto"/>
              </w:rPr>
            </w:pPr>
            <w:r>
              <w:rPr>
                <w:rFonts w:ascii="Arial" w:cs="Arial" w:eastAsia="Arial" w:hAnsi="Arial"/>
                <w:sz w:val="18"/>
                <w:szCs w:val="18"/>
                <w:color w:val="auto"/>
              </w:rPr>
              <w:t>(132)</w:t>
            </w:r>
          </w:p>
        </w:tc>
        <w:tc>
          <w:tcPr>
            <w:tcW w:w="40" w:type="dxa"/>
            <w:vAlign w:val="bottom"/>
            <w:tcBorders>
              <w:right w:val="single" w:sz="8" w:color="808080"/>
            </w:tcBorders>
          </w:tcPr>
          <w:p>
            <w:pPr>
              <w:spacing w:after="0"/>
              <w:rPr>
                <w:sz w:val="18"/>
                <w:szCs w:val="18"/>
                <w:color w:val="auto"/>
              </w:rPr>
            </w:pPr>
          </w:p>
        </w:tc>
      </w:tr>
      <w:tr>
        <w:trPr>
          <w:trHeight w:val="223"/>
        </w:trPr>
        <w:tc>
          <w:tcPr>
            <w:tcW w:w="4720" w:type="dxa"/>
            <w:vAlign w:val="bottom"/>
            <w:tcBorders>
              <w:left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DBE5F1"/>
          </w:tcPr>
          <w:p>
            <w:pPr>
              <w:spacing w:after="0"/>
              <w:rPr>
                <w:sz w:val="19"/>
                <w:szCs w:val="19"/>
                <w:color w:val="auto"/>
              </w:rPr>
            </w:pPr>
          </w:p>
        </w:tc>
        <w:tc>
          <w:tcPr>
            <w:tcW w:w="130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1,880</w:t>
            </w: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32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32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130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845</w:t>
            </w:r>
          </w:p>
        </w:tc>
        <w:tc>
          <w:tcPr>
            <w:tcW w:w="40" w:type="dxa"/>
            <w:vAlign w:val="bottom"/>
            <w:tcBorders>
              <w:right w:val="single" w:sz="8" w:color="808080"/>
            </w:tcBorders>
          </w:tcPr>
          <w:p>
            <w:pPr>
              <w:spacing w:after="0"/>
              <w:rPr>
                <w:sz w:val="19"/>
                <w:szCs w:val="19"/>
                <w:color w:val="auto"/>
              </w:rPr>
            </w:pPr>
          </w:p>
        </w:tc>
      </w:tr>
      <w:tr>
        <w:trPr>
          <w:trHeight w:val="216"/>
        </w:trPr>
        <w:tc>
          <w:tcPr>
            <w:tcW w:w="472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(275)</w:t>
            </w:r>
          </w:p>
        </w:tc>
        <w:tc>
          <w:tcPr>
            <w:tcW w:w="40" w:type="dxa"/>
            <w:vAlign w:val="bottom"/>
            <w:tcBorders>
              <w:right w:val="single" w:sz="8" w:color="808080"/>
            </w:tcBorders>
          </w:tcPr>
          <w:p>
            <w:pPr>
              <w:spacing w:after="0"/>
              <w:rPr>
                <w:sz w:val="18"/>
                <w:szCs w:val="18"/>
                <w:color w:val="auto"/>
              </w:rPr>
            </w:pPr>
          </w:p>
        </w:tc>
      </w:tr>
      <w:tr>
        <w:trPr>
          <w:trHeight w:val="236"/>
        </w:trPr>
        <w:tc>
          <w:tcPr>
            <w:tcW w:w="4720" w:type="dxa"/>
            <w:vAlign w:val="bottom"/>
            <w:tcBorders>
              <w:left w:val="single" w:sz="8" w:color="808080"/>
              <w:bottom w:val="single" w:sz="8" w:color="DBE5F1"/>
            </w:tcBorders>
            <w:shd w:val="clear" w:color="auto" w:fill="DBE5F1"/>
          </w:tcPr>
          <w:p>
            <w:pPr>
              <w:ind w:left="80"/>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DBE5F1"/>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E5F1"/>
          </w:tcPr>
          <w:p>
            <w:pPr>
              <w:jc w:val="right"/>
              <w:ind w:right="411"/>
              <w:spacing w:after="0" w:line="196" w:lineRule="exact"/>
              <w:rPr>
                <w:sz w:val="20"/>
                <w:szCs w:val="20"/>
                <w:color w:val="auto"/>
              </w:rPr>
            </w:pPr>
            <w:r>
              <w:rPr>
                <w:rFonts w:ascii="Arial" w:cs="Arial" w:eastAsia="Arial" w:hAnsi="Arial"/>
                <w:sz w:val="18"/>
                <w:szCs w:val="18"/>
                <w:color w:val="auto"/>
              </w:rPr>
              <w:t>1,321</w:t>
            </w:r>
          </w:p>
        </w:tc>
        <w:tc>
          <w:tcPr>
            <w:tcW w:w="140" w:type="dxa"/>
            <w:vAlign w:val="bottom"/>
            <w:tcBorders>
              <w:bottom w:val="single" w:sz="8" w:color="DBE5F1"/>
            </w:tcBorders>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E5F1"/>
          </w:tcPr>
          <w:p>
            <w:pPr>
              <w:jc w:val="right"/>
              <w:ind w:right="411"/>
              <w:spacing w:after="0" w:line="196" w:lineRule="exact"/>
              <w:rPr>
                <w:sz w:val="20"/>
                <w:szCs w:val="20"/>
                <w:color w:val="auto"/>
              </w:rPr>
            </w:pPr>
            <w:r>
              <w:rPr>
                <w:rFonts w:ascii="Arial" w:cs="Arial" w:eastAsia="Arial" w:hAnsi="Arial"/>
                <w:sz w:val="18"/>
                <w:szCs w:val="18"/>
                <w:color w:val="auto"/>
              </w:rPr>
              <w:t>353</w:t>
            </w:r>
          </w:p>
        </w:tc>
        <w:tc>
          <w:tcPr>
            <w:tcW w:w="140" w:type="dxa"/>
            <w:vAlign w:val="bottom"/>
            <w:tcBorders>
              <w:bottom w:val="single" w:sz="8" w:color="DBE5F1"/>
            </w:tcBorders>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E5F1"/>
          </w:tcPr>
          <w:p>
            <w:pPr>
              <w:jc w:val="right"/>
              <w:ind w:right="431"/>
              <w:spacing w:after="0" w:line="196" w:lineRule="exact"/>
              <w:rPr>
                <w:sz w:val="20"/>
                <w:szCs w:val="20"/>
                <w:color w:val="auto"/>
              </w:rPr>
            </w:pPr>
            <w:r>
              <w:rPr>
                <w:rFonts w:ascii="Arial" w:cs="Arial" w:eastAsia="Arial" w:hAnsi="Arial"/>
                <w:sz w:val="18"/>
                <w:szCs w:val="18"/>
                <w:color w:val="auto"/>
              </w:rPr>
              <w:t>2,133</w:t>
            </w:r>
          </w:p>
        </w:tc>
        <w:tc>
          <w:tcPr>
            <w:tcW w:w="160" w:type="dxa"/>
            <w:vAlign w:val="bottom"/>
            <w:tcBorders>
              <w:bottom w:val="single" w:sz="8" w:color="DBE5F1"/>
            </w:tcBorders>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E5F1"/>
          </w:tcPr>
          <w:p>
            <w:pPr>
              <w:jc w:val="right"/>
              <w:ind w:right="431"/>
              <w:spacing w:after="0" w:line="196" w:lineRule="exact"/>
              <w:rPr>
                <w:sz w:val="20"/>
                <w:szCs w:val="20"/>
                <w:color w:val="auto"/>
              </w:rPr>
            </w:pPr>
            <w:r>
              <w:rPr>
                <w:rFonts w:ascii="Arial" w:cs="Arial" w:eastAsia="Arial" w:hAnsi="Arial"/>
                <w:sz w:val="18"/>
                <w:szCs w:val="18"/>
                <w:color w:val="auto"/>
              </w:rPr>
              <w:t>570</w:t>
            </w:r>
          </w:p>
        </w:tc>
        <w:tc>
          <w:tcPr>
            <w:tcW w:w="40" w:type="dxa"/>
            <w:vAlign w:val="bottom"/>
            <w:tcBorders>
              <w:right w:val="single" w:sz="8" w:color="808080"/>
            </w:tcBorders>
          </w:tcPr>
          <w:p>
            <w:pPr>
              <w:spacing w:after="0"/>
              <w:rPr>
                <w:sz w:val="20"/>
                <w:szCs w:val="20"/>
                <w:color w:val="auto"/>
              </w:rPr>
            </w:pPr>
          </w:p>
        </w:tc>
      </w:tr>
      <w:tr>
        <w:trPr>
          <w:trHeight w:val="224"/>
        </w:trPr>
        <w:tc>
          <w:tcPr>
            <w:tcW w:w="4720" w:type="dxa"/>
            <w:vAlign w:val="bottom"/>
            <w:tcBorders>
              <w:left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rPr>
              <w:t>0.06</w:t>
            </w: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1"/>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31"/>
              <w:spacing w:after="0"/>
              <w:rPr>
                <w:sz w:val="20"/>
                <w:szCs w:val="20"/>
                <w:color w:val="auto"/>
              </w:rPr>
            </w:pPr>
            <w:r>
              <w:rPr>
                <w:rFonts w:ascii="Arial" w:cs="Arial" w:eastAsia="Arial" w:hAnsi="Arial"/>
                <w:sz w:val="18"/>
                <w:szCs w:val="18"/>
                <w:color w:val="auto"/>
              </w:rPr>
              <w:t>0.06</w:t>
            </w: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30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32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320" w:type="dxa"/>
            <w:vAlign w:val="bottom"/>
            <w:shd w:val="clear" w:color="auto" w:fill="DBE5F1"/>
          </w:tcPr>
          <w:p>
            <w:pPr>
              <w:spacing w:after="0"/>
              <w:rPr>
                <w:sz w:val="19"/>
                <w:szCs w:val="19"/>
                <w:color w:val="auto"/>
              </w:rPr>
            </w:pPr>
          </w:p>
        </w:tc>
        <w:tc>
          <w:tcPr>
            <w:tcW w:w="16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1300" w:type="dxa"/>
            <w:vAlign w:val="bottom"/>
            <w:shd w:val="clear" w:color="auto" w:fill="DBE5F1"/>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9"/>
                <w:szCs w:val="19"/>
                <w:color w:val="auto"/>
              </w:rPr>
            </w:pPr>
          </w:p>
        </w:tc>
        <w:tc>
          <w:tcPr>
            <w:tcW w:w="1300" w:type="dxa"/>
            <w:vAlign w:val="bottom"/>
          </w:tcPr>
          <w:p>
            <w:pPr>
              <w:jc w:val="right"/>
              <w:ind w:right="411"/>
              <w:spacing w:after="0"/>
              <w:rPr>
                <w:sz w:val="20"/>
                <w:szCs w:val="20"/>
                <w:color w:val="auto"/>
              </w:rPr>
            </w:pPr>
            <w:r>
              <w:rPr>
                <w:rFonts w:ascii="Arial" w:cs="Arial" w:eastAsia="Arial" w:hAnsi="Arial"/>
                <w:sz w:val="18"/>
                <w:szCs w:val="18"/>
                <w:color w:val="auto"/>
                <w:w w:val="97"/>
              </w:rPr>
              <w:t>8,992,500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411"/>
              <w:spacing w:after="0"/>
              <w:rPr>
                <w:sz w:val="20"/>
                <w:szCs w:val="20"/>
                <w:color w:val="auto"/>
              </w:rPr>
            </w:pPr>
            <w:r>
              <w:rPr>
                <w:rFonts w:ascii="Arial" w:cs="Arial" w:eastAsia="Arial" w:hAnsi="Arial"/>
                <w:sz w:val="18"/>
                <w:szCs w:val="18"/>
                <w:color w:val="auto"/>
                <w:w w:val="99"/>
              </w:rPr>
              <w:t>8,929,281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w w:val="97"/>
              </w:rPr>
              <w:t>8,962,171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431"/>
              <w:spacing w:after="0"/>
              <w:rPr>
                <w:sz w:val="20"/>
                <w:szCs w:val="20"/>
                <w:color w:val="auto"/>
              </w:rPr>
            </w:pPr>
            <w:r>
              <w:rPr>
                <w:rFonts w:ascii="Arial" w:cs="Arial" w:eastAsia="Arial" w:hAnsi="Arial"/>
                <w:sz w:val="18"/>
                <w:szCs w:val="18"/>
                <w:color w:val="auto"/>
                <w:w w:val="94"/>
              </w:rPr>
              <w:t>8,929,277</w:t>
            </w:r>
          </w:p>
        </w:tc>
        <w:tc>
          <w:tcPr>
            <w:tcW w:w="40" w:type="dxa"/>
            <w:vAlign w:val="bottom"/>
            <w:tcBorders>
              <w:right w:val="single" w:sz="8" w:color="808080"/>
            </w:tcBorders>
          </w:tcPr>
          <w:p>
            <w:pPr>
              <w:spacing w:after="0"/>
              <w:rPr>
                <w:sz w:val="19"/>
                <w:szCs w:val="19"/>
                <w:color w:val="auto"/>
              </w:rPr>
            </w:pPr>
          </w:p>
        </w:tc>
      </w:tr>
      <w:tr>
        <w:trPr>
          <w:trHeight w:val="230"/>
        </w:trPr>
        <w:tc>
          <w:tcPr>
            <w:tcW w:w="47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shd w:val="clear" w:color="auto" w:fill="DBE5F1"/>
          </w:tcPr>
          <w:p>
            <w:pPr>
              <w:spacing w:after="0"/>
              <w:rPr>
                <w:sz w:val="19"/>
                <w:szCs w:val="19"/>
                <w:color w:val="auto"/>
              </w:rPr>
            </w:pPr>
          </w:p>
        </w:tc>
        <w:tc>
          <w:tcPr>
            <w:tcW w:w="130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w w:val="97"/>
              </w:rPr>
              <w:t>9,433,650</w:t>
            </w: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320" w:type="dxa"/>
            <w:vAlign w:val="bottom"/>
            <w:shd w:val="clear" w:color="auto" w:fill="DBE5F1"/>
          </w:tcPr>
          <w:p>
            <w:pPr>
              <w:jc w:val="right"/>
              <w:ind w:right="411"/>
              <w:spacing w:after="0"/>
              <w:rPr>
                <w:sz w:val="20"/>
                <w:szCs w:val="20"/>
                <w:color w:val="auto"/>
              </w:rPr>
            </w:pPr>
            <w:r>
              <w:rPr>
                <w:rFonts w:ascii="Arial" w:cs="Arial" w:eastAsia="Arial" w:hAnsi="Arial"/>
                <w:sz w:val="18"/>
                <w:szCs w:val="18"/>
                <w:color w:val="auto"/>
                <w:w w:val="99"/>
              </w:rPr>
              <w:t>9,045,866</w:t>
            </w:r>
          </w:p>
        </w:tc>
        <w:tc>
          <w:tcPr>
            <w:tcW w:w="1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32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w w:val="97"/>
              </w:rPr>
              <w:t>9,279,800</w:t>
            </w:r>
          </w:p>
        </w:tc>
        <w:tc>
          <w:tcPr>
            <w:tcW w:w="16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1300" w:type="dxa"/>
            <w:vAlign w:val="bottom"/>
            <w:shd w:val="clear" w:color="auto" w:fill="DBE5F1"/>
          </w:tcPr>
          <w:p>
            <w:pPr>
              <w:jc w:val="right"/>
              <w:ind w:right="431"/>
              <w:spacing w:after="0"/>
              <w:rPr>
                <w:sz w:val="20"/>
                <w:szCs w:val="20"/>
                <w:color w:val="auto"/>
              </w:rPr>
            </w:pPr>
            <w:r>
              <w:rPr>
                <w:rFonts w:ascii="Arial" w:cs="Arial" w:eastAsia="Arial" w:hAnsi="Arial"/>
                <w:sz w:val="18"/>
                <w:szCs w:val="18"/>
                <w:color w:val="auto"/>
                <w:w w:val="94"/>
              </w:rPr>
              <w:t>9,045,718</w:t>
            </w:r>
          </w:p>
        </w:tc>
        <w:tc>
          <w:tcPr>
            <w:tcW w:w="40" w:type="dxa"/>
            <w:vAlign w:val="bottom"/>
            <w:tcBorders>
              <w:right w:val="single" w:sz="8" w:color="808080"/>
            </w:tcBorders>
          </w:tcPr>
          <w:p>
            <w:pPr>
              <w:spacing w:after="0"/>
              <w:rPr>
                <w:sz w:val="19"/>
                <w:szCs w:val="19"/>
                <w:color w:val="auto"/>
              </w:rPr>
            </w:pPr>
          </w:p>
        </w:tc>
      </w:tr>
      <w:tr>
        <w:trPr>
          <w:trHeight w:val="20"/>
        </w:trPr>
        <w:tc>
          <w:tcPr>
            <w:tcW w:w="4720" w:type="dxa"/>
            <w:vAlign w:val="bottom"/>
            <w:tcBorders>
              <w:left w:val="single" w:sz="8" w:color="808080"/>
              <w:bottom w:val="single" w:sz="8" w:color="808080"/>
            </w:tcBorders>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24662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80"/>
          </w:cols>
          <w:pgMar w:left="260" w:top="355" w:right="259" w:bottom="1440" w:gutter="0" w:footer="0" w:header="0"/>
        </w:sectPr>
      </w:pPr>
    </w:p>
    <w:bookmarkStart w:id="4" w:name="page5"/>
    <w:bookmarkEnd w:id="4"/>
    <w:p>
      <w:pPr>
        <w:jc w:val="center"/>
        <w:ind w:left="2160" w:right="2720"/>
        <w:spacing w:after="0" w:line="243" w:lineRule="auto"/>
        <w:rPr>
          <w:sz w:val="20"/>
          <w:szCs w:val="20"/>
          <w:color w:val="auto"/>
        </w:rPr>
      </w:pPr>
      <w:r>
        <w:rPr>
          <w:rFonts w:ascii="Arial" w:cs="Arial" w:eastAsia="Arial" w:hAnsi="Arial"/>
          <w:sz w:val="22"/>
          <w:szCs w:val="22"/>
          <w:b w:val="1"/>
          <w:bCs w:val="1"/>
          <w:color w:val="auto"/>
        </w:rPr>
        <w:t>CLEARONE COMMUNICATIONS, INC. UNAUDITED CONSOLIDATED STATEMENTS OF CASH FLOWS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153670</wp:posOffset>
            </wp:positionV>
            <wp:extent cx="7233285" cy="6273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6273165"/>
                    </a:xfrm>
                    <a:prstGeom prst="rect">
                      <a:avLst/>
                    </a:prstGeom>
                    <a:noFill/>
                  </pic:spPr>
                </pic:pic>
              </a:graphicData>
            </a:graphic>
          </wp:anchor>
        </w:drawing>
      </w:r>
    </w:p>
    <w:p>
      <w:pPr>
        <w:spacing w:after="0" w:line="252"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Six months ended</w:t>
      </w:r>
    </w:p>
    <w:p>
      <w:pPr>
        <w:spacing w:after="0" w:line="32" w:lineRule="exact"/>
        <w:rPr>
          <w:sz w:val="20"/>
          <w:szCs w:val="20"/>
          <w:color w:val="auto"/>
        </w:rPr>
      </w:pPr>
    </w:p>
    <w:p>
      <w:pPr>
        <w:jc w:val="right"/>
        <w:ind w:right="240"/>
        <w:spacing w:after="0"/>
        <w:tabs>
          <w:tab w:leader="none" w:pos="920" w:val="left"/>
        </w:tabs>
        <w:rPr>
          <w:sz w:val="20"/>
          <w:szCs w:val="20"/>
          <w:color w:val="auto"/>
        </w:rPr>
      </w:pPr>
      <w:r>
        <w:rPr>
          <w:rFonts w:ascii="Arial" w:cs="Arial" w:eastAsia="Arial" w:hAnsi="Arial"/>
          <w:sz w:val="16"/>
          <w:szCs w:val="16"/>
          <w:b w:val="1"/>
          <w:bCs w:val="1"/>
          <w:color w:val="auto"/>
        </w:rPr>
        <w:t>June 30, 2011</w:t>
      </w:r>
      <w:r>
        <w:rPr>
          <w:sz w:val="20"/>
          <w:szCs w:val="20"/>
          <w:color w:val="auto"/>
        </w:rPr>
        <w:tab/>
      </w:r>
      <w:r>
        <w:rPr>
          <w:rFonts w:ascii="Arial" w:cs="Arial" w:eastAsia="Arial" w:hAnsi="Arial"/>
          <w:sz w:val="14"/>
          <w:szCs w:val="14"/>
          <w:b w:val="1"/>
          <w:bCs w:val="1"/>
          <w:color w:val="auto"/>
        </w:rPr>
        <w:t>June 30, 2010</w:t>
      </w:r>
    </w:p>
    <w:p>
      <w:pPr>
        <w:sectPr>
          <w:pgSz w:w="11900" w:h="16838" w:orient="portrait"/>
          <w:cols w:equalWidth="0" w:num="1">
            <w:col w:w="11340"/>
          </w:cols>
          <w:pgMar w:left="280" w:top="355" w:right="279" w:bottom="1440" w:gutter="0" w:footer="0" w:header="0"/>
        </w:sectPr>
      </w:pP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operating activities: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to reconcile net income to net cash provided by operations: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and amortization expense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Provision for doubtful accounts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Write-down of inventory to net realizable value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 on disposal of assets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operating assets and liabilities: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receivable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Prepaid expenses and other 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payable</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Accrued liabilities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product revenue</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long-term liabilities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2,133</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445"/>
        </w:trPr>
        <w:tc>
          <w:tcPr>
            <w:tcW w:w="280" w:type="dxa"/>
            <w:vAlign w:val="bottom"/>
          </w:tcPr>
          <w:p>
            <w:pPr>
              <w:spacing w:after="0"/>
              <w:rPr>
                <w:sz w:val="24"/>
                <w:szCs w:val="24"/>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587</w:t>
            </w:r>
          </w:p>
        </w:tc>
        <w:tc>
          <w:tcPr>
            <w:tcW w:w="6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28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83</w:t>
            </w: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28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28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28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229" w:lineRule="exact"/>
        <w:rPr>
          <w:sz w:val="20"/>
          <w:szCs w:val="20"/>
          <w:color w:val="auto"/>
        </w:rPr>
      </w:pPr>
    </w:p>
    <w:p>
      <w:pPr>
        <w:jc w:val="both"/>
        <w:ind w:left="620"/>
        <w:spacing w:after="0"/>
        <w:tabs>
          <w:tab w:leader="none" w:pos="1920" w:val="left"/>
        </w:tabs>
        <w:rPr>
          <w:sz w:val="20"/>
          <w:szCs w:val="20"/>
          <w:color w:val="auto"/>
        </w:rPr>
      </w:pPr>
      <w:r>
        <w:rPr>
          <w:rFonts w:ascii="Arial" w:cs="Arial" w:eastAsia="Arial" w:hAnsi="Arial"/>
          <w:sz w:val="18"/>
          <w:szCs w:val="18"/>
          <w:color w:val="auto"/>
        </w:rPr>
        <w:t>792</w:t>
      </w:r>
      <w:r>
        <w:rPr>
          <w:sz w:val="20"/>
          <w:szCs w:val="20"/>
          <w:color w:val="auto"/>
        </w:rPr>
        <w:tab/>
      </w:r>
      <w:r>
        <w:rPr>
          <w:rFonts w:ascii="Arial" w:cs="Arial" w:eastAsia="Arial" w:hAnsi="Arial"/>
          <w:sz w:val="18"/>
          <w:szCs w:val="18"/>
          <w:color w:val="auto"/>
        </w:rPr>
        <w:t>(1,946)</w:t>
      </w:r>
    </w:p>
    <w:p>
      <w:pPr>
        <w:spacing w:after="0" w:line="23" w:lineRule="exact"/>
        <w:rPr>
          <w:sz w:val="20"/>
          <w:szCs w:val="20"/>
          <w:color w:val="auto"/>
        </w:rPr>
      </w:pPr>
    </w:p>
    <w:p>
      <w:pPr>
        <w:ind w:left="2020" w:hanging="1474"/>
        <w:spacing w:after="0"/>
        <w:tabs>
          <w:tab w:leader="none" w:pos="2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2,148</w:t>
      </w:r>
    </w:p>
    <w:p>
      <w:pPr>
        <w:spacing w:after="0" w:line="34" w:lineRule="exact"/>
        <w:rPr>
          <w:sz w:val="20"/>
          <w:szCs w:val="20"/>
          <w:color w:val="auto"/>
        </w:rPr>
      </w:pPr>
    </w:p>
    <w:p>
      <w:pPr>
        <w:jc w:val="both"/>
        <w:ind w:left="620"/>
        <w:spacing w:after="0"/>
        <w:tabs>
          <w:tab w:leader="none" w:pos="214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8"/>
          <w:szCs w:val="18"/>
          <w:color w:val="auto"/>
        </w:rPr>
        <w:t>(37)</w:t>
      </w:r>
    </w:p>
    <w:p>
      <w:pPr>
        <w:spacing w:after="0" w:line="23" w:lineRule="exact"/>
        <w:rPr>
          <w:sz w:val="20"/>
          <w:szCs w:val="20"/>
          <w:color w:val="auto"/>
        </w:rPr>
      </w:pPr>
    </w:p>
    <w:p>
      <w:pPr>
        <w:ind w:left="2140" w:hanging="1594"/>
        <w:spacing w:after="0"/>
        <w:tabs>
          <w:tab w:leader="none" w:pos="2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410</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120" w:type="dxa"/>
            <w:vAlign w:val="bottom"/>
          </w:tcPr>
          <w:p>
            <w:pPr>
              <w:jc w:val="right"/>
              <w:ind w:right="550"/>
              <w:spacing w:after="0"/>
              <w:rPr>
                <w:sz w:val="20"/>
                <w:szCs w:val="20"/>
                <w:color w:val="auto"/>
              </w:rPr>
            </w:pPr>
            <w:r>
              <w:rPr>
                <w:rFonts w:ascii="Arial" w:cs="Arial" w:eastAsia="Arial" w:hAnsi="Arial"/>
                <w:sz w:val="18"/>
                <w:szCs w:val="18"/>
                <w:color w:val="auto"/>
              </w:rPr>
              <w:t>68</w:t>
            </w: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42"/>
        </w:trPr>
        <w:tc>
          <w:tcPr>
            <w:tcW w:w="1120" w:type="dxa"/>
            <w:vAlign w:val="bottom"/>
          </w:tcPr>
          <w:p>
            <w:pPr>
              <w:jc w:val="right"/>
              <w:ind w:right="510"/>
              <w:spacing w:after="0"/>
              <w:rPr>
                <w:sz w:val="20"/>
                <w:szCs w:val="20"/>
                <w:color w:val="auto"/>
              </w:rPr>
            </w:pPr>
            <w:r>
              <w:rPr>
                <w:rFonts w:ascii="Arial" w:cs="Arial" w:eastAsia="Arial" w:hAnsi="Arial"/>
                <w:sz w:val="18"/>
                <w:szCs w:val="18"/>
                <w:color w:val="auto"/>
                <w:w w:val="87"/>
              </w:rPr>
              <w:t>(1,874)</w:t>
            </w:r>
          </w:p>
        </w:tc>
        <w:tc>
          <w:tcPr>
            <w:tcW w:w="880" w:type="dxa"/>
            <w:vAlign w:val="bottom"/>
          </w:tcPr>
          <w:p>
            <w:pPr>
              <w:jc w:val="right"/>
              <w:spacing w:after="0"/>
              <w:rPr>
                <w:sz w:val="20"/>
                <w:szCs w:val="20"/>
                <w:color w:val="auto"/>
              </w:rPr>
            </w:pPr>
            <w:r>
              <w:rPr>
                <w:rFonts w:ascii="Arial" w:cs="Arial" w:eastAsia="Arial" w:hAnsi="Arial"/>
                <w:sz w:val="18"/>
                <w:szCs w:val="18"/>
                <w:color w:val="auto"/>
              </w:rPr>
              <w:t>506</w:t>
            </w:r>
          </w:p>
        </w:tc>
      </w:tr>
    </w:tbl>
    <w:p>
      <w:pPr>
        <w:ind w:left="2140" w:hanging="1594"/>
        <w:spacing w:after="0"/>
        <w:tabs>
          <w:tab w:leader="none" w:pos="2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326</w:t>
      </w:r>
    </w:p>
    <w:p>
      <w:pPr>
        <w:spacing w:after="0" w:line="35" w:lineRule="exact"/>
        <w:rPr>
          <w:sz w:val="20"/>
          <w:szCs w:val="20"/>
          <w:color w:val="auto"/>
        </w:rPr>
      </w:pPr>
    </w:p>
    <w:p>
      <w:pPr>
        <w:ind w:left="2160" w:hanging="1449"/>
        <w:spacing w:after="0"/>
        <w:tabs>
          <w:tab w:leader="none" w:pos="2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(44)</w:t>
      </w:r>
    </w:p>
    <w:p>
      <w:pPr>
        <w:spacing w:after="0" w:line="46" w:lineRule="exact"/>
        <w:rPr>
          <w:rFonts w:ascii="Arial" w:cs="Arial" w:eastAsia="Arial" w:hAnsi="Arial"/>
          <w:sz w:val="16"/>
          <w:szCs w:val="16"/>
          <w:color w:val="auto"/>
        </w:rPr>
      </w:pPr>
    </w:p>
    <w:p>
      <w:pPr>
        <w:ind w:left="2020" w:hanging="1399"/>
        <w:spacing w:after="0"/>
        <w:tabs>
          <w:tab w:leader="none" w:pos="2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3,604</w:t>
      </w:r>
    </w:p>
    <w:p>
      <w:pPr>
        <w:spacing w:after="0" w:line="7" w:lineRule="exact"/>
        <w:rPr>
          <w:sz w:val="20"/>
          <w:szCs w:val="20"/>
          <w:color w:val="auto"/>
        </w:rPr>
      </w:pPr>
    </w:p>
    <w:p>
      <w:pPr>
        <w:sectPr>
          <w:pgSz w:w="11900" w:h="16838" w:orient="portrait"/>
          <w:cols w:equalWidth="0" w:num="2">
            <w:col w:w="7820" w:space="720"/>
            <w:col w:w="2800"/>
          </w:cols>
          <w:pgMar w:left="280" w:top="355" w:right="27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360" w:type="dxa"/>
            <w:vAlign w:val="bottom"/>
            <w:shd w:val="clear" w:color="auto" w:fill="DBE5F1"/>
          </w:tcPr>
          <w:p>
            <w:pPr>
              <w:spacing w:after="0"/>
              <w:rPr>
                <w:sz w:val="18"/>
                <w:szCs w:val="18"/>
                <w:color w:val="auto"/>
              </w:rPr>
            </w:pPr>
          </w:p>
        </w:tc>
        <w:tc>
          <w:tcPr>
            <w:tcW w:w="1440" w:type="dxa"/>
            <w:vAlign w:val="bottom"/>
            <w:tcBorders>
              <w:top w:val="single" w:sz="8" w:color="auto"/>
            </w:tcBorders>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1420" w:type="dxa"/>
            <w:vAlign w:val="bottom"/>
            <w:tcBorders>
              <w:top w:val="single" w:sz="8" w:color="auto"/>
            </w:tcBorders>
            <w:shd w:val="clear" w:color="auto" w:fill="DBE5F1"/>
          </w:tcPr>
          <w:p>
            <w:pPr>
              <w:spacing w:after="0"/>
              <w:rPr>
                <w:sz w:val="18"/>
                <w:szCs w:val="18"/>
                <w:color w:val="auto"/>
              </w:rPr>
            </w:pPr>
          </w:p>
        </w:tc>
      </w:tr>
      <w:tr>
        <w:trPr>
          <w:trHeight w:val="230"/>
        </w:trPr>
        <w:tc>
          <w:tcPr>
            <w:tcW w:w="8360" w:type="dxa"/>
            <w:vAlign w:val="bottom"/>
          </w:tcPr>
          <w:p>
            <w:pPr>
              <w:ind w:left="60"/>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360" w:type="dxa"/>
            <w:vAlign w:val="bottom"/>
            <w:shd w:val="clear" w:color="auto" w:fill="DBE5F1"/>
          </w:tcPr>
          <w:p>
            <w:pPr>
              <w:ind w:left="240"/>
              <w:spacing w:after="0"/>
              <w:rPr>
                <w:sz w:val="20"/>
                <w:szCs w:val="20"/>
                <w:color w:val="auto"/>
              </w:rPr>
            </w:pPr>
            <w:r>
              <w:rPr>
                <w:rFonts w:ascii="Arial" w:cs="Arial" w:eastAsia="Arial" w:hAnsi="Arial"/>
                <w:sz w:val="18"/>
                <w:szCs w:val="18"/>
                <w:color w:val="auto"/>
              </w:rPr>
              <w:t>Escrow proceeds received pursuant to NetStreams acquisition</w:t>
            </w:r>
          </w:p>
        </w:tc>
        <w:tc>
          <w:tcPr>
            <w:tcW w:w="1440" w:type="dxa"/>
            <w:vAlign w:val="bottom"/>
            <w:shd w:val="clear" w:color="auto" w:fill="DBE5F1"/>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DBE5F1"/>
          </w:tcPr>
          <w:p>
            <w:pPr>
              <w:jc w:val="right"/>
              <w:ind w:right="290"/>
              <w:spacing w:after="0"/>
              <w:rPr>
                <w:sz w:val="20"/>
                <w:szCs w:val="20"/>
                <w:color w:val="auto"/>
              </w:rPr>
            </w:pPr>
            <w:r>
              <w:rPr>
                <w:rFonts w:ascii="Arial" w:cs="Arial" w:eastAsia="Arial" w:hAnsi="Arial"/>
                <w:sz w:val="18"/>
                <w:szCs w:val="18"/>
                <w:color w:val="auto"/>
              </w:rPr>
              <w:t>350</w:t>
            </w: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(248)</w:t>
            </w: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(542)</w:t>
            </w:r>
          </w:p>
        </w:tc>
      </w:tr>
      <w:tr>
        <w:trPr>
          <w:trHeight w:val="196"/>
        </w:trPr>
        <w:tc>
          <w:tcPr>
            <w:tcW w:w="8360" w:type="dxa"/>
            <w:vAlign w:val="bottom"/>
            <w:tcBorders>
              <w:top w:val="single" w:sz="8" w:color="DBE5F1"/>
              <w:bottom w:val="single" w:sz="8" w:color="DBE5F1"/>
            </w:tcBorders>
            <w:shd w:val="clear" w:color="auto" w:fill="DBE5F1"/>
          </w:tcPr>
          <w:p>
            <w:pPr>
              <w:ind w:left="60"/>
              <w:spacing w:after="0" w:line="196" w:lineRule="exact"/>
              <w:rPr>
                <w:sz w:val="20"/>
                <w:szCs w:val="20"/>
                <w:color w:val="auto"/>
              </w:rPr>
            </w:pPr>
            <w:r>
              <w:rPr>
                <w:rFonts w:ascii="Arial" w:cs="Arial" w:eastAsia="Arial" w:hAnsi="Arial"/>
                <w:sz w:val="18"/>
                <w:szCs w:val="18"/>
                <w:color w:val="auto"/>
              </w:rPr>
              <w:t>Net cash used in investing activities</w:t>
            </w:r>
          </w:p>
        </w:tc>
        <w:tc>
          <w:tcPr>
            <w:tcW w:w="1440" w:type="dxa"/>
            <w:vAlign w:val="bottom"/>
            <w:tcBorders>
              <w:top w:val="single" w:sz="8" w:color="auto"/>
              <w:bottom w:val="single" w:sz="8" w:color="auto"/>
            </w:tcBorders>
            <w:shd w:val="clear" w:color="auto" w:fill="DBE5F1"/>
          </w:tcPr>
          <w:p>
            <w:pPr>
              <w:jc w:val="right"/>
              <w:ind w:right="230"/>
              <w:spacing w:after="0" w:line="196" w:lineRule="exact"/>
              <w:rPr>
                <w:sz w:val="20"/>
                <w:szCs w:val="20"/>
                <w:color w:val="auto"/>
              </w:rPr>
            </w:pPr>
            <w:r>
              <w:rPr>
                <w:rFonts w:ascii="Arial" w:cs="Arial" w:eastAsia="Arial" w:hAnsi="Arial"/>
                <w:sz w:val="18"/>
                <w:szCs w:val="18"/>
                <w:color w:val="auto"/>
              </w:rPr>
              <w:t>(248)</w:t>
            </w:r>
          </w:p>
        </w:tc>
        <w:tc>
          <w:tcPr>
            <w:tcW w:w="120" w:type="dxa"/>
            <w:vAlign w:val="bottom"/>
            <w:tcBorders>
              <w:top w:val="single" w:sz="8" w:color="DBE5F1"/>
              <w:bottom w:val="single" w:sz="8" w:color="DBE5F1"/>
            </w:tcBorders>
            <w:shd w:val="clear" w:color="auto" w:fill="DBE5F1"/>
          </w:tcPr>
          <w:p>
            <w:pPr>
              <w:spacing w:after="0"/>
              <w:rPr>
                <w:sz w:val="17"/>
                <w:szCs w:val="17"/>
                <w:color w:val="auto"/>
              </w:rPr>
            </w:pPr>
          </w:p>
        </w:tc>
        <w:tc>
          <w:tcPr>
            <w:tcW w:w="1420" w:type="dxa"/>
            <w:vAlign w:val="bottom"/>
            <w:tcBorders>
              <w:top w:val="single" w:sz="8" w:color="auto"/>
              <w:bottom w:val="single" w:sz="8" w:color="auto"/>
            </w:tcBorders>
            <w:shd w:val="clear" w:color="auto" w:fill="DBE5F1"/>
          </w:tcPr>
          <w:p>
            <w:pPr>
              <w:jc w:val="right"/>
              <w:ind w:right="250"/>
              <w:spacing w:after="0" w:line="196" w:lineRule="exact"/>
              <w:rPr>
                <w:sz w:val="20"/>
                <w:szCs w:val="20"/>
                <w:color w:val="auto"/>
              </w:rPr>
            </w:pPr>
            <w:r>
              <w:rPr>
                <w:rFonts w:ascii="Arial" w:cs="Arial" w:eastAsia="Arial" w:hAnsi="Arial"/>
                <w:sz w:val="18"/>
                <w:szCs w:val="18"/>
                <w:color w:val="auto"/>
              </w:rPr>
              <w:t>(192)</w:t>
            </w:r>
          </w:p>
        </w:tc>
      </w:tr>
      <w:tr>
        <w:trPr>
          <w:trHeight w:val="210"/>
        </w:trPr>
        <w:tc>
          <w:tcPr>
            <w:tcW w:w="8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360" w:type="dxa"/>
            <w:vAlign w:val="bottom"/>
            <w:shd w:val="clear" w:color="auto" w:fill="DBE5F1"/>
          </w:tcPr>
          <w:p>
            <w:pPr>
              <w:ind w:left="60"/>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shd w:val="clear" w:color="auto" w:fill="DBE5F1"/>
          </w:tcPr>
          <w:p>
            <w:pPr>
              <w:spacing w:after="0"/>
              <w:rPr>
                <w:sz w:val="19"/>
                <w:szCs w:val="19"/>
                <w:color w:val="auto"/>
              </w:rPr>
            </w:pPr>
          </w:p>
        </w:tc>
        <w:tc>
          <w:tcPr>
            <w:tcW w:w="120" w:type="dxa"/>
            <w:vAlign w:val="bottom"/>
            <w:shd w:val="clear" w:color="auto" w:fill="DBE5F1"/>
          </w:tcPr>
          <w:p>
            <w:pPr>
              <w:spacing w:after="0"/>
              <w:rPr>
                <w:sz w:val="19"/>
                <w:szCs w:val="19"/>
                <w:color w:val="auto"/>
              </w:rPr>
            </w:pPr>
          </w:p>
        </w:tc>
        <w:tc>
          <w:tcPr>
            <w:tcW w:w="1420" w:type="dxa"/>
            <w:vAlign w:val="bottom"/>
            <w:shd w:val="clear" w:color="auto" w:fill="DBE5F1"/>
          </w:tcPr>
          <w:p>
            <w:pPr>
              <w:spacing w:after="0"/>
              <w:rPr>
                <w:sz w:val="19"/>
                <w:szCs w:val="19"/>
                <w:color w:val="auto"/>
              </w:rPr>
            </w:pP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Proceeds from the issuance of common stock – options</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717</w:t>
            </w:r>
          </w:p>
        </w:tc>
        <w:tc>
          <w:tcPr>
            <w:tcW w:w="1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DBE5F1"/>
          </w:tcPr>
          <w:p>
            <w:pPr>
              <w:ind w:left="240"/>
              <w:spacing w:after="0"/>
              <w:rPr>
                <w:sz w:val="20"/>
                <w:szCs w:val="20"/>
                <w:color w:val="auto"/>
              </w:rPr>
            </w:pPr>
            <w:r>
              <w:rPr>
                <w:rFonts w:ascii="Arial" w:cs="Arial" w:eastAsia="Arial" w:hAnsi="Arial"/>
                <w:sz w:val="18"/>
                <w:szCs w:val="18"/>
                <w:color w:val="auto"/>
              </w:rPr>
              <w:t>Principal payments on long-term debt</w:t>
            </w:r>
          </w:p>
        </w:tc>
        <w:tc>
          <w:tcPr>
            <w:tcW w:w="1440" w:type="dxa"/>
            <w:vAlign w:val="bottom"/>
            <w:shd w:val="clear" w:color="auto" w:fill="DBE5F1"/>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DBE5F1"/>
          </w:tcPr>
          <w:p>
            <w:pPr>
              <w:jc w:val="right"/>
              <w:ind w:right="250"/>
              <w:spacing w:after="0"/>
              <w:rPr>
                <w:sz w:val="20"/>
                <w:szCs w:val="20"/>
                <w:color w:val="auto"/>
              </w:rPr>
            </w:pPr>
            <w:r>
              <w:rPr>
                <w:rFonts w:ascii="Arial" w:cs="Arial" w:eastAsia="Arial" w:hAnsi="Arial"/>
                <w:sz w:val="18"/>
                <w:szCs w:val="18"/>
                <w:color w:val="auto"/>
              </w:rPr>
              <w:t>(2,000)</w:t>
            </w:r>
          </w:p>
        </w:tc>
      </w:tr>
      <w:tr>
        <w:trPr>
          <w:trHeight w:val="196"/>
        </w:trPr>
        <w:tc>
          <w:tcPr>
            <w:tcW w:w="8360" w:type="dxa"/>
            <w:vAlign w:val="bottom"/>
          </w:tcPr>
          <w:p>
            <w:pPr>
              <w:ind w:left="6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4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717</w:t>
            </w:r>
          </w:p>
        </w:tc>
        <w:tc>
          <w:tcPr>
            <w:tcW w:w="12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(2,000)</w:t>
            </w:r>
          </w:p>
        </w:tc>
      </w:tr>
      <w:tr>
        <w:trPr>
          <w:trHeight w:val="210"/>
        </w:trPr>
        <w:tc>
          <w:tcPr>
            <w:tcW w:w="8360" w:type="dxa"/>
            <w:vAlign w:val="bottom"/>
            <w:shd w:val="clear" w:color="auto" w:fill="DBE5F1"/>
          </w:tcPr>
          <w:p>
            <w:pPr>
              <w:spacing w:after="0"/>
              <w:rPr>
                <w:sz w:val="18"/>
                <w:szCs w:val="18"/>
                <w:color w:val="auto"/>
              </w:rPr>
            </w:pPr>
          </w:p>
        </w:tc>
        <w:tc>
          <w:tcPr>
            <w:tcW w:w="144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1420" w:type="dxa"/>
            <w:vAlign w:val="bottom"/>
            <w:shd w:val="clear" w:color="auto" w:fill="DBE5F1"/>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340"/>
          </w:cols>
          <w:pgMar w:left="280" w:top="355" w:right="27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Net increase in cash and cash equivalents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at the beginning of the period</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1,412</w:t>
            </w:r>
          </w:p>
        </w:tc>
      </w:tr>
      <w:tr>
        <w:trPr>
          <w:trHeight w:val="203"/>
        </w:trPr>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11,431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9,494</w:t>
            </w:r>
          </w:p>
        </w:tc>
      </w:tr>
      <w:tr>
        <w:trPr>
          <w:trHeight w:val="183"/>
        </w:trPr>
        <w:tc>
          <w:tcPr>
            <w:tcW w:w="4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12,396</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10,906</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640" w:space="720"/>
            <w:col w:w="2980"/>
          </w:cols>
          <w:pgMar w:left="280" w:top="355" w:right="27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600" w:type="dxa"/>
            <w:vAlign w:val="bottom"/>
            <w:shd w:val="clear" w:color="auto" w:fill="DBE5F1"/>
          </w:tcPr>
          <w:p>
            <w:pPr>
              <w:spacing w:after="0"/>
              <w:rPr>
                <w:sz w:val="17"/>
                <w:szCs w:val="17"/>
                <w:color w:val="auto"/>
              </w:rPr>
            </w:pPr>
          </w:p>
        </w:tc>
        <w:tc>
          <w:tcPr>
            <w:tcW w:w="1300" w:type="dxa"/>
            <w:vAlign w:val="bottom"/>
            <w:shd w:val="clear" w:color="auto" w:fill="DBE5F1"/>
          </w:tcPr>
          <w:p>
            <w:pPr>
              <w:spacing w:after="0"/>
              <w:rPr>
                <w:sz w:val="17"/>
                <w:szCs w:val="17"/>
                <w:color w:val="auto"/>
              </w:rPr>
            </w:pPr>
          </w:p>
        </w:tc>
        <w:tc>
          <w:tcPr>
            <w:tcW w:w="860" w:type="dxa"/>
            <w:vAlign w:val="bottom"/>
            <w:shd w:val="clear" w:color="auto" w:fill="DBE5F1"/>
          </w:tcPr>
          <w:p>
            <w:pPr>
              <w:spacing w:after="0"/>
              <w:rPr>
                <w:sz w:val="17"/>
                <w:szCs w:val="17"/>
                <w:color w:val="auto"/>
              </w:rPr>
            </w:pPr>
          </w:p>
        </w:tc>
        <w:tc>
          <w:tcPr>
            <w:tcW w:w="680" w:type="dxa"/>
            <w:vAlign w:val="bottom"/>
            <w:shd w:val="clear" w:color="auto" w:fill="DBE5F1"/>
          </w:tcPr>
          <w:p>
            <w:pPr>
              <w:spacing w:after="0"/>
              <w:rPr>
                <w:sz w:val="17"/>
                <w:szCs w:val="17"/>
                <w:color w:val="auto"/>
              </w:rPr>
            </w:pPr>
          </w:p>
        </w:tc>
        <w:tc>
          <w:tcPr>
            <w:tcW w:w="900" w:type="dxa"/>
            <w:vAlign w:val="bottom"/>
            <w:shd w:val="clear" w:color="auto" w:fill="DBE5F1"/>
          </w:tcPr>
          <w:p>
            <w:pPr>
              <w:spacing w:after="0"/>
              <w:rPr>
                <w:sz w:val="17"/>
                <w:szCs w:val="17"/>
                <w:color w:val="auto"/>
              </w:rPr>
            </w:pPr>
          </w:p>
        </w:tc>
      </w:tr>
      <w:tr>
        <w:trPr>
          <w:trHeight w:val="230"/>
        </w:trPr>
        <w:tc>
          <w:tcPr>
            <w:tcW w:w="7600" w:type="dxa"/>
            <w:vAlign w:val="bottom"/>
          </w:tcPr>
          <w:p>
            <w:pPr>
              <w:ind w:left="60"/>
              <w:spacing w:after="0"/>
              <w:rPr>
                <w:sz w:val="20"/>
                <w:szCs w:val="20"/>
                <w:color w:val="auto"/>
              </w:rPr>
            </w:pPr>
            <w:r>
              <w:rPr>
                <w:rFonts w:ascii="Arial" w:cs="Arial" w:eastAsia="Arial" w:hAnsi="Arial"/>
                <w:sz w:val="18"/>
                <w:szCs w:val="18"/>
                <w:color w:val="auto"/>
              </w:rPr>
              <w:t>Supplemental disclosure of cash flow information:</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600" w:type="dxa"/>
            <w:vAlign w:val="bottom"/>
            <w:shd w:val="clear" w:color="auto" w:fill="DBE5F1"/>
          </w:tcPr>
          <w:p>
            <w:pPr>
              <w:ind w:left="240"/>
              <w:spacing w:after="0"/>
              <w:rPr>
                <w:sz w:val="20"/>
                <w:szCs w:val="20"/>
                <w:color w:val="auto"/>
              </w:rPr>
            </w:pPr>
            <w:r>
              <w:rPr>
                <w:rFonts w:ascii="Arial" w:cs="Arial" w:eastAsia="Arial" w:hAnsi="Arial"/>
                <w:sz w:val="18"/>
                <w:szCs w:val="18"/>
                <w:color w:val="auto"/>
              </w:rPr>
              <w:t>Cash paid for interest</w:t>
            </w:r>
          </w:p>
        </w:tc>
        <w:tc>
          <w:tcPr>
            <w:tcW w:w="130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E5F1"/>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61</w:t>
            </w:r>
          </w:p>
        </w:tc>
      </w:tr>
      <w:tr>
        <w:trPr>
          <w:trHeight w:val="230"/>
        </w:trPr>
        <w:tc>
          <w:tcPr>
            <w:tcW w:w="7600" w:type="dxa"/>
            <w:vAlign w:val="bottom"/>
          </w:tcPr>
          <w:p>
            <w:pPr>
              <w:ind w:left="240"/>
              <w:spacing w:after="0"/>
              <w:rPr>
                <w:sz w:val="20"/>
                <w:szCs w:val="20"/>
                <w:color w:val="auto"/>
              </w:rPr>
            </w:pPr>
            <w:r>
              <w:rPr>
                <w:rFonts w:ascii="Arial" w:cs="Arial" w:eastAsia="Arial" w:hAnsi="Arial"/>
                <w:sz w:val="18"/>
                <w:szCs w:val="18"/>
                <w:color w:val="auto"/>
              </w:rPr>
              <w:t>Cash paid for income taxes</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269</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3</w:t>
            </w:r>
          </w:p>
        </w:tc>
      </w:tr>
      <w:tr>
        <w:trPr>
          <w:trHeight w:val="216"/>
        </w:trPr>
        <w:tc>
          <w:tcPr>
            <w:tcW w:w="7600" w:type="dxa"/>
            <w:vAlign w:val="bottom"/>
            <w:shd w:val="clear" w:color="auto" w:fill="DBE5F1"/>
          </w:tcPr>
          <w:p>
            <w:pPr>
              <w:spacing w:after="0"/>
              <w:rPr>
                <w:sz w:val="18"/>
                <w:szCs w:val="18"/>
                <w:color w:val="auto"/>
              </w:rPr>
            </w:pPr>
          </w:p>
        </w:tc>
        <w:tc>
          <w:tcPr>
            <w:tcW w:w="1300" w:type="dxa"/>
            <w:vAlign w:val="bottom"/>
            <w:shd w:val="clear" w:color="auto" w:fill="DBE5F1"/>
          </w:tcPr>
          <w:p>
            <w:pPr>
              <w:spacing w:after="0"/>
              <w:rPr>
                <w:sz w:val="18"/>
                <w:szCs w:val="18"/>
                <w:color w:val="auto"/>
              </w:rPr>
            </w:pPr>
          </w:p>
        </w:tc>
        <w:tc>
          <w:tcPr>
            <w:tcW w:w="860" w:type="dxa"/>
            <w:vAlign w:val="bottom"/>
            <w:shd w:val="clear" w:color="auto" w:fill="DBE5F1"/>
          </w:tcPr>
          <w:p>
            <w:pPr>
              <w:spacing w:after="0"/>
              <w:rPr>
                <w:sz w:val="18"/>
                <w:szCs w:val="18"/>
                <w:color w:val="auto"/>
              </w:rPr>
            </w:pPr>
          </w:p>
        </w:tc>
        <w:tc>
          <w:tcPr>
            <w:tcW w:w="680" w:type="dxa"/>
            <w:vAlign w:val="bottom"/>
            <w:shd w:val="clear" w:color="auto" w:fill="DBE5F1"/>
          </w:tcPr>
          <w:p>
            <w:pPr>
              <w:spacing w:after="0"/>
              <w:rPr>
                <w:sz w:val="18"/>
                <w:szCs w:val="18"/>
                <w:color w:val="auto"/>
              </w:rPr>
            </w:pPr>
          </w:p>
        </w:tc>
        <w:tc>
          <w:tcPr>
            <w:tcW w:w="900" w:type="dxa"/>
            <w:vAlign w:val="bottom"/>
            <w:shd w:val="clear" w:color="auto" w:fill="DBE5F1"/>
          </w:tcPr>
          <w:p>
            <w:pPr>
              <w:spacing w:after="0"/>
              <w:rPr>
                <w:sz w:val="18"/>
                <w:szCs w:val="18"/>
                <w:color w:val="auto"/>
              </w:rPr>
            </w:pPr>
          </w:p>
        </w:tc>
      </w:tr>
      <w:tr>
        <w:trPr>
          <w:trHeight w:val="230"/>
        </w:trPr>
        <w:tc>
          <w:tcPr>
            <w:tcW w:w="7600" w:type="dxa"/>
            <w:vAlign w:val="bottom"/>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59"/>
        </w:trPr>
        <w:tc>
          <w:tcPr>
            <w:tcW w:w="7600" w:type="dxa"/>
            <w:vAlign w:val="bottom"/>
            <w:shd w:val="clear" w:color="auto" w:fill="DBE5F1"/>
          </w:tcPr>
          <w:p>
            <w:pPr>
              <w:ind w:left="280"/>
              <w:spacing w:after="0"/>
              <w:rPr>
                <w:sz w:val="20"/>
                <w:szCs w:val="20"/>
                <w:color w:val="auto"/>
              </w:rPr>
            </w:pPr>
            <w:r>
              <w:rPr>
                <w:rFonts w:ascii="Arial" w:cs="Arial" w:eastAsia="Arial" w:hAnsi="Arial"/>
                <w:sz w:val="18"/>
                <w:szCs w:val="18"/>
                <w:color w:val="auto"/>
              </w:rPr>
              <w:t>Exchanged accounts receivable from a vendor with accounts payable to the same vendor</w:t>
            </w:r>
          </w:p>
        </w:tc>
        <w:tc>
          <w:tcPr>
            <w:tcW w:w="130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E5F1"/>
          </w:tcPr>
          <w:p>
            <w:pPr>
              <w:jc w:val="right"/>
              <w:ind w:right="230"/>
              <w:spacing w:after="0"/>
              <w:rPr>
                <w:sz w:val="20"/>
                <w:szCs w:val="20"/>
                <w:color w:val="auto"/>
              </w:rPr>
            </w:pPr>
            <w:r>
              <w:rPr>
                <w:rFonts w:ascii="Arial" w:cs="Arial" w:eastAsia="Arial" w:hAnsi="Arial"/>
                <w:sz w:val="18"/>
                <w:szCs w:val="18"/>
                <w:color w:val="auto"/>
              </w:rPr>
              <w:t>182</w:t>
            </w:r>
          </w:p>
        </w:tc>
        <w:tc>
          <w:tcPr>
            <w:tcW w:w="68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293</w:t>
            </w:r>
          </w:p>
        </w:tc>
      </w:tr>
      <w:tr>
        <w:trPr>
          <w:trHeight w:val="257"/>
        </w:trPr>
        <w:tc>
          <w:tcPr>
            <w:tcW w:w="7600" w:type="dxa"/>
            <w:vAlign w:val="bottom"/>
          </w:tcPr>
          <w:p>
            <w:pPr>
              <w:ind w:left="240"/>
              <w:spacing w:after="0"/>
              <w:rPr>
                <w:sz w:val="20"/>
                <w:szCs w:val="20"/>
                <w:color w:val="auto"/>
              </w:rPr>
            </w:pPr>
            <w:r>
              <w:rPr>
                <w:rFonts w:ascii="Arial" w:cs="Arial" w:eastAsia="Arial" w:hAnsi="Arial"/>
                <w:sz w:val="18"/>
                <w:szCs w:val="18"/>
                <w:color w:val="auto"/>
              </w:rPr>
              <w:t>Current liabilities reclassed to deferred rent</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176</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230505</wp:posOffset>
            </wp:positionV>
            <wp:extent cx="7246620"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40"/>
          </w:cols>
          <w:pgMar w:left="280" w:top="355" w:right="27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22"/>
          <w:szCs w:val="22"/>
          <w:b w:val="1"/>
          <w:bCs w:val="1"/>
          <w:color w:val="auto"/>
        </w:rPr>
        <w:t>CLEARONE COMMUNICATIONS, INC.</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19"/>
        <w:spacing w:after="0"/>
        <w:rPr>
          <w:sz w:val="20"/>
          <w:szCs w:val="20"/>
          <w:color w:val="auto"/>
        </w:rPr>
      </w:pPr>
      <w:r>
        <w:rPr>
          <w:rFonts w:ascii="Arial" w:cs="Arial" w:eastAsia="Arial" w:hAnsi="Arial"/>
          <w:sz w:val="22"/>
          <w:szCs w:val="22"/>
          <w:b w:val="1"/>
          <w:bCs w:val="1"/>
          <w:color w:val="auto"/>
        </w:rPr>
        <w:t>(Unaudited – Dollars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fiscal year for ClearOne Communications, Inc. and its subsidiaries (collectively, “ClearOne” or the “Company”) is the 12 months ending on December 31</w:t>
      </w:r>
      <w:r>
        <w:rPr>
          <w:rFonts w:ascii="Arial" w:cs="Arial" w:eastAsia="Arial" w:hAnsi="Arial"/>
          <w:sz w:val="12"/>
          <w:szCs w:val="12"/>
          <w:color w:val="auto"/>
        </w:rPr>
        <w:t>st</w:t>
      </w:r>
      <w:r>
        <w:rPr>
          <w:rFonts w:ascii="Arial" w:cs="Arial" w:eastAsia="Arial" w:hAnsi="Arial"/>
          <w:sz w:val="22"/>
          <w:szCs w:val="22"/>
          <w:color w:val="auto"/>
        </w:rPr>
        <w:t>. The consolidated financial statements include the accounts of ClearOne and its subsidiaries. All significant intercompany accounts and transactions have been eliminated.</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The accompanying interim consolidated financial statements for the three and six months ended June 30, 2011 and 2010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June 30, 2011 and 2010, the results of operations for the three and six months ended June 30, 2011 and 2010, and the statements of cash flows for the six months ended June 30, 2011 and 2010. The results of operations for the three and six months ended June 30, 2011 and 2010 are not necessarily indicative of the results for a full-year period. These interim consolidated financial statements should be read in conjunction with the financial statements included in our Annual Report on Form 10-K for the year ended December 31, 2010 filed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Intangibles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Intangibles as of June 30, 2011</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46"/>
        </w:trPr>
        <w:tc>
          <w:tcPr>
            <w:tcW w:w="3640" w:type="dxa"/>
            <w:vAlign w:val="bottom"/>
            <w:tcBorders>
              <w:top w:val="single" w:sz="8" w:color="808080"/>
              <w:left w:val="single" w:sz="8" w:color="808080"/>
            </w:tcBorders>
          </w:tcPr>
          <w:p>
            <w:pPr>
              <w:spacing w:after="0"/>
              <w:rPr>
                <w:sz w:val="21"/>
                <w:szCs w:val="21"/>
                <w:color w:val="auto"/>
              </w:rPr>
            </w:pPr>
          </w:p>
        </w:tc>
        <w:tc>
          <w:tcPr>
            <w:tcW w:w="1220" w:type="dxa"/>
            <w:vAlign w:val="bottom"/>
            <w:tcBorders>
              <w:top w:val="single" w:sz="8" w:color="808080"/>
            </w:tcBorders>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300" w:type="dxa"/>
            <w:vAlign w:val="bottom"/>
            <w:tcBorders>
              <w:top w:val="single" w:sz="8" w:color="808080"/>
            </w:tcBorders>
          </w:tcPr>
          <w:p>
            <w:pPr>
              <w:spacing w:after="0"/>
              <w:rPr>
                <w:sz w:val="21"/>
                <w:szCs w:val="21"/>
                <w:color w:val="auto"/>
              </w:rPr>
            </w:pPr>
          </w:p>
        </w:tc>
        <w:tc>
          <w:tcPr>
            <w:tcW w:w="320" w:type="dxa"/>
            <w:vAlign w:val="bottom"/>
            <w:tcBorders>
              <w:top w:val="single" w:sz="8" w:color="808080"/>
            </w:tcBorders>
          </w:tcPr>
          <w:p>
            <w:pPr>
              <w:spacing w:after="0"/>
              <w:rPr>
                <w:sz w:val="21"/>
                <w:szCs w:val="21"/>
                <w:color w:val="auto"/>
              </w:rPr>
            </w:pPr>
          </w:p>
        </w:tc>
        <w:tc>
          <w:tcPr>
            <w:tcW w:w="1000" w:type="dxa"/>
            <w:vAlign w:val="bottom"/>
            <w:tcBorders>
              <w:top w:val="single" w:sz="8" w:color="808080"/>
            </w:tcBorders>
          </w:tcPr>
          <w:p>
            <w:pPr>
              <w:spacing w:after="0"/>
              <w:rPr>
                <w:sz w:val="21"/>
                <w:szCs w:val="21"/>
                <w:color w:val="auto"/>
              </w:rPr>
            </w:pPr>
          </w:p>
        </w:tc>
        <w:tc>
          <w:tcPr>
            <w:tcW w:w="300" w:type="dxa"/>
            <w:vAlign w:val="bottom"/>
            <w:tcBorders>
              <w:top w:val="single" w:sz="8" w:color="808080"/>
            </w:tcBorders>
          </w:tcPr>
          <w:p>
            <w:pPr>
              <w:spacing w:after="0"/>
              <w:rPr>
                <w:sz w:val="21"/>
                <w:szCs w:val="21"/>
                <w:color w:val="auto"/>
              </w:rPr>
            </w:pPr>
          </w:p>
        </w:tc>
        <w:tc>
          <w:tcPr>
            <w:tcW w:w="480" w:type="dxa"/>
            <w:vAlign w:val="bottom"/>
            <w:tcBorders>
              <w:top w:val="single" w:sz="8" w:color="808080"/>
            </w:tcBorders>
          </w:tcPr>
          <w:p>
            <w:pPr>
              <w:spacing w:after="0"/>
              <w:rPr>
                <w:sz w:val="21"/>
                <w:szCs w:val="21"/>
                <w:color w:val="auto"/>
              </w:rPr>
            </w:pPr>
          </w:p>
        </w:tc>
        <w:tc>
          <w:tcPr>
            <w:tcW w:w="840" w:type="dxa"/>
            <w:vAlign w:val="bottom"/>
            <w:tcBorders>
              <w:top w:val="single" w:sz="8" w:color="808080"/>
            </w:tcBorders>
          </w:tcPr>
          <w:p>
            <w:pPr>
              <w:spacing w:after="0"/>
              <w:rPr>
                <w:sz w:val="21"/>
                <w:szCs w:val="21"/>
                <w:color w:val="auto"/>
              </w:rPr>
            </w:pPr>
          </w:p>
        </w:tc>
        <w:tc>
          <w:tcPr>
            <w:tcW w:w="300" w:type="dxa"/>
            <w:vAlign w:val="bottom"/>
            <w:tcBorders>
              <w:top w:val="single" w:sz="8" w:color="808080"/>
            </w:tcBorders>
          </w:tcPr>
          <w:p>
            <w:pPr>
              <w:spacing w:after="0"/>
              <w:rPr>
                <w:sz w:val="21"/>
                <w:szCs w:val="21"/>
                <w:color w:val="auto"/>
              </w:rPr>
            </w:pPr>
          </w:p>
        </w:tc>
        <w:tc>
          <w:tcPr>
            <w:tcW w:w="400" w:type="dxa"/>
            <w:vAlign w:val="bottom"/>
            <w:tcBorders>
              <w:top w:val="single" w:sz="8" w:color="808080"/>
            </w:tcBorders>
          </w:tcPr>
          <w:p>
            <w:pPr>
              <w:spacing w:after="0"/>
              <w:rPr>
                <w:sz w:val="21"/>
                <w:szCs w:val="21"/>
                <w:color w:val="auto"/>
              </w:rPr>
            </w:pPr>
          </w:p>
        </w:tc>
        <w:tc>
          <w:tcPr>
            <w:tcW w:w="920" w:type="dxa"/>
            <w:vAlign w:val="bottom"/>
            <w:tcBorders>
              <w:top w:val="single" w:sz="8" w:color="808080"/>
            </w:tcBorders>
          </w:tcPr>
          <w:p>
            <w:pPr>
              <w:spacing w:after="0"/>
              <w:rPr>
                <w:sz w:val="21"/>
                <w:szCs w:val="21"/>
                <w:color w:val="auto"/>
              </w:rPr>
            </w:pPr>
          </w:p>
        </w:tc>
        <w:tc>
          <w:tcPr>
            <w:tcW w:w="40" w:type="dxa"/>
            <w:vAlign w:val="bottom"/>
            <w:tcBorders>
              <w:top w:val="single" w:sz="8" w:color="808080"/>
              <w:right w:val="single" w:sz="8" w:color="808080"/>
            </w:tcBorders>
          </w:tcPr>
          <w:p>
            <w:pPr>
              <w:spacing w:after="0"/>
              <w:rPr>
                <w:sz w:val="21"/>
                <w:szCs w:val="21"/>
                <w:color w:val="auto"/>
              </w:rPr>
            </w:pPr>
          </w:p>
        </w:tc>
      </w:tr>
      <w:tr>
        <w:trPr>
          <w:trHeight w:val="203"/>
        </w:trPr>
        <w:tc>
          <w:tcPr>
            <w:tcW w:w="3640" w:type="dxa"/>
            <w:vAlign w:val="bottom"/>
            <w:tcBorders>
              <w:left w:val="single" w:sz="8" w:color="808080"/>
            </w:tcBorders>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useful lives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13"/>
        </w:trPr>
        <w:tc>
          <w:tcPr>
            <w:tcW w:w="3640" w:type="dxa"/>
            <w:vAlign w:val="bottom"/>
            <w:tcBorders>
              <w:left w:val="single" w:sz="8" w:color="808080"/>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Net</w:t>
            </w:r>
          </w:p>
        </w:tc>
        <w:tc>
          <w:tcPr>
            <w:tcW w:w="40" w:type="dxa"/>
            <w:vAlign w:val="bottom"/>
            <w:tcBorders>
              <w:right w:val="single" w:sz="8" w:color="808080"/>
            </w:tcBorders>
          </w:tcPr>
          <w:p>
            <w:pPr>
              <w:spacing w:after="0"/>
              <w:rPr>
                <w:sz w:val="18"/>
                <w:szCs w:val="18"/>
                <w:color w:val="auto"/>
              </w:rPr>
            </w:pPr>
          </w:p>
        </w:tc>
      </w:tr>
      <w:tr>
        <w:trPr>
          <w:trHeight w:val="226"/>
        </w:trPr>
        <w:tc>
          <w:tcPr>
            <w:tcW w:w="36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Tradename</w:t>
            </w:r>
          </w:p>
        </w:tc>
        <w:tc>
          <w:tcPr>
            <w:tcW w:w="122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79"/>
              </w:rPr>
              <w:t>7</w:t>
            </w:r>
          </w:p>
        </w:tc>
        <w:tc>
          <w:tcPr>
            <w:tcW w:w="620" w:type="dxa"/>
            <w:vAlign w:val="bottom"/>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435</w:t>
            </w:r>
          </w:p>
        </w:tc>
        <w:tc>
          <w:tcPr>
            <w:tcW w:w="780" w:type="dxa"/>
            <w:vAlign w:val="bottom"/>
            <w:gridSpan w:val="2"/>
            <w:shd w:val="clear" w:color="auto" w:fill="DBE5F1"/>
          </w:tcPr>
          <w:p>
            <w:pPr>
              <w:jc w:val="right"/>
              <w:ind w:right="136"/>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104</w:t>
            </w:r>
          </w:p>
        </w:tc>
        <w:tc>
          <w:tcPr>
            <w:tcW w:w="700" w:type="dxa"/>
            <w:vAlign w:val="bottom"/>
            <w:gridSpan w:val="2"/>
            <w:shd w:val="clear" w:color="auto" w:fill="DBE5F1"/>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331</w:t>
            </w:r>
          </w:p>
        </w:tc>
        <w:tc>
          <w:tcPr>
            <w:tcW w:w="40" w:type="dxa"/>
            <w:vAlign w:val="bottom"/>
            <w:tcBorders>
              <w:right w:val="single" w:sz="8" w:color="808080"/>
            </w:tcBorders>
          </w:tcPr>
          <w:p>
            <w:pPr>
              <w:spacing w:after="0"/>
              <w:rPr>
                <w:sz w:val="19"/>
                <w:szCs w:val="19"/>
                <w:color w:val="auto"/>
              </w:rPr>
            </w:pPr>
          </w:p>
        </w:tc>
      </w:tr>
      <w:tr>
        <w:trPr>
          <w:trHeight w:val="230"/>
        </w:trPr>
        <w:tc>
          <w:tcPr>
            <w:tcW w:w="36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Patents and Technological Know-how</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2,070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Arial" w:cs="Arial" w:eastAsia="Arial" w:hAnsi="Arial"/>
                <w:sz w:val="18"/>
                <w:szCs w:val="18"/>
                <w:color w:val="auto"/>
              </w:rPr>
              <w:t>1,726</w:t>
            </w:r>
          </w:p>
        </w:tc>
        <w:tc>
          <w:tcPr>
            <w:tcW w:w="40" w:type="dxa"/>
            <w:vAlign w:val="bottom"/>
            <w:tcBorders>
              <w:right w:val="single" w:sz="8" w:color="808080"/>
            </w:tcBorders>
          </w:tcPr>
          <w:p>
            <w:pPr>
              <w:spacing w:after="0"/>
              <w:rPr>
                <w:sz w:val="19"/>
                <w:szCs w:val="19"/>
                <w:color w:val="auto"/>
              </w:rPr>
            </w:pPr>
          </w:p>
        </w:tc>
      </w:tr>
      <w:tr>
        <w:trPr>
          <w:trHeight w:val="230"/>
        </w:trPr>
        <w:tc>
          <w:tcPr>
            <w:tcW w:w="36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Proprietary Software</w:t>
            </w:r>
          </w:p>
        </w:tc>
        <w:tc>
          <w:tcPr>
            <w:tcW w:w="122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DBE5F1"/>
          </w:tcPr>
          <w:p>
            <w:pPr>
              <w:spacing w:after="0"/>
              <w:rPr>
                <w:sz w:val="19"/>
                <w:szCs w:val="19"/>
                <w:color w:val="auto"/>
              </w:rPr>
            </w:pPr>
          </w:p>
        </w:tc>
        <w:tc>
          <w:tcPr>
            <w:tcW w:w="480" w:type="dxa"/>
            <w:vAlign w:val="bottom"/>
            <w:shd w:val="clear" w:color="auto" w:fill="DBE5F1"/>
          </w:tcPr>
          <w:p>
            <w:pPr>
              <w:spacing w:after="0"/>
              <w:rPr>
                <w:sz w:val="19"/>
                <w:szCs w:val="19"/>
                <w:color w:val="auto"/>
              </w:rPr>
            </w:pPr>
          </w:p>
        </w:tc>
        <w:tc>
          <w:tcPr>
            <w:tcW w:w="84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DBE5F1"/>
          </w:tcPr>
          <w:p>
            <w:pPr>
              <w:spacing w:after="0"/>
              <w:rPr>
                <w:sz w:val="19"/>
                <w:szCs w:val="19"/>
                <w:color w:val="auto"/>
              </w:rPr>
            </w:pPr>
          </w:p>
        </w:tc>
        <w:tc>
          <w:tcPr>
            <w:tcW w:w="400" w:type="dxa"/>
            <w:vAlign w:val="bottom"/>
            <w:shd w:val="clear" w:color="auto" w:fill="DBE5F1"/>
          </w:tcPr>
          <w:p>
            <w:pPr>
              <w:spacing w:after="0"/>
              <w:rPr>
                <w:sz w:val="19"/>
                <w:szCs w:val="19"/>
                <w:color w:val="auto"/>
              </w:rPr>
            </w:pPr>
          </w:p>
        </w:tc>
        <w:tc>
          <w:tcPr>
            <w:tcW w:w="92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95</w:t>
            </w:r>
          </w:p>
        </w:tc>
        <w:tc>
          <w:tcPr>
            <w:tcW w:w="40" w:type="dxa"/>
            <w:vAlign w:val="bottom"/>
            <w:tcBorders>
              <w:right w:val="single" w:sz="8" w:color="808080"/>
            </w:tcBorders>
          </w:tcPr>
          <w:p>
            <w:pPr>
              <w:spacing w:after="0"/>
              <w:rPr>
                <w:sz w:val="19"/>
                <w:szCs w:val="19"/>
                <w:color w:val="auto"/>
              </w:rPr>
            </w:pPr>
          </w:p>
        </w:tc>
      </w:tr>
      <w:tr>
        <w:trPr>
          <w:trHeight w:val="230"/>
        </w:trPr>
        <w:tc>
          <w:tcPr>
            <w:tcW w:w="36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In-process Research and Development</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Arial" w:cs="Arial" w:eastAsia="Arial" w:hAnsi="Arial"/>
                <w:sz w:val="18"/>
                <w:szCs w:val="18"/>
                <w:color w:val="auto"/>
              </w:rPr>
              <w:t>400</w:t>
            </w:r>
          </w:p>
        </w:tc>
        <w:tc>
          <w:tcPr>
            <w:tcW w:w="40" w:type="dxa"/>
            <w:vAlign w:val="bottom"/>
            <w:tcBorders>
              <w:right w:val="single" w:sz="8" w:color="808080"/>
            </w:tcBorders>
          </w:tcPr>
          <w:p>
            <w:pPr>
              <w:spacing w:after="0"/>
              <w:rPr>
                <w:sz w:val="19"/>
                <w:szCs w:val="19"/>
                <w:color w:val="auto"/>
              </w:rPr>
            </w:pPr>
          </w:p>
        </w:tc>
      </w:tr>
      <w:tr>
        <w:trPr>
          <w:trHeight w:val="230"/>
        </w:trPr>
        <w:tc>
          <w:tcPr>
            <w:tcW w:w="36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79"/>
              </w:rPr>
              <w:t>5</w:t>
            </w:r>
          </w:p>
        </w:tc>
        <w:tc>
          <w:tcPr>
            <w:tcW w:w="300" w:type="dxa"/>
            <w:vAlign w:val="bottom"/>
            <w:shd w:val="clear" w:color="auto" w:fill="DBE5F1"/>
          </w:tcPr>
          <w:p>
            <w:pPr>
              <w:spacing w:after="0"/>
              <w:rPr>
                <w:sz w:val="19"/>
                <w:szCs w:val="19"/>
                <w:color w:val="auto"/>
              </w:rPr>
            </w:pPr>
          </w:p>
        </w:tc>
        <w:tc>
          <w:tcPr>
            <w:tcW w:w="320" w:type="dxa"/>
            <w:vAlign w:val="bottom"/>
            <w:tcBorders>
              <w:bottom w:val="single" w:sz="8" w:color="auto"/>
            </w:tcBorders>
            <w:shd w:val="clear" w:color="auto" w:fill="DBE5F1"/>
          </w:tcPr>
          <w:p>
            <w:pPr>
              <w:spacing w:after="0"/>
              <w:rPr>
                <w:sz w:val="19"/>
                <w:szCs w:val="19"/>
                <w:color w:val="auto"/>
              </w:rPr>
            </w:pPr>
          </w:p>
        </w:tc>
        <w:tc>
          <w:tcPr>
            <w:tcW w:w="1000" w:type="dxa"/>
            <w:vAlign w:val="bottom"/>
            <w:tcBorders>
              <w:bottom w:val="single" w:sz="8" w:color="auto"/>
            </w:tcBorders>
            <w:shd w:val="clear" w:color="auto" w:fill="DBE5F1"/>
          </w:tcPr>
          <w:p>
            <w:pPr>
              <w:jc w:val="right"/>
              <w:ind w:right="291"/>
              <w:spacing w:after="0"/>
              <w:rPr>
                <w:sz w:val="20"/>
                <w:szCs w:val="20"/>
                <w:color w:val="auto"/>
              </w:rPr>
            </w:pPr>
            <w:r>
              <w:rPr>
                <w:rFonts w:ascii="Arial" w:cs="Arial" w:eastAsia="Arial" w:hAnsi="Arial"/>
                <w:sz w:val="18"/>
                <w:szCs w:val="18"/>
                <w:color w:val="auto"/>
              </w:rPr>
              <w:t>49</w:t>
            </w:r>
          </w:p>
        </w:tc>
        <w:tc>
          <w:tcPr>
            <w:tcW w:w="300" w:type="dxa"/>
            <w:vAlign w:val="bottom"/>
            <w:shd w:val="clear" w:color="auto" w:fill="DBE5F1"/>
          </w:tcPr>
          <w:p>
            <w:pPr>
              <w:spacing w:after="0"/>
              <w:rPr>
                <w:sz w:val="19"/>
                <w:szCs w:val="19"/>
                <w:color w:val="auto"/>
              </w:rPr>
            </w:pPr>
          </w:p>
        </w:tc>
        <w:tc>
          <w:tcPr>
            <w:tcW w:w="48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29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DBE5F1"/>
          </w:tcPr>
          <w:p>
            <w:pPr>
              <w:spacing w:after="0"/>
              <w:rPr>
                <w:sz w:val="19"/>
                <w:szCs w:val="19"/>
                <w:color w:val="auto"/>
              </w:rPr>
            </w:pPr>
          </w:p>
        </w:tc>
        <w:tc>
          <w:tcPr>
            <w:tcW w:w="400" w:type="dxa"/>
            <w:vAlign w:val="bottom"/>
            <w:tcBorders>
              <w:bottom w:val="single" w:sz="8" w:color="auto"/>
            </w:tcBorders>
            <w:shd w:val="clear" w:color="auto" w:fill="DBE5F1"/>
          </w:tcPr>
          <w:p>
            <w:pPr>
              <w:spacing w:after="0"/>
              <w:rPr>
                <w:sz w:val="19"/>
                <w:szCs w:val="19"/>
                <w:color w:val="auto"/>
              </w:rPr>
            </w:pPr>
          </w:p>
        </w:tc>
        <w:tc>
          <w:tcPr>
            <w:tcW w:w="920" w:type="dxa"/>
            <w:vAlign w:val="bottom"/>
            <w:tcBorders>
              <w:bottom w:val="single" w:sz="8" w:color="auto"/>
            </w:tcBorders>
            <w:shd w:val="clear" w:color="auto" w:fill="DBE5F1"/>
          </w:tcPr>
          <w:p>
            <w:pPr>
              <w:jc w:val="right"/>
              <w:ind w:right="291"/>
              <w:spacing w:after="0"/>
              <w:rPr>
                <w:sz w:val="20"/>
                <w:szCs w:val="20"/>
                <w:color w:val="auto"/>
              </w:rPr>
            </w:pPr>
            <w:r>
              <w:rPr>
                <w:rFonts w:ascii="Arial" w:cs="Arial" w:eastAsia="Arial" w:hAnsi="Arial"/>
                <w:sz w:val="18"/>
                <w:szCs w:val="18"/>
                <w:color w:val="auto"/>
              </w:rPr>
              <w:t>17</w:t>
            </w:r>
          </w:p>
        </w:tc>
        <w:tc>
          <w:tcPr>
            <w:tcW w:w="40" w:type="dxa"/>
            <w:vAlign w:val="bottom"/>
            <w:tcBorders>
              <w:right w:val="single" w:sz="8" w:color="808080"/>
            </w:tcBorders>
          </w:tcPr>
          <w:p>
            <w:pPr>
              <w:spacing w:after="0"/>
              <w:rPr>
                <w:sz w:val="19"/>
                <w:szCs w:val="19"/>
                <w:color w:val="auto"/>
              </w:rPr>
            </w:pPr>
          </w:p>
        </w:tc>
      </w:tr>
      <w:tr>
        <w:trPr>
          <w:trHeight w:val="196"/>
        </w:trPr>
        <w:tc>
          <w:tcPr>
            <w:tcW w:w="3640" w:type="dxa"/>
            <w:vAlign w:val="bottom"/>
            <w:tcBorders>
              <w:left w:val="single" w:sz="8" w:color="808080"/>
            </w:tcBorders>
          </w:tcPr>
          <w:p>
            <w:pPr>
              <w:ind w:left="260"/>
              <w:spacing w:after="0" w:line="196" w:lineRule="exact"/>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91"/>
              <w:spacing w:after="0" w:line="196" w:lineRule="exact"/>
              <w:rPr>
                <w:sz w:val="20"/>
                <w:szCs w:val="20"/>
                <w:color w:val="auto"/>
              </w:rPr>
            </w:pPr>
            <w:r>
              <w:rPr>
                <w:rFonts w:ascii="Arial" w:cs="Arial" w:eastAsia="Arial" w:hAnsi="Arial"/>
                <w:sz w:val="18"/>
                <w:szCs w:val="18"/>
                <w:color w:val="auto"/>
              </w:rPr>
              <w:t>3,169</w:t>
            </w:r>
          </w:p>
        </w:tc>
        <w:tc>
          <w:tcPr>
            <w:tcW w:w="300" w:type="dxa"/>
            <w:vAlign w:val="bottom"/>
          </w:tcPr>
          <w:p>
            <w:pPr>
              <w:spacing w:after="0"/>
              <w:rPr>
                <w:sz w:val="17"/>
                <w:szCs w:val="17"/>
                <w:color w:val="auto"/>
              </w:rPr>
            </w:pPr>
          </w:p>
        </w:tc>
        <w:tc>
          <w:tcPr>
            <w:tcW w:w="48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600</w:t>
            </w:r>
          </w:p>
        </w:tc>
        <w:tc>
          <w:tcPr>
            <w:tcW w:w="300" w:type="dxa"/>
            <w:vAlign w:val="bottom"/>
          </w:tcPr>
          <w:p>
            <w:pPr>
              <w:spacing w:after="0"/>
              <w:rPr>
                <w:sz w:val="17"/>
                <w:szCs w:val="17"/>
                <w:color w:val="auto"/>
              </w:rPr>
            </w:pPr>
          </w:p>
        </w:tc>
        <w:tc>
          <w:tcPr>
            <w:tcW w:w="4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91"/>
              <w:spacing w:after="0" w:line="196" w:lineRule="exact"/>
              <w:rPr>
                <w:sz w:val="20"/>
                <w:szCs w:val="20"/>
                <w:color w:val="auto"/>
              </w:rPr>
            </w:pPr>
            <w:r>
              <w:rPr>
                <w:rFonts w:ascii="Arial" w:cs="Arial" w:eastAsia="Arial" w:hAnsi="Arial"/>
                <w:sz w:val="18"/>
                <w:szCs w:val="18"/>
                <w:color w:val="auto"/>
              </w:rPr>
              <w:t>2,569</w:t>
            </w:r>
          </w:p>
        </w:tc>
        <w:tc>
          <w:tcPr>
            <w:tcW w:w="40" w:type="dxa"/>
            <w:vAlign w:val="bottom"/>
            <w:tcBorders>
              <w:right w:val="single" w:sz="8" w:color="808080"/>
            </w:tcBorders>
          </w:tcPr>
          <w:p>
            <w:pPr>
              <w:spacing w:after="0"/>
              <w:rPr>
                <w:sz w:val="17"/>
                <w:szCs w:val="17"/>
                <w:color w:val="auto"/>
              </w:rPr>
            </w:pPr>
          </w:p>
        </w:tc>
      </w:tr>
      <w:tr>
        <w:trPr>
          <w:trHeight w:val="20"/>
        </w:trPr>
        <w:tc>
          <w:tcPr>
            <w:tcW w:w="3640" w:type="dxa"/>
            <w:vAlign w:val="bottom"/>
            <w:tcBorders>
              <w:left w:val="single" w:sz="8" w:color="808080"/>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amortization during the three and six months ended June 30, 2011 and 2010:</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40"/>
        </w:trPr>
        <w:tc>
          <w:tcPr>
            <w:tcW w:w="3740" w:type="dxa"/>
            <w:vAlign w:val="bottom"/>
            <w:tcBorders>
              <w:top w:val="single" w:sz="8" w:color="808080"/>
              <w:left w:val="single" w:sz="8" w:color="808080"/>
            </w:tcBorders>
          </w:tcPr>
          <w:p>
            <w:pPr>
              <w:spacing w:after="0"/>
              <w:rPr>
                <w:sz w:val="20"/>
                <w:szCs w:val="20"/>
                <w:color w:val="auto"/>
              </w:rPr>
            </w:pPr>
          </w:p>
        </w:tc>
        <w:tc>
          <w:tcPr>
            <w:tcW w:w="500" w:type="dxa"/>
            <w:vAlign w:val="bottom"/>
            <w:tcBorders>
              <w:top w:val="single" w:sz="8" w:color="808080"/>
              <w:bottom w:val="single" w:sz="8" w:color="auto"/>
            </w:tcBorders>
          </w:tcPr>
          <w:p>
            <w:pPr>
              <w:spacing w:after="0"/>
              <w:rPr>
                <w:sz w:val="20"/>
                <w:szCs w:val="20"/>
                <w:color w:val="auto"/>
              </w:rPr>
            </w:pPr>
          </w:p>
        </w:tc>
        <w:tc>
          <w:tcPr>
            <w:tcW w:w="1760" w:type="dxa"/>
            <w:vAlign w:val="bottom"/>
            <w:tcBorders>
              <w:top w:val="single" w:sz="8" w:color="808080"/>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w w:val="95"/>
              </w:rPr>
              <w:t>Three months ended</w:t>
            </w:r>
          </w:p>
        </w:tc>
        <w:tc>
          <w:tcPr>
            <w:tcW w:w="640" w:type="dxa"/>
            <w:vAlign w:val="bottom"/>
            <w:tcBorders>
              <w:top w:val="single" w:sz="8" w:color="808080"/>
              <w:bottom w:val="single" w:sz="8" w:color="auto"/>
            </w:tcBorders>
          </w:tcPr>
          <w:p>
            <w:pPr>
              <w:spacing w:after="0"/>
              <w:rPr>
                <w:sz w:val="20"/>
                <w:szCs w:val="20"/>
                <w:color w:val="auto"/>
              </w:rPr>
            </w:pPr>
          </w:p>
        </w:tc>
        <w:tc>
          <w:tcPr>
            <w:tcW w:w="280" w:type="dxa"/>
            <w:vAlign w:val="bottom"/>
            <w:tcBorders>
              <w:top w:val="single" w:sz="8" w:color="808080"/>
            </w:tcBorders>
          </w:tcPr>
          <w:p>
            <w:pPr>
              <w:spacing w:after="0"/>
              <w:rPr>
                <w:sz w:val="20"/>
                <w:szCs w:val="20"/>
                <w:color w:val="auto"/>
              </w:rPr>
            </w:pPr>
          </w:p>
        </w:tc>
        <w:tc>
          <w:tcPr>
            <w:tcW w:w="480" w:type="dxa"/>
            <w:vAlign w:val="bottom"/>
            <w:tcBorders>
              <w:top w:val="single" w:sz="8" w:color="808080"/>
              <w:bottom w:val="single" w:sz="8" w:color="auto"/>
            </w:tcBorders>
          </w:tcPr>
          <w:p>
            <w:pPr>
              <w:spacing w:after="0"/>
              <w:rPr>
                <w:sz w:val="20"/>
                <w:szCs w:val="20"/>
                <w:color w:val="auto"/>
              </w:rPr>
            </w:pPr>
          </w:p>
        </w:tc>
        <w:tc>
          <w:tcPr>
            <w:tcW w:w="1700" w:type="dxa"/>
            <w:vAlign w:val="bottom"/>
            <w:tcBorders>
              <w:top w:val="single" w:sz="8" w:color="808080"/>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w w:val="95"/>
              </w:rPr>
              <w:t>Six months ended</w:t>
            </w:r>
          </w:p>
        </w:tc>
        <w:tc>
          <w:tcPr>
            <w:tcW w:w="720" w:type="dxa"/>
            <w:vAlign w:val="bottom"/>
            <w:tcBorders>
              <w:top w:val="single" w:sz="8" w:color="808080"/>
              <w:bottom w:val="single" w:sz="8" w:color="auto"/>
            </w:tcBorders>
          </w:tcPr>
          <w:p>
            <w:pPr>
              <w:spacing w:after="0"/>
              <w:rPr>
                <w:sz w:val="20"/>
                <w:szCs w:val="20"/>
                <w:color w:val="auto"/>
              </w:rPr>
            </w:pPr>
          </w:p>
        </w:tc>
        <w:tc>
          <w:tcPr>
            <w:tcW w:w="40" w:type="dxa"/>
            <w:vAlign w:val="bottom"/>
            <w:tcBorders>
              <w:top w:val="single" w:sz="8" w:color="808080"/>
              <w:right w:val="single" w:sz="8" w:color="808080"/>
            </w:tcBorders>
          </w:tcPr>
          <w:p>
            <w:pPr>
              <w:spacing w:after="0"/>
              <w:rPr>
                <w:sz w:val="20"/>
                <w:szCs w:val="20"/>
                <w:color w:val="auto"/>
              </w:rPr>
            </w:pPr>
          </w:p>
        </w:tc>
      </w:tr>
      <w:tr>
        <w:trPr>
          <w:trHeight w:val="202"/>
        </w:trPr>
        <w:tc>
          <w:tcPr>
            <w:tcW w:w="3740" w:type="dxa"/>
            <w:vAlign w:val="bottom"/>
            <w:tcBorders>
              <w:left w:val="single" w:sz="8" w:color="808080"/>
            </w:tcBorders>
          </w:tcPr>
          <w:p>
            <w:pPr>
              <w:spacing w:after="0"/>
              <w:rPr>
                <w:sz w:val="17"/>
                <w:szCs w:val="17"/>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2011</w:t>
            </w:r>
          </w:p>
        </w:tc>
        <w:tc>
          <w:tcPr>
            <w:tcW w:w="300" w:type="dxa"/>
            <w:vAlign w:val="bottom"/>
          </w:tcPr>
          <w:p>
            <w:pPr>
              <w:spacing w:after="0"/>
              <w:rPr>
                <w:sz w:val="17"/>
                <w:szCs w:val="17"/>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2010</w:t>
            </w:r>
          </w:p>
        </w:tc>
        <w:tc>
          <w:tcPr>
            <w:tcW w:w="280" w:type="dxa"/>
            <w:vAlign w:val="bottom"/>
          </w:tcPr>
          <w:p>
            <w:pPr>
              <w:spacing w:after="0"/>
              <w:rPr>
                <w:sz w:val="17"/>
                <w:szCs w:val="17"/>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June 30, 2011</w:t>
            </w:r>
          </w:p>
        </w:tc>
        <w:tc>
          <w:tcPr>
            <w:tcW w:w="300" w:type="dxa"/>
            <w:vAlign w:val="bottom"/>
          </w:tcPr>
          <w:p>
            <w:pPr>
              <w:spacing w:after="0"/>
              <w:rPr>
                <w:sz w:val="17"/>
                <w:szCs w:val="17"/>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2010</w:t>
            </w:r>
          </w:p>
        </w:tc>
        <w:tc>
          <w:tcPr>
            <w:tcW w:w="40" w:type="dxa"/>
            <w:vAlign w:val="bottom"/>
            <w:tcBorders>
              <w:right w:val="single" w:sz="8" w:color="808080"/>
            </w:tcBorders>
          </w:tcPr>
          <w:p>
            <w:pPr>
              <w:spacing w:after="0"/>
              <w:rPr>
                <w:sz w:val="17"/>
                <w:szCs w:val="17"/>
                <w:color w:val="auto"/>
              </w:rPr>
            </w:pPr>
          </w:p>
        </w:tc>
      </w:tr>
      <w:tr>
        <w:trPr>
          <w:trHeight w:val="223"/>
        </w:trPr>
        <w:tc>
          <w:tcPr>
            <w:tcW w:w="37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Amortization of intangibles with finite lives</w:t>
            </w:r>
          </w:p>
        </w:tc>
        <w:tc>
          <w:tcPr>
            <w:tcW w:w="500" w:type="dxa"/>
            <w:vAlign w:val="bottom"/>
            <w:shd w:val="clear" w:color="auto" w:fill="DBE5F1"/>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274"/>
              <w:spacing w:after="0"/>
              <w:rPr>
                <w:sz w:val="20"/>
                <w:szCs w:val="20"/>
                <w:color w:val="auto"/>
              </w:rPr>
            </w:pPr>
            <w:r>
              <w:rPr>
                <w:rFonts w:ascii="Arial" w:cs="Arial" w:eastAsia="Arial" w:hAnsi="Arial"/>
                <w:sz w:val="18"/>
                <w:szCs w:val="18"/>
                <w:color w:val="auto"/>
              </w:rPr>
              <w:t>87</w:t>
            </w:r>
          </w:p>
        </w:tc>
        <w:tc>
          <w:tcPr>
            <w:tcW w:w="960" w:type="dxa"/>
            <w:vAlign w:val="bottom"/>
            <w:gridSpan w:val="2"/>
            <w:shd w:val="clear" w:color="auto" w:fill="DBE5F1"/>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270"/>
              <w:spacing w:after="0"/>
              <w:rPr>
                <w:sz w:val="20"/>
                <w:szCs w:val="20"/>
                <w:color w:val="auto"/>
              </w:rPr>
            </w:pPr>
            <w:r>
              <w:rPr>
                <w:rFonts w:ascii="Arial" w:cs="Arial" w:eastAsia="Arial" w:hAnsi="Arial"/>
                <w:sz w:val="18"/>
                <w:szCs w:val="18"/>
                <w:color w:val="auto"/>
              </w:rPr>
              <w:t>88</w:t>
            </w:r>
          </w:p>
        </w:tc>
        <w:tc>
          <w:tcPr>
            <w:tcW w:w="760" w:type="dxa"/>
            <w:vAlign w:val="bottom"/>
            <w:gridSpan w:val="2"/>
            <w:shd w:val="clear" w:color="auto" w:fill="DBE5F1"/>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E5F1"/>
          </w:tcPr>
          <w:p>
            <w:pPr>
              <w:jc w:val="right"/>
              <w:ind w:right="254"/>
              <w:spacing w:after="0"/>
              <w:rPr>
                <w:sz w:val="20"/>
                <w:szCs w:val="20"/>
                <w:color w:val="auto"/>
              </w:rPr>
            </w:pPr>
            <w:r>
              <w:rPr>
                <w:rFonts w:ascii="Arial" w:cs="Arial" w:eastAsia="Arial" w:hAnsi="Arial"/>
                <w:sz w:val="18"/>
                <w:szCs w:val="18"/>
                <w:color w:val="auto"/>
              </w:rPr>
              <w:t>175</w:t>
            </w:r>
          </w:p>
        </w:tc>
        <w:tc>
          <w:tcPr>
            <w:tcW w:w="880" w:type="dxa"/>
            <w:vAlign w:val="bottom"/>
            <w:gridSpan w:val="2"/>
            <w:shd w:val="clear" w:color="auto" w:fill="DBE5F1"/>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DBE5F1"/>
          </w:tcPr>
          <w:p>
            <w:pPr>
              <w:jc w:val="right"/>
              <w:ind w:right="270"/>
              <w:spacing w:after="0"/>
              <w:rPr>
                <w:sz w:val="20"/>
                <w:szCs w:val="20"/>
                <w:color w:val="auto"/>
              </w:rPr>
            </w:pPr>
            <w:r>
              <w:rPr>
                <w:rFonts w:ascii="Arial" w:cs="Arial" w:eastAsia="Arial" w:hAnsi="Arial"/>
                <w:sz w:val="18"/>
                <w:szCs w:val="18"/>
                <w:color w:val="auto"/>
              </w:rPr>
              <w:t>175</w:t>
            </w:r>
          </w:p>
        </w:tc>
        <w:tc>
          <w:tcPr>
            <w:tcW w:w="40" w:type="dxa"/>
            <w:vAlign w:val="bottom"/>
            <w:tcBorders>
              <w:right w:val="single" w:sz="8" w:color="808080"/>
            </w:tcBorders>
          </w:tcPr>
          <w:p>
            <w:pPr>
              <w:spacing w:after="0"/>
              <w:rPr>
                <w:sz w:val="19"/>
                <w:szCs w:val="19"/>
                <w:color w:val="auto"/>
              </w:rPr>
            </w:pPr>
          </w:p>
        </w:tc>
      </w:tr>
      <w:tr>
        <w:trPr>
          <w:trHeight w:val="20"/>
        </w:trPr>
        <w:tc>
          <w:tcPr>
            <w:tcW w:w="3740" w:type="dxa"/>
            <w:vAlign w:val="bottom"/>
            <w:tcBorders>
              <w:left w:val="single" w:sz="8" w:color="808080"/>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6" w:name="page7"/>
    <w:bookmarkEnd w:id="6"/>
    <w:p>
      <w:pPr>
        <w:jc w:val="center"/>
        <w:ind w:left="340" w:right="278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(Unaudited – Dollars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Inventories, net of reserves, consisted of the following:</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2580" w:type="dxa"/>
            <w:vAlign w:val="bottom"/>
            <w:tcBorders>
              <w:top w:val="single" w:sz="8" w:color="808080"/>
              <w:left w:val="single" w:sz="8" w:color="808080"/>
            </w:tcBorders>
          </w:tcPr>
          <w:p>
            <w:pPr>
              <w:spacing w:after="0"/>
              <w:rPr>
                <w:sz w:val="21"/>
                <w:szCs w:val="21"/>
                <w:color w:val="auto"/>
              </w:rPr>
            </w:pPr>
          </w:p>
        </w:tc>
        <w:tc>
          <w:tcPr>
            <w:tcW w:w="320" w:type="dxa"/>
            <w:vAlign w:val="bottom"/>
            <w:tcBorders>
              <w:top w:val="single" w:sz="8" w:color="808080"/>
              <w:bottom w:val="single" w:sz="8" w:color="auto"/>
            </w:tcBorders>
          </w:tcPr>
          <w:p>
            <w:pPr>
              <w:spacing w:after="0"/>
              <w:rPr>
                <w:sz w:val="21"/>
                <w:szCs w:val="21"/>
                <w:color w:val="auto"/>
              </w:rPr>
            </w:pPr>
          </w:p>
        </w:tc>
        <w:tc>
          <w:tcPr>
            <w:tcW w:w="1200" w:type="dxa"/>
            <w:vAlign w:val="bottom"/>
            <w:tcBorders>
              <w:top w:val="single" w:sz="8" w:color="808080"/>
              <w:bottom w:val="single" w:sz="8" w:color="auto"/>
            </w:tcBorders>
          </w:tcPr>
          <w:p>
            <w:pPr>
              <w:spacing w:after="0"/>
              <w:rPr>
                <w:sz w:val="21"/>
                <w:szCs w:val="21"/>
                <w:color w:val="auto"/>
              </w:rPr>
            </w:pPr>
          </w:p>
        </w:tc>
        <w:tc>
          <w:tcPr>
            <w:tcW w:w="1120" w:type="dxa"/>
            <w:vAlign w:val="bottom"/>
            <w:tcBorders>
              <w:top w:val="single" w:sz="8" w:color="808080"/>
              <w:bottom w:val="single" w:sz="8" w:color="auto"/>
            </w:tcBorders>
            <w:gridSpan w:val="3"/>
          </w:tcPr>
          <w:p>
            <w:pPr>
              <w:jc w:val="right"/>
              <w:ind w:right="493"/>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top w:val="single" w:sz="8" w:color="808080"/>
              <w:bottom w:val="single" w:sz="8" w:color="auto"/>
            </w:tcBorders>
          </w:tcPr>
          <w:p>
            <w:pPr>
              <w:spacing w:after="0"/>
              <w:rPr>
                <w:sz w:val="21"/>
                <w:szCs w:val="21"/>
                <w:color w:val="auto"/>
              </w:rPr>
            </w:pPr>
          </w:p>
        </w:tc>
        <w:tc>
          <w:tcPr>
            <w:tcW w:w="40" w:type="dxa"/>
            <w:vAlign w:val="bottom"/>
            <w:tcBorders>
              <w:top w:val="single" w:sz="8" w:color="808080"/>
              <w:right w:val="single" w:sz="8" w:color="808080"/>
            </w:tcBorders>
          </w:tcPr>
          <w:p>
            <w:pPr>
              <w:spacing w:after="0"/>
              <w:rPr>
                <w:sz w:val="21"/>
                <w:szCs w:val="21"/>
                <w:color w:val="auto"/>
              </w:rPr>
            </w:pPr>
          </w:p>
        </w:tc>
      </w:tr>
      <w:tr>
        <w:trPr>
          <w:trHeight w:val="210"/>
        </w:trPr>
        <w:tc>
          <w:tcPr>
            <w:tcW w:w="2580" w:type="dxa"/>
            <w:vAlign w:val="bottom"/>
            <w:tcBorders>
              <w:left w:val="single" w:sz="8" w:color="808080"/>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4"/>
              </w:rPr>
              <w:t>June 30, 2011</w:t>
            </w:r>
          </w:p>
        </w:tc>
        <w:tc>
          <w:tcPr>
            <w:tcW w:w="2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auto"/>
              </w:rPr>
              <w:t>December 31, 2010</w:t>
            </w:r>
          </w:p>
        </w:tc>
        <w:tc>
          <w:tcPr>
            <w:tcW w:w="40" w:type="dxa"/>
            <w:vAlign w:val="bottom"/>
            <w:tcBorders>
              <w:right w:val="single" w:sz="8" w:color="808080"/>
            </w:tcBorders>
          </w:tcPr>
          <w:p>
            <w:pPr>
              <w:spacing w:after="0"/>
              <w:rPr>
                <w:sz w:val="18"/>
                <w:szCs w:val="18"/>
                <w:color w:val="auto"/>
              </w:rPr>
            </w:pPr>
          </w:p>
        </w:tc>
      </w:tr>
      <w:tr>
        <w:trPr>
          <w:trHeight w:val="226"/>
        </w:trPr>
        <w:tc>
          <w:tcPr>
            <w:tcW w:w="258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DBE5F1"/>
          </w:tcPr>
          <w:p>
            <w:pPr>
              <w:spacing w:after="0"/>
              <w:rPr>
                <w:sz w:val="19"/>
                <w:szCs w:val="19"/>
                <w:color w:val="auto"/>
              </w:rPr>
            </w:pPr>
          </w:p>
        </w:tc>
        <w:tc>
          <w:tcPr>
            <w:tcW w:w="120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620" w:type="dxa"/>
            <w:vAlign w:val="bottom"/>
            <w:shd w:val="clear" w:color="auto" w:fill="DBE5F1"/>
          </w:tcPr>
          <w:p>
            <w:pPr>
              <w:spacing w:after="0"/>
              <w:rPr>
                <w:sz w:val="19"/>
                <w:szCs w:val="19"/>
                <w:color w:val="auto"/>
              </w:rPr>
            </w:pPr>
          </w:p>
        </w:tc>
        <w:tc>
          <w:tcPr>
            <w:tcW w:w="1120" w:type="dxa"/>
            <w:vAlign w:val="bottom"/>
            <w:shd w:val="clear" w:color="auto" w:fill="DBE5F1"/>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0"/>
        </w:trPr>
        <w:tc>
          <w:tcPr>
            <w:tcW w:w="258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Raw materials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854</w:t>
            </w:r>
          </w:p>
        </w:tc>
        <w:tc>
          <w:tcPr>
            <w:tcW w:w="1120" w:type="dxa"/>
            <w:vAlign w:val="bottom"/>
            <w:gridSpan w:val="3"/>
          </w:tcPr>
          <w:p>
            <w:pPr>
              <w:jc w:val="right"/>
              <w:ind w:right="27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776</w:t>
            </w:r>
          </w:p>
        </w:tc>
        <w:tc>
          <w:tcPr>
            <w:tcW w:w="40" w:type="dxa"/>
            <w:vAlign w:val="bottom"/>
            <w:tcBorders>
              <w:right w:val="single" w:sz="8" w:color="808080"/>
            </w:tcBorders>
          </w:tcPr>
          <w:p>
            <w:pPr>
              <w:spacing w:after="0"/>
              <w:rPr>
                <w:sz w:val="19"/>
                <w:szCs w:val="19"/>
                <w:color w:val="auto"/>
              </w:rPr>
            </w:pPr>
          </w:p>
        </w:tc>
      </w:tr>
      <w:tr>
        <w:trPr>
          <w:trHeight w:val="230"/>
        </w:trPr>
        <w:tc>
          <w:tcPr>
            <w:tcW w:w="2580" w:type="dxa"/>
            <w:vAlign w:val="bottom"/>
            <w:tcBorders>
              <w:left w:val="single" w:sz="8" w:color="808080"/>
            </w:tcBorders>
            <w:shd w:val="clear" w:color="auto" w:fill="DBE5F1"/>
          </w:tcPr>
          <w:p>
            <w:pPr>
              <w:ind w:left="26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DBE5F1"/>
          </w:tcPr>
          <w:p>
            <w:pPr>
              <w:spacing w:after="0"/>
              <w:rPr>
                <w:sz w:val="19"/>
                <w:szCs w:val="19"/>
                <w:color w:val="auto"/>
              </w:rPr>
            </w:pPr>
          </w:p>
        </w:tc>
        <w:tc>
          <w:tcPr>
            <w:tcW w:w="1200" w:type="dxa"/>
            <w:vAlign w:val="bottom"/>
            <w:tcBorders>
              <w:bottom w:val="single" w:sz="8" w:color="auto"/>
            </w:tcBorders>
            <w:shd w:val="clear" w:color="auto" w:fill="DBE5F1"/>
          </w:tcPr>
          <w:p>
            <w:pPr>
              <w:jc w:val="right"/>
              <w:ind w:right="71"/>
              <w:spacing w:after="0"/>
              <w:rPr>
                <w:sz w:val="20"/>
                <w:szCs w:val="20"/>
                <w:color w:val="auto"/>
              </w:rPr>
            </w:pPr>
            <w:r>
              <w:rPr>
                <w:rFonts w:ascii="Arial" w:cs="Arial" w:eastAsia="Arial" w:hAnsi="Arial"/>
                <w:sz w:val="18"/>
                <w:szCs w:val="18"/>
                <w:color w:val="auto"/>
              </w:rPr>
              <w:t>9,358</w:t>
            </w:r>
          </w:p>
        </w:tc>
        <w:tc>
          <w:tcPr>
            <w:tcW w:w="200" w:type="dxa"/>
            <w:vAlign w:val="bottom"/>
            <w:tcBorders>
              <w:bottom w:val="single" w:sz="8" w:color="auto"/>
            </w:tcBorders>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620" w:type="dxa"/>
            <w:vAlign w:val="bottom"/>
            <w:tcBorders>
              <w:bottom w:val="single" w:sz="8" w:color="auto"/>
            </w:tcBorders>
            <w:shd w:val="clear" w:color="auto" w:fill="DBE5F1"/>
          </w:tcPr>
          <w:p>
            <w:pPr>
              <w:spacing w:after="0"/>
              <w:rPr>
                <w:sz w:val="19"/>
                <w:szCs w:val="19"/>
                <w:color w:val="auto"/>
              </w:rPr>
            </w:pPr>
          </w:p>
        </w:tc>
        <w:tc>
          <w:tcPr>
            <w:tcW w:w="1120" w:type="dxa"/>
            <w:vAlign w:val="bottom"/>
            <w:tcBorders>
              <w:bottom w:val="single" w:sz="8" w:color="auto"/>
            </w:tcBorders>
            <w:shd w:val="clear" w:color="auto" w:fill="DBE5F1"/>
          </w:tcPr>
          <w:p>
            <w:pPr>
              <w:jc w:val="right"/>
              <w:ind w:right="270"/>
              <w:spacing w:after="0"/>
              <w:rPr>
                <w:sz w:val="20"/>
                <w:szCs w:val="20"/>
                <w:color w:val="auto"/>
              </w:rPr>
            </w:pPr>
            <w:r>
              <w:rPr>
                <w:rFonts w:ascii="Arial" w:cs="Arial" w:eastAsia="Arial" w:hAnsi="Arial"/>
                <w:sz w:val="18"/>
                <w:szCs w:val="18"/>
                <w:color w:val="auto"/>
              </w:rPr>
              <w:t>8,004</w:t>
            </w:r>
          </w:p>
        </w:tc>
        <w:tc>
          <w:tcPr>
            <w:tcW w:w="40" w:type="dxa"/>
            <w:vAlign w:val="bottom"/>
            <w:tcBorders>
              <w:right w:val="single" w:sz="8" w:color="808080"/>
            </w:tcBorders>
          </w:tcPr>
          <w:p>
            <w:pPr>
              <w:spacing w:after="0"/>
              <w:rPr>
                <w:sz w:val="19"/>
                <w:szCs w:val="19"/>
                <w:color w:val="auto"/>
              </w:rPr>
            </w:pPr>
          </w:p>
        </w:tc>
      </w:tr>
      <w:tr>
        <w:trPr>
          <w:trHeight w:val="183"/>
        </w:trPr>
        <w:tc>
          <w:tcPr>
            <w:tcW w:w="2580" w:type="dxa"/>
            <w:vAlign w:val="bottom"/>
            <w:tcBorders>
              <w:left w:val="single" w:sz="8" w:color="808080"/>
            </w:tcBorders>
          </w:tcPr>
          <w:p>
            <w:pPr>
              <w:spacing w:after="0"/>
              <w:rPr>
                <w:sz w:val="15"/>
                <w:szCs w:val="15"/>
                <w:color w:val="auto"/>
              </w:rPr>
            </w:pP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1"/>
              <w:spacing w:after="0" w:line="182" w:lineRule="exact"/>
              <w:rPr>
                <w:sz w:val="20"/>
                <w:szCs w:val="20"/>
                <w:color w:val="auto"/>
              </w:rPr>
            </w:pPr>
            <w:r>
              <w:rPr>
                <w:rFonts w:ascii="Arial" w:cs="Arial" w:eastAsia="Arial" w:hAnsi="Arial"/>
                <w:sz w:val="18"/>
                <w:szCs w:val="18"/>
                <w:color w:val="auto"/>
              </w:rPr>
              <w:t>10,212</w:t>
            </w: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Borders>
              <w:bottom w:val="single" w:sz="8" w:color="auto"/>
            </w:tcBorders>
          </w:tcPr>
          <w:p>
            <w:pPr>
              <w:jc w:val="right"/>
              <w:ind w:right="273"/>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8,780</w:t>
            </w:r>
          </w:p>
        </w:tc>
        <w:tc>
          <w:tcPr>
            <w:tcW w:w="40" w:type="dxa"/>
            <w:vAlign w:val="bottom"/>
            <w:tcBorders>
              <w:right w:val="single" w:sz="8" w:color="808080"/>
            </w:tcBorders>
          </w:tcPr>
          <w:p>
            <w:pPr>
              <w:spacing w:after="0"/>
              <w:rPr>
                <w:sz w:val="15"/>
                <w:szCs w:val="15"/>
                <w:color w:val="auto"/>
              </w:rPr>
            </w:pPr>
          </w:p>
        </w:tc>
      </w:tr>
      <w:tr>
        <w:trPr>
          <w:trHeight w:val="20"/>
        </w:trPr>
        <w:tc>
          <w:tcPr>
            <w:tcW w:w="2580" w:type="dxa"/>
            <w:vAlign w:val="bottom"/>
            <w:tcBorders>
              <w:left w:val="single" w:sz="8" w:color="808080"/>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r>
      <w:tr>
        <w:trPr>
          <w:trHeight w:val="210"/>
        </w:trPr>
        <w:tc>
          <w:tcPr>
            <w:tcW w:w="258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Long-term:</w:t>
            </w:r>
          </w:p>
        </w:tc>
        <w:tc>
          <w:tcPr>
            <w:tcW w:w="320" w:type="dxa"/>
            <w:vAlign w:val="bottom"/>
            <w:shd w:val="clear" w:color="auto" w:fill="DBE5F1"/>
          </w:tcPr>
          <w:p>
            <w:pPr>
              <w:spacing w:after="0"/>
              <w:rPr>
                <w:sz w:val="18"/>
                <w:szCs w:val="18"/>
                <w:color w:val="auto"/>
              </w:rPr>
            </w:pPr>
          </w:p>
        </w:tc>
        <w:tc>
          <w:tcPr>
            <w:tcW w:w="120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620" w:type="dxa"/>
            <w:vAlign w:val="bottom"/>
            <w:shd w:val="clear" w:color="auto" w:fill="DBE5F1"/>
          </w:tcPr>
          <w:p>
            <w:pPr>
              <w:spacing w:after="0"/>
              <w:rPr>
                <w:sz w:val="18"/>
                <w:szCs w:val="18"/>
                <w:color w:val="auto"/>
              </w:rPr>
            </w:pPr>
          </w:p>
        </w:tc>
        <w:tc>
          <w:tcPr>
            <w:tcW w:w="1120" w:type="dxa"/>
            <w:vAlign w:val="bottom"/>
            <w:shd w:val="clear" w:color="auto" w:fill="DBE5F1"/>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30"/>
        </w:trPr>
        <w:tc>
          <w:tcPr>
            <w:tcW w:w="258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Raw materials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241</w:t>
            </w:r>
          </w:p>
        </w:tc>
        <w:tc>
          <w:tcPr>
            <w:tcW w:w="1120" w:type="dxa"/>
            <w:vAlign w:val="bottom"/>
            <w:gridSpan w:val="3"/>
          </w:tcPr>
          <w:p>
            <w:pPr>
              <w:jc w:val="right"/>
              <w:ind w:right="27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569</w:t>
            </w:r>
          </w:p>
        </w:tc>
        <w:tc>
          <w:tcPr>
            <w:tcW w:w="40" w:type="dxa"/>
            <w:vAlign w:val="bottom"/>
            <w:tcBorders>
              <w:right w:val="single" w:sz="8" w:color="808080"/>
            </w:tcBorders>
          </w:tcPr>
          <w:p>
            <w:pPr>
              <w:spacing w:after="0"/>
              <w:rPr>
                <w:sz w:val="19"/>
                <w:szCs w:val="19"/>
                <w:color w:val="auto"/>
              </w:rPr>
            </w:pPr>
          </w:p>
        </w:tc>
      </w:tr>
      <w:tr>
        <w:trPr>
          <w:trHeight w:val="230"/>
        </w:trPr>
        <w:tc>
          <w:tcPr>
            <w:tcW w:w="2580" w:type="dxa"/>
            <w:vAlign w:val="bottom"/>
            <w:tcBorders>
              <w:left w:val="single" w:sz="8" w:color="808080"/>
            </w:tcBorders>
            <w:shd w:val="clear" w:color="auto" w:fill="DBE5F1"/>
          </w:tcPr>
          <w:p>
            <w:pPr>
              <w:ind w:left="26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DBE5F1"/>
          </w:tcPr>
          <w:p>
            <w:pPr>
              <w:spacing w:after="0"/>
              <w:rPr>
                <w:sz w:val="19"/>
                <w:szCs w:val="19"/>
                <w:color w:val="auto"/>
              </w:rPr>
            </w:pPr>
          </w:p>
        </w:tc>
        <w:tc>
          <w:tcPr>
            <w:tcW w:w="1200" w:type="dxa"/>
            <w:vAlign w:val="bottom"/>
            <w:tcBorders>
              <w:bottom w:val="single" w:sz="8" w:color="auto"/>
            </w:tcBorders>
            <w:shd w:val="clear" w:color="auto" w:fill="DBE5F1"/>
          </w:tcPr>
          <w:p>
            <w:pPr>
              <w:jc w:val="right"/>
              <w:ind w:right="71"/>
              <w:spacing w:after="0"/>
              <w:rPr>
                <w:sz w:val="20"/>
                <w:szCs w:val="20"/>
                <w:color w:val="auto"/>
              </w:rPr>
            </w:pPr>
            <w:r>
              <w:rPr>
                <w:rFonts w:ascii="Arial" w:cs="Arial" w:eastAsia="Arial" w:hAnsi="Arial"/>
                <w:sz w:val="18"/>
                <w:szCs w:val="18"/>
                <w:color w:val="auto"/>
              </w:rPr>
              <w:t>1,784</w:t>
            </w:r>
          </w:p>
        </w:tc>
        <w:tc>
          <w:tcPr>
            <w:tcW w:w="200" w:type="dxa"/>
            <w:vAlign w:val="bottom"/>
            <w:tcBorders>
              <w:bottom w:val="single" w:sz="8" w:color="auto"/>
            </w:tcBorders>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620" w:type="dxa"/>
            <w:vAlign w:val="bottom"/>
            <w:tcBorders>
              <w:bottom w:val="single" w:sz="8" w:color="auto"/>
            </w:tcBorders>
            <w:shd w:val="clear" w:color="auto" w:fill="DBE5F1"/>
          </w:tcPr>
          <w:p>
            <w:pPr>
              <w:spacing w:after="0"/>
              <w:rPr>
                <w:sz w:val="19"/>
                <w:szCs w:val="19"/>
                <w:color w:val="auto"/>
              </w:rPr>
            </w:pPr>
          </w:p>
        </w:tc>
        <w:tc>
          <w:tcPr>
            <w:tcW w:w="1120" w:type="dxa"/>
            <w:vAlign w:val="bottom"/>
            <w:tcBorders>
              <w:bottom w:val="single" w:sz="8" w:color="auto"/>
            </w:tcBorders>
            <w:shd w:val="clear" w:color="auto" w:fill="DBE5F1"/>
          </w:tcPr>
          <w:p>
            <w:pPr>
              <w:jc w:val="right"/>
              <w:ind w:right="270"/>
              <w:spacing w:after="0"/>
              <w:rPr>
                <w:sz w:val="20"/>
                <w:szCs w:val="20"/>
                <w:color w:val="auto"/>
              </w:rPr>
            </w:pPr>
            <w:r>
              <w:rPr>
                <w:rFonts w:ascii="Arial" w:cs="Arial" w:eastAsia="Arial" w:hAnsi="Arial"/>
                <w:sz w:val="18"/>
                <w:szCs w:val="18"/>
                <w:color w:val="auto"/>
              </w:rPr>
              <w:t>2,048</w:t>
            </w:r>
          </w:p>
        </w:tc>
        <w:tc>
          <w:tcPr>
            <w:tcW w:w="40" w:type="dxa"/>
            <w:vAlign w:val="bottom"/>
            <w:tcBorders>
              <w:right w:val="single" w:sz="8" w:color="808080"/>
            </w:tcBorders>
          </w:tcPr>
          <w:p>
            <w:pPr>
              <w:spacing w:after="0"/>
              <w:rPr>
                <w:sz w:val="19"/>
                <w:szCs w:val="19"/>
                <w:color w:val="auto"/>
              </w:rPr>
            </w:pPr>
          </w:p>
        </w:tc>
      </w:tr>
      <w:tr>
        <w:trPr>
          <w:trHeight w:val="183"/>
        </w:trPr>
        <w:tc>
          <w:tcPr>
            <w:tcW w:w="2580" w:type="dxa"/>
            <w:vAlign w:val="bottom"/>
            <w:tcBorders>
              <w:left w:val="single" w:sz="8" w:color="808080"/>
            </w:tcBorders>
          </w:tcPr>
          <w:p>
            <w:pPr>
              <w:spacing w:after="0"/>
              <w:rPr>
                <w:sz w:val="15"/>
                <w:szCs w:val="15"/>
                <w:color w:val="auto"/>
              </w:rPr>
            </w:pP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1"/>
              <w:spacing w:after="0" w:line="182" w:lineRule="exact"/>
              <w:rPr>
                <w:sz w:val="20"/>
                <w:szCs w:val="20"/>
                <w:color w:val="auto"/>
              </w:rPr>
            </w:pPr>
            <w:r>
              <w:rPr>
                <w:rFonts w:ascii="Arial" w:cs="Arial" w:eastAsia="Arial" w:hAnsi="Arial"/>
                <w:sz w:val="18"/>
                <w:szCs w:val="18"/>
                <w:color w:val="auto"/>
              </w:rPr>
              <w:t>2,025</w:t>
            </w: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Borders>
              <w:bottom w:val="single" w:sz="8" w:color="auto"/>
            </w:tcBorders>
          </w:tcPr>
          <w:p>
            <w:pPr>
              <w:jc w:val="right"/>
              <w:ind w:right="273"/>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2,617</w:t>
            </w:r>
          </w:p>
        </w:tc>
        <w:tc>
          <w:tcPr>
            <w:tcW w:w="40" w:type="dxa"/>
            <w:vAlign w:val="bottom"/>
            <w:tcBorders>
              <w:right w:val="single" w:sz="8" w:color="808080"/>
            </w:tcBorders>
          </w:tcPr>
          <w:p>
            <w:pPr>
              <w:spacing w:after="0"/>
              <w:rPr>
                <w:sz w:val="15"/>
                <w:szCs w:val="15"/>
                <w:color w:val="auto"/>
              </w:rPr>
            </w:pPr>
          </w:p>
        </w:tc>
      </w:tr>
      <w:tr>
        <w:trPr>
          <w:trHeight w:val="20"/>
        </w:trPr>
        <w:tc>
          <w:tcPr>
            <w:tcW w:w="2580" w:type="dxa"/>
            <w:vAlign w:val="bottom"/>
            <w:tcBorders>
              <w:left w:val="single" w:sz="8" w:color="808080"/>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r>
      <w:tr>
        <w:trPr>
          <w:trHeight w:val="20"/>
        </w:trPr>
        <w:tc>
          <w:tcPr>
            <w:tcW w:w="2580" w:type="dxa"/>
            <w:vAlign w:val="bottom"/>
            <w:tcBorders>
              <w:left w:val="single" w:sz="8" w:color="808080"/>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1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61"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Current finished goods include consigned inventory in the amounts of approximately $1,393 and $1,742 as of June 30, 2011 and December 31, 2010, respectively. Consigned inventory represents inventory at distributors and other customers where revenue recognition criteria have not been achieved.</w:t>
      </w:r>
    </w:p>
    <w:p>
      <w:pPr>
        <w:spacing w:after="0" w:line="213"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following table summarizes the losses incurred on valuation of inventory at lower of cost or market value and write-off of obsolete inventory during the three and six months ended June 30, 2011 and 2010 respectively.</w:t>
      </w:r>
    </w:p>
    <w:p>
      <w:pPr>
        <w:spacing w:after="0" w:line="212" w:lineRule="exact"/>
        <w:rPr>
          <w:sz w:val="20"/>
          <w:szCs w:val="20"/>
          <w:color w:val="auto"/>
        </w:rPr>
      </w:pPr>
    </w:p>
    <w:tbl>
      <w:tblPr>
        <w:tblLayout w:type="fixed"/>
        <w:tblInd w:w="30" w:type="dxa"/>
        <w:tblCellMar>
          <w:top w:w="0" w:type="dxa"/>
          <w:left w:w="0" w:type="dxa"/>
          <w:bottom w:w="0" w:type="dxa"/>
          <w:right w:w="0" w:type="dxa"/>
        </w:tblCellMar>
      </w:tblPr>
      <w:tr>
        <w:trPr>
          <w:trHeight w:val="240"/>
        </w:trPr>
        <w:tc>
          <w:tcPr>
            <w:tcW w:w="3940" w:type="dxa"/>
            <w:vAlign w:val="bottom"/>
            <w:tcBorders>
              <w:top w:val="single" w:sz="8" w:color="808080"/>
              <w:left w:val="single" w:sz="8" w:color="808080"/>
            </w:tcBorders>
          </w:tcPr>
          <w:p>
            <w:pPr>
              <w:spacing w:after="0"/>
              <w:rPr>
                <w:sz w:val="20"/>
                <w:szCs w:val="20"/>
                <w:color w:val="auto"/>
              </w:rPr>
            </w:pPr>
          </w:p>
        </w:tc>
        <w:tc>
          <w:tcPr>
            <w:tcW w:w="500" w:type="dxa"/>
            <w:vAlign w:val="bottom"/>
            <w:tcBorders>
              <w:top w:val="single" w:sz="8" w:color="808080"/>
              <w:bottom w:val="single" w:sz="8" w:color="auto"/>
            </w:tcBorders>
          </w:tcPr>
          <w:p>
            <w:pPr>
              <w:spacing w:after="0"/>
              <w:rPr>
                <w:sz w:val="20"/>
                <w:szCs w:val="20"/>
                <w:color w:val="auto"/>
              </w:rPr>
            </w:pPr>
          </w:p>
        </w:tc>
        <w:tc>
          <w:tcPr>
            <w:tcW w:w="1780" w:type="dxa"/>
            <w:vAlign w:val="bottom"/>
            <w:tcBorders>
              <w:top w:val="single" w:sz="8" w:color="808080"/>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5"/>
              </w:rPr>
              <w:t>Three months ended</w:t>
            </w:r>
          </w:p>
        </w:tc>
        <w:tc>
          <w:tcPr>
            <w:tcW w:w="660" w:type="dxa"/>
            <w:vAlign w:val="bottom"/>
            <w:tcBorders>
              <w:top w:val="single" w:sz="8" w:color="808080"/>
              <w:bottom w:val="single" w:sz="8" w:color="auto"/>
            </w:tcBorders>
          </w:tcPr>
          <w:p>
            <w:pPr>
              <w:spacing w:after="0"/>
              <w:rPr>
                <w:sz w:val="20"/>
                <w:szCs w:val="20"/>
                <w:color w:val="auto"/>
              </w:rPr>
            </w:pPr>
          </w:p>
        </w:tc>
        <w:tc>
          <w:tcPr>
            <w:tcW w:w="300" w:type="dxa"/>
            <w:vAlign w:val="bottom"/>
            <w:tcBorders>
              <w:top w:val="single" w:sz="8" w:color="808080"/>
            </w:tcBorders>
          </w:tcPr>
          <w:p>
            <w:pPr>
              <w:spacing w:after="0"/>
              <w:rPr>
                <w:sz w:val="20"/>
                <w:szCs w:val="20"/>
                <w:color w:val="auto"/>
              </w:rPr>
            </w:pPr>
          </w:p>
        </w:tc>
        <w:tc>
          <w:tcPr>
            <w:tcW w:w="560" w:type="dxa"/>
            <w:vAlign w:val="bottom"/>
            <w:tcBorders>
              <w:top w:val="single" w:sz="8" w:color="808080"/>
              <w:bottom w:val="single" w:sz="8" w:color="auto"/>
            </w:tcBorders>
          </w:tcPr>
          <w:p>
            <w:pPr>
              <w:spacing w:after="0"/>
              <w:rPr>
                <w:sz w:val="20"/>
                <w:szCs w:val="20"/>
                <w:color w:val="auto"/>
              </w:rPr>
            </w:pPr>
          </w:p>
        </w:tc>
        <w:tc>
          <w:tcPr>
            <w:tcW w:w="1620" w:type="dxa"/>
            <w:vAlign w:val="bottom"/>
            <w:tcBorders>
              <w:top w:val="single" w:sz="8" w:color="808080"/>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w w:val="94"/>
              </w:rPr>
              <w:t>Six months ended</w:t>
            </w:r>
          </w:p>
        </w:tc>
        <w:tc>
          <w:tcPr>
            <w:tcW w:w="780" w:type="dxa"/>
            <w:vAlign w:val="bottom"/>
            <w:tcBorders>
              <w:top w:val="single" w:sz="8" w:color="808080"/>
              <w:bottom w:val="single" w:sz="8" w:color="auto"/>
              <w:right w:val="single" w:sz="8" w:color="808080"/>
            </w:tcBorders>
          </w:tcPr>
          <w:p>
            <w:pPr>
              <w:spacing w:after="0"/>
              <w:rPr>
                <w:sz w:val="20"/>
                <w:szCs w:val="20"/>
                <w:color w:val="auto"/>
              </w:rPr>
            </w:pPr>
          </w:p>
        </w:tc>
      </w:tr>
      <w:tr>
        <w:trPr>
          <w:trHeight w:val="202"/>
        </w:trPr>
        <w:tc>
          <w:tcPr>
            <w:tcW w:w="3940" w:type="dxa"/>
            <w:vAlign w:val="bottom"/>
            <w:tcBorders>
              <w:left w:val="single" w:sz="8" w:color="808080"/>
            </w:tcBorders>
          </w:tcPr>
          <w:p>
            <w:pPr>
              <w:spacing w:after="0"/>
              <w:rPr>
                <w:sz w:val="17"/>
                <w:szCs w:val="17"/>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2011</w:t>
            </w:r>
          </w:p>
        </w:tc>
        <w:tc>
          <w:tcPr>
            <w:tcW w:w="300" w:type="dxa"/>
            <w:vAlign w:val="bottom"/>
          </w:tcPr>
          <w:p>
            <w:pPr>
              <w:spacing w:after="0"/>
              <w:rPr>
                <w:sz w:val="17"/>
                <w:szCs w:val="17"/>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2010</w:t>
            </w:r>
          </w:p>
        </w:tc>
        <w:tc>
          <w:tcPr>
            <w:tcW w:w="300" w:type="dxa"/>
            <w:vAlign w:val="bottom"/>
          </w:tcPr>
          <w:p>
            <w:pPr>
              <w:spacing w:after="0"/>
              <w:rPr>
                <w:sz w:val="17"/>
                <w:szCs w:val="17"/>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2011</w:t>
            </w:r>
          </w:p>
        </w:tc>
        <w:tc>
          <w:tcPr>
            <w:tcW w:w="300" w:type="dxa"/>
            <w:vAlign w:val="bottom"/>
          </w:tcPr>
          <w:p>
            <w:pPr>
              <w:spacing w:after="0"/>
              <w:rPr>
                <w:sz w:val="17"/>
                <w:szCs w:val="17"/>
                <w:color w:val="auto"/>
              </w:rPr>
            </w:pPr>
          </w:p>
        </w:tc>
        <w:tc>
          <w:tcPr>
            <w:tcW w:w="1340" w:type="dxa"/>
            <w:vAlign w:val="bottom"/>
            <w:tcBorders>
              <w:bottom w:val="single" w:sz="8" w:color="auto"/>
              <w:right w:val="single" w:sz="8" w:color="808080"/>
            </w:tcBorders>
            <w:gridSpan w:val="2"/>
          </w:tcPr>
          <w:p>
            <w:pPr>
              <w:ind w:left="180"/>
              <w:spacing w:after="0"/>
              <w:rPr>
                <w:sz w:val="20"/>
                <w:szCs w:val="20"/>
                <w:color w:val="auto"/>
              </w:rPr>
            </w:pPr>
            <w:r>
              <w:rPr>
                <w:rFonts w:ascii="Arial" w:cs="Arial" w:eastAsia="Arial" w:hAnsi="Arial"/>
                <w:sz w:val="16"/>
                <w:szCs w:val="16"/>
                <w:b w:val="1"/>
                <w:bCs w:val="1"/>
                <w:color w:val="auto"/>
              </w:rPr>
              <w:t>June 30, 2010</w:t>
            </w:r>
          </w:p>
        </w:tc>
      </w:tr>
      <w:tr>
        <w:trPr>
          <w:trHeight w:val="195"/>
        </w:trPr>
        <w:tc>
          <w:tcPr>
            <w:tcW w:w="3940" w:type="dxa"/>
            <w:vAlign w:val="bottom"/>
            <w:tcBorders>
              <w:left w:val="single" w:sz="8" w:color="808080"/>
            </w:tcBorders>
            <w:shd w:val="clear" w:color="auto" w:fill="DBE5F1"/>
          </w:tcPr>
          <w:p>
            <w:pPr>
              <w:ind w:left="80"/>
              <w:spacing w:after="0" w:line="195" w:lineRule="exact"/>
              <w:rPr>
                <w:sz w:val="20"/>
                <w:szCs w:val="20"/>
                <w:color w:val="auto"/>
              </w:rPr>
            </w:pPr>
            <w:r>
              <w:rPr>
                <w:rFonts w:ascii="Arial" w:cs="Arial" w:eastAsia="Arial" w:hAnsi="Arial"/>
                <w:sz w:val="18"/>
                <w:szCs w:val="18"/>
                <w:color w:val="auto"/>
              </w:rPr>
              <w:t>Losses incurred on valuation of inventory and</w:t>
            </w:r>
          </w:p>
        </w:tc>
        <w:tc>
          <w:tcPr>
            <w:tcW w:w="500" w:type="dxa"/>
            <w:vAlign w:val="bottom"/>
            <w:shd w:val="clear" w:color="auto" w:fill="DBE5F1"/>
          </w:tcPr>
          <w:p>
            <w:pPr>
              <w:spacing w:after="0"/>
              <w:rPr>
                <w:sz w:val="16"/>
                <w:szCs w:val="16"/>
                <w:color w:val="auto"/>
              </w:rPr>
            </w:pPr>
          </w:p>
        </w:tc>
        <w:tc>
          <w:tcPr>
            <w:tcW w:w="82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660" w:type="dxa"/>
            <w:vAlign w:val="bottom"/>
            <w:shd w:val="clear" w:color="auto" w:fill="DBE5F1"/>
          </w:tcPr>
          <w:p>
            <w:pPr>
              <w:spacing w:after="0"/>
              <w:rPr>
                <w:sz w:val="16"/>
                <w:szCs w:val="16"/>
                <w:color w:val="auto"/>
              </w:rPr>
            </w:pPr>
          </w:p>
        </w:tc>
        <w:tc>
          <w:tcPr>
            <w:tcW w:w="66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76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780" w:type="dxa"/>
            <w:vAlign w:val="bottom"/>
            <w:tcBorders>
              <w:right w:val="single" w:sz="8" w:color="808080"/>
            </w:tcBorders>
            <w:shd w:val="clear" w:color="auto" w:fill="DBE5F1"/>
          </w:tcPr>
          <w:p>
            <w:pPr>
              <w:spacing w:after="0"/>
              <w:rPr>
                <w:sz w:val="16"/>
                <w:szCs w:val="16"/>
                <w:color w:val="auto"/>
              </w:rPr>
            </w:pPr>
          </w:p>
        </w:tc>
      </w:tr>
      <w:tr>
        <w:trPr>
          <w:trHeight w:val="230"/>
        </w:trPr>
        <w:tc>
          <w:tcPr>
            <w:tcW w:w="39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write-off of obsolete inventory</w:t>
            </w:r>
          </w:p>
        </w:tc>
        <w:tc>
          <w:tcPr>
            <w:tcW w:w="500" w:type="dxa"/>
            <w:vAlign w:val="bottom"/>
            <w:shd w:val="clear" w:color="auto" w:fill="DBE5F1"/>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E5F1"/>
          </w:tcPr>
          <w:p>
            <w:pPr>
              <w:jc w:val="right"/>
              <w:ind w:right="294"/>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BE5F1"/>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60</w:t>
            </w:r>
          </w:p>
        </w:tc>
        <w:tc>
          <w:tcPr>
            <w:tcW w:w="860" w:type="dxa"/>
            <w:vAlign w:val="bottom"/>
            <w:gridSpan w:val="2"/>
            <w:shd w:val="clear" w:color="auto" w:fill="DBE5F1"/>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DBE5F1"/>
          </w:tcPr>
          <w:p>
            <w:pPr>
              <w:jc w:val="right"/>
              <w:ind w:right="294"/>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BE5F1"/>
          </w:tcPr>
          <w:p>
            <w:pPr>
              <w:ind w:left="4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808080"/>
            </w:tcBorders>
            <w:shd w:val="clear" w:color="auto" w:fill="DBE5F1"/>
          </w:tcPr>
          <w:p>
            <w:pPr>
              <w:jc w:val="right"/>
              <w:ind w:right="310"/>
              <w:spacing w:after="0"/>
              <w:rPr>
                <w:sz w:val="20"/>
                <w:szCs w:val="20"/>
                <w:color w:val="auto"/>
              </w:rPr>
            </w:pPr>
            <w:r>
              <w:rPr>
                <w:rFonts w:ascii="Arial" w:cs="Arial" w:eastAsia="Arial" w:hAnsi="Arial"/>
                <w:sz w:val="18"/>
                <w:szCs w:val="18"/>
                <w:color w:val="auto"/>
              </w:rPr>
              <w:t>145</w:t>
            </w:r>
          </w:p>
        </w:tc>
      </w:tr>
      <w:tr>
        <w:trPr>
          <w:trHeight w:val="20"/>
        </w:trPr>
        <w:tc>
          <w:tcPr>
            <w:tcW w:w="3940" w:type="dxa"/>
            <w:vAlign w:val="bottom"/>
            <w:tcBorders>
              <w:left w:val="single" w:sz="8" w:color="808080"/>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78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Share-based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Share-based compensation expense has been allocated as follows:</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220" w:type="dxa"/>
            <w:vAlign w:val="bottom"/>
            <w:tcBorders>
              <w:top w:val="single" w:sz="8" w:color="808080"/>
              <w:left w:val="single" w:sz="8" w:color="808080"/>
            </w:tcBorders>
          </w:tcPr>
          <w:p>
            <w:pPr>
              <w:spacing w:after="0"/>
              <w:rPr>
                <w:sz w:val="21"/>
                <w:szCs w:val="21"/>
                <w:color w:val="auto"/>
              </w:rPr>
            </w:pPr>
          </w:p>
        </w:tc>
        <w:tc>
          <w:tcPr>
            <w:tcW w:w="540" w:type="dxa"/>
            <w:vAlign w:val="bottom"/>
            <w:tcBorders>
              <w:top w:val="single" w:sz="8" w:color="808080"/>
              <w:bottom w:val="single" w:sz="8" w:color="auto"/>
            </w:tcBorders>
          </w:tcPr>
          <w:p>
            <w:pPr>
              <w:spacing w:after="0"/>
              <w:rPr>
                <w:sz w:val="21"/>
                <w:szCs w:val="21"/>
                <w:color w:val="auto"/>
              </w:rPr>
            </w:pPr>
          </w:p>
        </w:tc>
        <w:tc>
          <w:tcPr>
            <w:tcW w:w="1820" w:type="dxa"/>
            <w:vAlign w:val="bottom"/>
            <w:tcBorders>
              <w:top w:val="single" w:sz="8" w:color="808080"/>
              <w:bottom w:val="single" w:sz="8" w:color="auto"/>
            </w:tcBorders>
            <w:gridSpan w:val="3"/>
          </w:tcPr>
          <w:p>
            <w:pPr>
              <w:jc w:val="right"/>
              <w:ind w:right="34"/>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top w:val="single" w:sz="8" w:color="808080"/>
              <w:bottom w:val="single" w:sz="8" w:color="auto"/>
            </w:tcBorders>
          </w:tcPr>
          <w:p>
            <w:pPr>
              <w:spacing w:after="0"/>
              <w:rPr>
                <w:sz w:val="21"/>
                <w:szCs w:val="21"/>
                <w:color w:val="auto"/>
              </w:rPr>
            </w:pPr>
          </w:p>
        </w:tc>
        <w:tc>
          <w:tcPr>
            <w:tcW w:w="300" w:type="dxa"/>
            <w:vAlign w:val="bottom"/>
            <w:tcBorders>
              <w:top w:val="single" w:sz="8" w:color="808080"/>
            </w:tcBorders>
          </w:tcPr>
          <w:p>
            <w:pPr>
              <w:spacing w:after="0"/>
              <w:rPr>
                <w:sz w:val="21"/>
                <w:szCs w:val="21"/>
                <w:color w:val="auto"/>
              </w:rPr>
            </w:pPr>
          </w:p>
        </w:tc>
        <w:tc>
          <w:tcPr>
            <w:tcW w:w="520" w:type="dxa"/>
            <w:vAlign w:val="bottom"/>
            <w:tcBorders>
              <w:top w:val="single" w:sz="8" w:color="808080"/>
              <w:bottom w:val="single" w:sz="8" w:color="auto"/>
            </w:tcBorders>
          </w:tcPr>
          <w:p>
            <w:pPr>
              <w:spacing w:after="0"/>
              <w:rPr>
                <w:sz w:val="21"/>
                <w:szCs w:val="21"/>
                <w:color w:val="auto"/>
              </w:rPr>
            </w:pPr>
          </w:p>
        </w:tc>
        <w:tc>
          <w:tcPr>
            <w:tcW w:w="1720" w:type="dxa"/>
            <w:vAlign w:val="bottom"/>
            <w:tcBorders>
              <w:top w:val="single" w:sz="8" w:color="808080"/>
              <w:bottom w:val="single" w:sz="8" w:color="auto"/>
            </w:tcBorders>
            <w:gridSpan w:val="3"/>
          </w:tcPr>
          <w:p>
            <w:pPr>
              <w:jc w:val="right"/>
              <w:ind w:right="34"/>
              <w:spacing w:after="0"/>
              <w:rPr>
                <w:sz w:val="20"/>
                <w:szCs w:val="20"/>
                <w:color w:val="auto"/>
              </w:rPr>
            </w:pPr>
            <w:r>
              <w:rPr>
                <w:rFonts w:ascii="Arial" w:cs="Arial" w:eastAsia="Arial" w:hAnsi="Arial"/>
                <w:sz w:val="16"/>
                <w:szCs w:val="16"/>
                <w:b w:val="1"/>
                <w:bCs w:val="1"/>
                <w:color w:val="auto"/>
              </w:rPr>
              <w:t>Six months ended</w:t>
            </w:r>
          </w:p>
        </w:tc>
        <w:tc>
          <w:tcPr>
            <w:tcW w:w="800" w:type="dxa"/>
            <w:vAlign w:val="bottom"/>
            <w:tcBorders>
              <w:top w:val="single" w:sz="8" w:color="808080"/>
              <w:bottom w:val="single" w:sz="8" w:color="auto"/>
              <w:right w:val="single" w:sz="8" w:color="808080"/>
            </w:tcBorders>
          </w:tcPr>
          <w:p>
            <w:pPr>
              <w:spacing w:after="0"/>
              <w:rPr>
                <w:sz w:val="21"/>
                <w:szCs w:val="21"/>
                <w:color w:val="auto"/>
              </w:rPr>
            </w:pPr>
          </w:p>
        </w:tc>
      </w:tr>
      <w:tr>
        <w:trPr>
          <w:trHeight w:val="210"/>
        </w:trPr>
        <w:tc>
          <w:tcPr>
            <w:tcW w:w="3220" w:type="dxa"/>
            <w:vAlign w:val="bottom"/>
            <w:tcBorders>
              <w:left w:val="single" w:sz="8" w:color="808080"/>
            </w:tcBorders>
          </w:tcPr>
          <w:p>
            <w:pPr>
              <w:spacing w:after="0"/>
              <w:rPr>
                <w:sz w:val="18"/>
                <w:szCs w:val="18"/>
                <w:color w:val="auto"/>
              </w:rPr>
            </w:pPr>
          </w:p>
        </w:tc>
        <w:tc>
          <w:tcPr>
            <w:tcW w:w="13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6"/>
                <w:szCs w:val="16"/>
                <w:b w:val="1"/>
                <w:bCs w:val="1"/>
                <w:color w:val="auto"/>
              </w:rPr>
              <w:t>June 30, 2011</w:t>
            </w:r>
          </w:p>
        </w:tc>
        <w:tc>
          <w:tcPr>
            <w:tcW w:w="30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auto"/>
              </w:rPr>
              <w:t>June 30, 2010</w:t>
            </w:r>
          </w:p>
        </w:tc>
        <w:tc>
          <w:tcPr>
            <w:tcW w:w="30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6"/>
                <w:szCs w:val="16"/>
                <w:b w:val="1"/>
                <w:bCs w:val="1"/>
                <w:color w:val="auto"/>
              </w:rPr>
              <w:t>June 30, 2011</w:t>
            </w:r>
          </w:p>
        </w:tc>
        <w:tc>
          <w:tcPr>
            <w:tcW w:w="300" w:type="dxa"/>
            <w:vAlign w:val="bottom"/>
          </w:tcPr>
          <w:p>
            <w:pPr>
              <w:spacing w:after="0"/>
              <w:rPr>
                <w:sz w:val="18"/>
                <w:szCs w:val="18"/>
                <w:color w:val="auto"/>
              </w:rPr>
            </w:pPr>
          </w:p>
        </w:tc>
        <w:tc>
          <w:tcPr>
            <w:tcW w:w="1380" w:type="dxa"/>
            <w:vAlign w:val="bottom"/>
            <w:tcBorders>
              <w:bottom w:val="single" w:sz="8" w:color="auto"/>
              <w:right w:val="single" w:sz="8" w:color="808080"/>
            </w:tcBorders>
            <w:gridSpan w:val="2"/>
          </w:tcPr>
          <w:p>
            <w:pPr>
              <w:jc w:val="right"/>
              <w:ind w:right="150"/>
              <w:spacing w:after="0"/>
              <w:rPr>
                <w:sz w:val="20"/>
                <w:szCs w:val="20"/>
                <w:color w:val="auto"/>
              </w:rPr>
            </w:pPr>
            <w:r>
              <w:rPr>
                <w:rFonts w:ascii="Arial" w:cs="Arial" w:eastAsia="Arial" w:hAnsi="Arial"/>
                <w:sz w:val="16"/>
                <w:szCs w:val="16"/>
                <w:b w:val="1"/>
                <w:bCs w:val="1"/>
                <w:color w:val="auto"/>
              </w:rPr>
              <w:t>June 30, 2010</w:t>
            </w:r>
          </w:p>
        </w:tc>
      </w:tr>
      <w:tr>
        <w:trPr>
          <w:trHeight w:val="226"/>
        </w:trPr>
        <w:tc>
          <w:tcPr>
            <w:tcW w:w="32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Cost of goods sold</w:t>
            </w:r>
          </w:p>
        </w:tc>
        <w:tc>
          <w:tcPr>
            <w:tcW w:w="540" w:type="dxa"/>
            <w:vAlign w:val="bottom"/>
            <w:shd w:val="clear" w:color="auto" w:fill="DBE5F1"/>
          </w:tcPr>
          <w:p>
            <w:pPr>
              <w:jc w:val="right"/>
              <w:ind w:right="173"/>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BE5F1"/>
          </w:tcPr>
          <w:p>
            <w:pPr>
              <w:jc w:val="right"/>
              <w:ind w:right="334"/>
              <w:spacing w:after="0"/>
              <w:rPr>
                <w:sz w:val="20"/>
                <w:szCs w:val="20"/>
                <w:color w:val="auto"/>
              </w:rPr>
            </w:pPr>
            <w:r>
              <w:rPr>
                <w:rFonts w:ascii="Arial" w:cs="Arial" w:eastAsia="Arial" w:hAnsi="Arial"/>
                <w:sz w:val="18"/>
                <w:szCs w:val="18"/>
                <w:color w:val="auto"/>
              </w:rPr>
              <w:t>$</w:t>
            </w:r>
          </w:p>
        </w:tc>
        <w:tc>
          <w:tcPr>
            <w:tcW w:w="6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BE5F1"/>
          </w:tcPr>
          <w:p>
            <w:pPr>
              <w:jc w:val="right"/>
              <w:ind w:right="174"/>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BE5F1"/>
          </w:tcPr>
          <w:p>
            <w:pPr>
              <w:jc w:val="right"/>
              <w:ind w:right="234"/>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808080"/>
            </w:tcBorders>
            <w:shd w:val="clear" w:color="auto" w:fill="DBE5F1"/>
          </w:tcPr>
          <w:p>
            <w:pPr>
              <w:jc w:val="right"/>
              <w:ind w:right="310"/>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Borders>
              <w:right w:val="single" w:sz="8" w:color="808080"/>
            </w:tcBorders>
          </w:tcPr>
          <w:p>
            <w:pPr>
              <w:jc w:val="right"/>
              <w:ind w:right="310"/>
              <w:spacing w:after="0"/>
              <w:rPr>
                <w:sz w:val="20"/>
                <w:szCs w:val="20"/>
                <w:color w:val="auto"/>
              </w:rPr>
            </w:pPr>
            <w:r>
              <w:rPr>
                <w:rFonts w:ascii="Arial" w:cs="Arial" w:eastAsia="Arial" w:hAnsi="Arial"/>
                <w:sz w:val="18"/>
                <w:szCs w:val="18"/>
                <w:color w:val="auto"/>
              </w:rPr>
              <w:t>24</w:t>
            </w:r>
          </w:p>
        </w:tc>
      </w:tr>
      <w:tr>
        <w:trPr>
          <w:trHeight w:val="230"/>
        </w:trPr>
        <w:tc>
          <w:tcPr>
            <w:tcW w:w="322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DBE5F1"/>
          </w:tcPr>
          <w:p>
            <w:pPr>
              <w:spacing w:after="0"/>
              <w:rPr>
                <w:sz w:val="19"/>
                <w:szCs w:val="19"/>
                <w:color w:val="auto"/>
              </w:rPr>
            </w:pPr>
          </w:p>
        </w:tc>
        <w:tc>
          <w:tcPr>
            <w:tcW w:w="84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4</w:t>
            </w:r>
          </w:p>
        </w:tc>
        <w:tc>
          <w:tcPr>
            <w:tcW w:w="300" w:type="dxa"/>
            <w:vAlign w:val="bottom"/>
            <w:shd w:val="clear" w:color="auto" w:fill="DBE5F1"/>
          </w:tcPr>
          <w:p>
            <w:pPr>
              <w:spacing w:after="0"/>
              <w:rPr>
                <w:sz w:val="19"/>
                <w:szCs w:val="19"/>
                <w:color w:val="auto"/>
              </w:rPr>
            </w:pPr>
          </w:p>
        </w:tc>
        <w:tc>
          <w:tcPr>
            <w:tcW w:w="680" w:type="dxa"/>
            <w:vAlign w:val="bottom"/>
            <w:shd w:val="clear" w:color="auto" w:fill="DBE5F1"/>
          </w:tcPr>
          <w:p>
            <w:pPr>
              <w:spacing w:after="0"/>
              <w:rPr>
                <w:sz w:val="19"/>
                <w:szCs w:val="19"/>
                <w:color w:val="auto"/>
              </w:rPr>
            </w:pPr>
          </w:p>
        </w:tc>
        <w:tc>
          <w:tcPr>
            <w:tcW w:w="68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7</w:t>
            </w:r>
          </w:p>
        </w:tc>
        <w:tc>
          <w:tcPr>
            <w:tcW w:w="300" w:type="dxa"/>
            <w:vAlign w:val="bottom"/>
            <w:shd w:val="clear" w:color="auto" w:fill="DBE5F1"/>
          </w:tcPr>
          <w:p>
            <w:pPr>
              <w:spacing w:after="0"/>
              <w:rPr>
                <w:sz w:val="19"/>
                <w:szCs w:val="19"/>
                <w:color w:val="auto"/>
              </w:rPr>
            </w:pPr>
          </w:p>
        </w:tc>
        <w:tc>
          <w:tcPr>
            <w:tcW w:w="520" w:type="dxa"/>
            <w:vAlign w:val="bottom"/>
            <w:shd w:val="clear" w:color="auto" w:fill="DBE5F1"/>
          </w:tcPr>
          <w:p>
            <w:pPr>
              <w:spacing w:after="0"/>
              <w:rPr>
                <w:sz w:val="19"/>
                <w:szCs w:val="19"/>
                <w:color w:val="auto"/>
              </w:rPr>
            </w:pPr>
          </w:p>
        </w:tc>
        <w:tc>
          <w:tcPr>
            <w:tcW w:w="84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8</w:t>
            </w:r>
          </w:p>
        </w:tc>
        <w:tc>
          <w:tcPr>
            <w:tcW w:w="300" w:type="dxa"/>
            <w:vAlign w:val="bottom"/>
            <w:shd w:val="clear" w:color="auto" w:fill="DBE5F1"/>
          </w:tcPr>
          <w:p>
            <w:pPr>
              <w:spacing w:after="0"/>
              <w:rPr>
                <w:sz w:val="19"/>
                <w:szCs w:val="19"/>
                <w:color w:val="auto"/>
              </w:rPr>
            </w:pPr>
          </w:p>
        </w:tc>
        <w:tc>
          <w:tcPr>
            <w:tcW w:w="580" w:type="dxa"/>
            <w:vAlign w:val="bottom"/>
            <w:shd w:val="clear" w:color="auto" w:fill="DBE5F1"/>
          </w:tcPr>
          <w:p>
            <w:pPr>
              <w:spacing w:after="0"/>
              <w:rPr>
                <w:sz w:val="19"/>
                <w:szCs w:val="19"/>
                <w:color w:val="auto"/>
              </w:rPr>
            </w:pPr>
          </w:p>
        </w:tc>
        <w:tc>
          <w:tcPr>
            <w:tcW w:w="800" w:type="dxa"/>
            <w:vAlign w:val="bottom"/>
            <w:tcBorders>
              <w:right w:val="single" w:sz="8" w:color="808080"/>
            </w:tcBorders>
            <w:shd w:val="clear" w:color="auto" w:fill="DBE5F1"/>
          </w:tcPr>
          <w:p>
            <w:pPr>
              <w:jc w:val="right"/>
              <w:ind w:right="310"/>
              <w:spacing w:after="0"/>
              <w:rPr>
                <w:sz w:val="20"/>
                <w:szCs w:val="20"/>
                <w:color w:val="auto"/>
              </w:rPr>
            </w:pPr>
            <w:r>
              <w:rPr>
                <w:rFonts w:ascii="Arial" w:cs="Arial" w:eastAsia="Arial" w:hAnsi="Arial"/>
                <w:sz w:val="18"/>
                <w:szCs w:val="18"/>
                <w:color w:val="auto"/>
              </w:rPr>
              <w:t>14</w:t>
            </w:r>
          </w:p>
        </w:tc>
      </w:tr>
      <w:tr>
        <w:trPr>
          <w:trHeight w:val="230"/>
        </w:trPr>
        <w:tc>
          <w:tcPr>
            <w:tcW w:w="3220" w:type="dxa"/>
            <w:vAlign w:val="bottom"/>
            <w:tcBorders>
              <w:left w:val="single" w:sz="8" w:color="808080"/>
              <w:bottom w:val="single" w:sz="8" w:color="DBE5F1"/>
            </w:tcBorders>
          </w:tcPr>
          <w:p>
            <w:pPr>
              <w:ind w:left="8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DBE5F1"/>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DBE5F1"/>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DBE5F1"/>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808080"/>
            </w:tcBorders>
          </w:tcPr>
          <w:p>
            <w:pPr>
              <w:jc w:val="right"/>
              <w:ind w:right="310"/>
              <w:spacing w:after="0"/>
              <w:rPr>
                <w:sz w:val="20"/>
                <w:szCs w:val="20"/>
                <w:color w:val="auto"/>
              </w:rPr>
            </w:pPr>
            <w:r>
              <w:rPr>
                <w:rFonts w:ascii="Arial" w:cs="Arial" w:eastAsia="Arial" w:hAnsi="Arial"/>
                <w:sz w:val="18"/>
                <w:szCs w:val="18"/>
                <w:color w:val="auto"/>
              </w:rPr>
              <w:t>122</w:t>
            </w:r>
          </w:p>
        </w:tc>
      </w:tr>
      <w:tr>
        <w:trPr>
          <w:trHeight w:val="223"/>
        </w:trPr>
        <w:tc>
          <w:tcPr>
            <w:tcW w:w="3220" w:type="dxa"/>
            <w:vAlign w:val="bottom"/>
            <w:tcBorders>
              <w:left w:val="single" w:sz="8" w:color="808080"/>
              <w:bottom w:val="single" w:sz="8" w:color="DBE5F1"/>
            </w:tcBorders>
            <w:shd w:val="clear" w:color="auto" w:fill="DBE5F1"/>
          </w:tcPr>
          <w:p>
            <w:pPr>
              <w:spacing w:after="0"/>
              <w:rPr>
                <w:sz w:val="19"/>
                <w:szCs w:val="19"/>
                <w:color w:val="auto"/>
              </w:rPr>
            </w:pPr>
          </w:p>
        </w:tc>
        <w:tc>
          <w:tcPr>
            <w:tcW w:w="540" w:type="dxa"/>
            <w:vAlign w:val="bottom"/>
            <w:tcBorders>
              <w:bottom w:val="single" w:sz="8" w:color="auto"/>
            </w:tcBorders>
            <w:shd w:val="clear" w:color="auto" w:fill="DBE5F1"/>
          </w:tcPr>
          <w:p>
            <w:pPr>
              <w:jc w:val="right"/>
              <w:ind w:right="173"/>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BE5F1"/>
          </w:tcPr>
          <w:p>
            <w:pPr>
              <w:jc w:val="right"/>
              <w:ind w:right="291"/>
              <w:spacing w:after="0" w:line="182" w:lineRule="exact"/>
              <w:rPr>
                <w:sz w:val="20"/>
                <w:szCs w:val="20"/>
                <w:color w:val="auto"/>
              </w:rPr>
            </w:pPr>
            <w:r>
              <w:rPr>
                <w:rFonts w:ascii="Arial" w:cs="Arial" w:eastAsia="Arial" w:hAnsi="Arial"/>
                <w:sz w:val="18"/>
                <w:szCs w:val="18"/>
                <w:color w:val="auto"/>
              </w:rPr>
              <w:t>44</w:t>
            </w:r>
          </w:p>
        </w:tc>
        <w:tc>
          <w:tcPr>
            <w:tcW w:w="300" w:type="dxa"/>
            <w:vAlign w:val="bottom"/>
            <w:tcBorders>
              <w:bottom w:val="single" w:sz="8" w:color="DBE5F1"/>
            </w:tcBorders>
            <w:shd w:val="clear" w:color="auto" w:fill="DBE5F1"/>
          </w:tcPr>
          <w:p>
            <w:pPr>
              <w:spacing w:after="0"/>
              <w:rPr>
                <w:sz w:val="19"/>
                <w:szCs w:val="19"/>
                <w:color w:val="auto"/>
              </w:rPr>
            </w:pPr>
          </w:p>
        </w:tc>
        <w:tc>
          <w:tcPr>
            <w:tcW w:w="680" w:type="dxa"/>
            <w:vAlign w:val="bottom"/>
            <w:tcBorders>
              <w:bottom w:val="single" w:sz="8" w:color="auto"/>
            </w:tcBorders>
            <w:shd w:val="clear" w:color="auto" w:fill="DBE5F1"/>
          </w:tcPr>
          <w:p>
            <w:pPr>
              <w:jc w:val="right"/>
              <w:ind w:right="334"/>
              <w:spacing w:after="0" w:line="18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DBE5F1"/>
          </w:tcPr>
          <w:p>
            <w:pPr>
              <w:jc w:val="right"/>
              <w:ind w:right="290"/>
              <w:spacing w:after="0" w:line="182" w:lineRule="exact"/>
              <w:rPr>
                <w:sz w:val="20"/>
                <w:szCs w:val="20"/>
                <w:color w:val="auto"/>
              </w:rPr>
            </w:pPr>
            <w:r>
              <w:rPr>
                <w:rFonts w:ascii="Arial" w:cs="Arial" w:eastAsia="Arial" w:hAnsi="Arial"/>
                <w:sz w:val="18"/>
                <w:szCs w:val="18"/>
                <w:color w:val="auto"/>
              </w:rPr>
              <w:t>85</w:t>
            </w:r>
          </w:p>
        </w:tc>
        <w:tc>
          <w:tcPr>
            <w:tcW w:w="300" w:type="dxa"/>
            <w:vAlign w:val="bottom"/>
            <w:tcBorders>
              <w:bottom w:val="single" w:sz="8" w:color="DBE5F1"/>
            </w:tcBorders>
            <w:shd w:val="clear" w:color="auto" w:fill="DBE5F1"/>
          </w:tcPr>
          <w:p>
            <w:pPr>
              <w:spacing w:after="0"/>
              <w:rPr>
                <w:sz w:val="19"/>
                <w:szCs w:val="19"/>
                <w:color w:val="auto"/>
              </w:rPr>
            </w:pPr>
          </w:p>
        </w:tc>
        <w:tc>
          <w:tcPr>
            <w:tcW w:w="520" w:type="dxa"/>
            <w:vAlign w:val="bottom"/>
            <w:tcBorders>
              <w:bottom w:val="single" w:sz="8" w:color="auto"/>
            </w:tcBorders>
            <w:shd w:val="clear" w:color="auto" w:fill="DBE5F1"/>
          </w:tcPr>
          <w:p>
            <w:pPr>
              <w:jc w:val="right"/>
              <w:ind w:right="174"/>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BE5F1"/>
          </w:tcPr>
          <w:p>
            <w:pPr>
              <w:jc w:val="right"/>
              <w:ind w:right="291"/>
              <w:spacing w:after="0" w:line="182" w:lineRule="exact"/>
              <w:rPr>
                <w:sz w:val="20"/>
                <w:szCs w:val="20"/>
                <w:color w:val="auto"/>
              </w:rPr>
            </w:pPr>
            <w:r>
              <w:rPr>
                <w:rFonts w:ascii="Arial" w:cs="Arial" w:eastAsia="Arial" w:hAnsi="Arial"/>
                <w:sz w:val="18"/>
                <w:szCs w:val="18"/>
                <w:color w:val="auto"/>
              </w:rPr>
              <w:t>83</w:t>
            </w:r>
          </w:p>
        </w:tc>
        <w:tc>
          <w:tcPr>
            <w:tcW w:w="300" w:type="dxa"/>
            <w:vAlign w:val="bottom"/>
            <w:tcBorders>
              <w:bottom w:val="single" w:sz="8" w:color="DBE5F1"/>
            </w:tcBorders>
            <w:shd w:val="clear" w:color="auto" w:fill="DBE5F1"/>
          </w:tcPr>
          <w:p>
            <w:pPr>
              <w:spacing w:after="0"/>
              <w:rPr>
                <w:sz w:val="19"/>
                <w:szCs w:val="19"/>
                <w:color w:val="auto"/>
              </w:rPr>
            </w:pPr>
          </w:p>
        </w:tc>
        <w:tc>
          <w:tcPr>
            <w:tcW w:w="580" w:type="dxa"/>
            <w:vAlign w:val="bottom"/>
            <w:tcBorders>
              <w:bottom w:val="single" w:sz="8" w:color="auto"/>
            </w:tcBorders>
            <w:shd w:val="clear" w:color="auto" w:fill="DBE5F1"/>
          </w:tcPr>
          <w:p>
            <w:pPr>
              <w:jc w:val="right"/>
              <w:ind w:right="234"/>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808080"/>
            </w:tcBorders>
            <w:shd w:val="clear" w:color="auto" w:fill="DBE5F1"/>
          </w:tcPr>
          <w:p>
            <w:pPr>
              <w:jc w:val="right"/>
              <w:ind w:right="310"/>
              <w:spacing w:after="0" w:line="182" w:lineRule="exact"/>
              <w:rPr>
                <w:sz w:val="20"/>
                <w:szCs w:val="20"/>
                <w:color w:val="auto"/>
              </w:rPr>
            </w:pPr>
            <w:r>
              <w:rPr>
                <w:rFonts w:ascii="Arial" w:cs="Arial" w:eastAsia="Arial" w:hAnsi="Arial"/>
                <w:sz w:val="18"/>
                <w:szCs w:val="18"/>
                <w:color w:val="auto"/>
              </w:rPr>
              <w:t>160</w:t>
            </w:r>
          </w:p>
        </w:tc>
      </w:tr>
      <w:tr>
        <w:trPr>
          <w:trHeight w:val="20"/>
        </w:trPr>
        <w:tc>
          <w:tcPr>
            <w:tcW w:w="3220" w:type="dxa"/>
            <w:vAlign w:val="bottom"/>
            <w:tcBorders>
              <w:left w:val="single" w:sz="8" w:color="808080"/>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22"/>
          <w:szCs w:val="22"/>
          <w:b w:val="1"/>
          <w:bCs w:val="1"/>
          <w:color w:val="auto"/>
        </w:rPr>
        <w:t>CLEARONE COMMUNICATIONS, INC.</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19"/>
        <w:spacing w:after="0"/>
        <w:rPr>
          <w:sz w:val="20"/>
          <w:szCs w:val="20"/>
          <w:color w:val="auto"/>
        </w:rPr>
      </w:pPr>
      <w:r>
        <w:rPr>
          <w:rFonts w:ascii="Arial" w:cs="Arial" w:eastAsia="Arial" w:hAnsi="Arial"/>
          <w:sz w:val="22"/>
          <w:szCs w:val="22"/>
          <w:b w:val="1"/>
          <w:bCs w:val="1"/>
          <w:color w:val="auto"/>
        </w:rPr>
        <w:t>(Unaudited – Dollars in thousands)</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As of June 30, 2011 the total remaining unrecognized compensation cost related to non-vested stock options, net of forfeitures, was approximately $196.</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During the three and six months ended June 30, 2011, we granted 5,000 stock options. During the three and six months ended June 30, 2010 we granted 90,000 and 141,750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Shareholders’ Equity</w:t>
      </w:r>
    </w:p>
    <w:p>
      <w:pPr>
        <w:spacing w:after="0" w:line="23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The following table summarizes the change in shareholders’ equity during the three and six months ended June 30, 2011 and 2010 respectively:</w:t>
      </w:r>
    </w:p>
    <w:p>
      <w:pPr>
        <w:spacing w:after="0" w:line="212"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600" w:type="dxa"/>
            <w:vAlign w:val="bottom"/>
            <w:tcBorders>
              <w:top w:val="single" w:sz="8" w:color="808080"/>
              <w:left w:val="single" w:sz="8" w:color="808080"/>
            </w:tcBorders>
          </w:tcPr>
          <w:p>
            <w:pPr>
              <w:spacing w:after="0"/>
              <w:rPr>
                <w:sz w:val="21"/>
                <w:szCs w:val="21"/>
                <w:color w:val="auto"/>
              </w:rPr>
            </w:pPr>
          </w:p>
        </w:tc>
        <w:tc>
          <w:tcPr>
            <w:tcW w:w="380" w:type="dxa"/>
            <w:vAlign w:val="bottom"/>
            <w:tcBorders>
              <w:top w:val="single" w:sz="8" w:color="808080"/>
              <w:bottom w:val="single" w:sz="8" w:color="auto"/>
            </w:tcBorders>
          </w:tcPr>
          <w:p>
            <w:pPr>
              <w:spacing w:after="0"/>
              <w:rPr>
                <w:sz w:val="21"/>
                <w:szCs w:val="21"/>
                <w:color w:val="auto"/>
              </w:rPr>
            </w:pPr>
          </w:p>
        </w:tc>
        <w:tc>
          <w:tcPr>
            <w:tcW w:w="2660" w:type="dxa"/>
            <w:vAlign w:val="bottom"/>
            <w:tcBorders>
              <w:top w:val="single" w:sz="8" w:color="808080"/>
              <w:bottom w:val="single" w:sz="8" w:color="auto"/>
            </w:tcBorders>
            <w:gridSpan w:val="4"/>
          </w:tcPr>
          <w:p>
            <w:pPr>
              <w:jc w:val="right"/>
              <w:ind w:right="73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top w:val="single" w:sz="8" w:color="808080"/>
            </w:tcBorders>
          </w:tcPr>
          <w:p>
            <w:pPr>
              <w:spacing w:after="0"/>
              <w:rPr>
                <w:sz w:val="21"/>
                <w:szCs w:val="21"/>
                <w:color w:val="auto"/>
              </w:rPr>
            </w:pPr>
          </w:p>
        </w:tc>
        <w:tc>
          <w:tcPr>
            <w:tcW w:w="380" w:type="dxa"/>
            <w:vAlign w:val="bottom"/>
            <w:tcBorders>
              <w:top w:val="single" w:sz="8" w:color="808080"/>
              <w:bottom w:val="single" w:sz="8" w:color="auto"/>
            </w:tcBorders>
          </w:tcPr>
          <w:p>
            <w:pPr>
              <w:spacing w:after="0"/>
              <w:rPr>
                <w:sz w:val="21"/>
                <w:szCs w:val="21"/>
                <w:color w:val="auto"/>
              </w:rPr>
            </w:pPr>
          </w:p>
        </w:tc>
        <w:tc>
          <w:tcPr>
            <w:tcW w:w="1760" w:type="dxa"/>
            <w:vAlign w:val="bottom"/>
            <w:tcBorders>
              <w:top w:val="single" w:sz="8" w:color="808080"/>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Borders>
              <w:top w:val="single" w:sz="8" w:color="808080"/>
              <w:bottom w:val="single" w:sz="8" w:color="auto"/>
              <w:right w:val="single" w:sz="8" w:color="808080"/>
            </w:tcBorders>
          </w:tcPr>
          <w:p>
            <w:pPr>
              <w:spacing w:after="0"/>
              <w:rPr>
                <w:sz w:val="21"/>
                <w:szCs w:val="21"/>
                <w:color w:val="auto"/>
              </w:rPr>
            </w:pPr>
          </w:p>
        </w:tc>
      </w:tr>
      <w:tr>
        <w:trPr>
          <w:trHeight w:val="207"/>
        </w:trPr>
        <w:tc>
          <w:tcPr>
            <w:tcW w:w="3600" w:type="dxa"/>
            <w:vAlign w:val="bottom"/>
            <w:tcBorders>
              <w:left w:val="single" w:sz="8" w:color="808080"/>
            </w:tcBorders>
          </w:tcPr>
          <w:p>
            <w:pPr>
              <w:spacing w:after="0"/>
              <w:rPr>
                <w:sz w:val="17"/>
                <w:szCs w:val="17"/>
                <w:color w:val="auto"/>
              </w:rPr>
            </w:pPr>
          </w:p>
        </w:tc>
        <w:tc>
          <w:tcPr>
            <w:tcW w:w="13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6"/>
                <w:szCs w:val="16"/>
                <w:b w:val="1"/>
                <w:bCs w:val="1"/>
                <w:color w:val="auto"/>
              </w:rPr>
              <w:t>June 30, 2011</w:t>
            </w:r>
          </w:p>
        </w:tc>
        <w:tc>
          <w:tcPr>
            <w:tcW w:w="280" w:type="dxa"/>
            <w:vAlign w:val="bottom"/>
          </w:tcPr>
          <w:p>
            <w:pPr>
              <w:spacing w:after="0"/>
              <w:rPr>
                <w:sz w:val="17"/>
                <w:szCs w:val="17"/>
                <w:color w:val="auto"/>
              </w:rPr>
            </w:pPr>
          </w:p>
        </w:tc>
        <w:tc>
          <w:tcPr>
            <w:tcW w:w="13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auto"/>
              </w:rPr>
              <w:t>June 30, 2010</w:t>
            </w:r>
          </w:p>
        </w:tc>
        <w:tc>
          <w:tcPr>
            <w:tcW w:w="280" w:type="dxa"/>
            <w:vAlign w:val="bottom"/>
          </w:tcPr>
          <w:p>
            <w:pPr>
              <w:spacing w:after="0"/>
              <w:rPr>
                <w:sz w:val="17"/>
                <w:szCs w:val="17"/>
                <w:color w:val="auto"/>
              </w:rPr>
            </w:pPr>
          </w:p>
        </w:tc>
        <w:tc>
          <w:tcPr>
            <w:tcW w:w="13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6"/>
                <w:szCs w:val="16"/>
                <w:b w:val="1"/>
                <w:bCs w:val="1"/>
                <w:color w:val="auto"/>
              </w:rPr>
              <w:t>June 30, 2011</w:t>
            </w:r>
          </w:p>
        </w:tc>
        <w:tc>
          <w:tcPr>
            <w:tcW w:w="300" w:type="dxa"/>
            <w:vAlign w:val="bottom"/>
          </w:tcPr>
          <w:p>
            <w:pPr>
              <w:spacing w:after="0"/>
              <w:rPr>
                <w:sz w:val="17"/>
                <w:szCs w:val="17"/>
                <w:color w:val="auto"/>
              </w:rPr>
            </w:pPr>
          </w:p>
        </w:tc>
        <w:tc>
          <w:tcPr>
            <w:tcW w:w="1380" w:type="dxa"/>
            <w:vAlign w:val="bottom"/>
            <w:tcBorders>
              <w:bottom w:val="single" w:sz="8" w:color="auto"/>
              <w:right w:val="single" w:sz="8" w:color="808080"/>
            </w:tcBorders>
            <w:gridSpan w:val="2"/>
          </w:tcPr>
          <w:p>
            <w:pPr>
              <w:jc w:val="right"/>
              <w:ind w:right="150"/>
              <w:spacing w:after="0"/>
              <w:rPr>
                <w:sz w:val="20"/>
                <w:szCs w:val="20"/>
                <w:color w:val="auto"/>
              </w:rPr>
            </w:pPr>
            <w:r>
              <w:rPr>
                <w:rFonts w:ascii="Arial" w:cs="Arial" w:eastAsia="Arial" w:hAnsi="Arial"/>
                <w:sz w:val="16"/>
                <w:szCs w:val="16"/>
                <w:b w:val="1"/>
                <w:bCs w:val="1"/>
                <w:color w:val="auto"/>
              </w:rPr>
              <w:t>June 30, 2010</w:t>
            </w:r>
          </w:p>
        </w:tc>
      </w:tr>
      <w:tr>
        <w:trPr>
          <w:trHeight w:val="215"/>
        </w:trPr>
        <w:tc>
          <w:tcPr>
            <w:tcW w:w="360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Balance at the beginning of the period</w:t>
            </w:r>
          </w:p>
        </w:tc>
        <w:tc>
          <w:tcPr>
            <w:tcW w:w="380" w:type="dxa"/>
            <w:vAlign w:val="bottom"/>
            <w:shd w:val="clear" w:color="auto" w:fill="DBE5F1"/>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32,607</w:t>
            </w:r>
          </w:p>
        </w:tc>
        <w:tc>
          <w:tcPr>
            <w:tcW w:w="660" w:type="dxa"/>
            <w:vAlign w:val="bottom"/>
            <w:gridSpan w:val="2"/>
            <w:shd w:val="clear" w:color="auto" w:fill="DBE5F1"/>
          </w:tcPr>
          <w:p>
            <w:pPr>
              <w:jc w:val="right"/>
              <w:ind w:right="14"/>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29,390</w:t>
            </w:r>
          </w:p>
        </w:tc>
        <w:tc>
          <w:tcPr>
            <w:tcW w:w="660" w:type="dxa"/>
            <w:vAlign w:val="bottom"/>
            <w:gridSpan w:val="2"/>
            <w:shd w:val="clear" w:color="auto" w:fill="DBE5F1"/>
          </w:tcPr>
          <w:p>
            <w:pPr>
              <w:jc w:val="right"/>
              <w:ind w:right="14"/>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31,735</w:t>
            </w:r>
          </w:p>
        </w:tc>
        <w:tc>
          <w:tcPr>
            <w:tcW w:w="760" w:type="dxa"/>
            <w:vAlign w:val="bottom"/>
            <w:gridSpan w:val="2"/>
            <w:shd w:val="clear" w:color="auto" w:fill="DBE5F1"/>
          </w:tcPr>
          <w:p>
            <w:pPr>
              <w:jc w:val="right"/>
              <w:ind w:right="114"/>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808080"/>
            </w:tcBorders>
            <w:shd w:val="clear" w:color="auto" w:fill="DBE5F1"/>
          </w:tcPr>
          <w:p>
            <w:pPr>
              <w:jc w:val="right"/>
              <w:ind w:right="310"/>
              <w:spacing w:after="0"/>
              <w:rPr>
                <w:sz w:val="20"/>
                <w:szCs w:val="20"/>
                <w:color w:val="auto"/>
              </w:rPr>
            </w:pPr>
            <w:r>
              <w:rPr>
                <w:rFonts w:ascii="Arial" w:cs="Arial" w:eastAsia="Arial" w:hAnsi="Arial"/>
                <w:sz w:val="18"/>
                <w:szCs w:val="18"/>
                <w:color w:val="auto"/>
                <w:w w:val="90"/>
              </w:rPr>
              <w:t>29,098</w:t>
            </w:r>
          </w:p>
        </w:tc>
      </w:tr>
      <w:tr>
        <w:trPr>
          <w:trHeight w:val="230"/>
        </w:trPr>
        <w:tc>
          <w:tcPr>
            <w:tcW w:w="36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Net income during the period</w:t>
            </w:r>
          </w:p>
        </w:tc>
        <w:tc>
          <w:tcPr>
            <w:tcW w:w="380" w:type="dxa"/>
            <w:vAlign w:val="bottom"/>
          </w:tcPr>
          <w:p>
            <w:pPr>
              <w:spacing w:after="0"/>
              <w:rPr>
                <w:sz w:val="19"/>
                <w:szCs w:val="19"/>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1,321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2,133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Borders>
              <w:right w:val="single" w:sz="8" w:color="808080"/>
            </w:tcBorders>
          </w:tcPr>
          <w:p>
            <w:pPr>
              <w:jc w:val="right"/>
              <w:ind w:right="310"/>
              <w:spacing w:after="0"/>
              <w:rPr>
                <w:sz w:val="20"/>
                <w:szCs w:val="20"/>
                <w:color w:val="auto"/>
              </w:rPr>
            </w:pPr>
            <w:r>
              <w:rPr>
                <w:rFonts w:ascii="Arial" w:cs="Arial" w:eastAsia="Arial" w:hAnsi="Arial"/>
                <w:sz w:val="18"/>
                <w:szCs w:val="18"/>
                <w:color w:val="auto"/>
              </w:rPr>
              <w:t>570</w:t>
            </w:r>
          </w:p>
        </w:tc>
      </w:tr>
      <w:tr>
        <w:trPr>
          <w:trHeight w:val="230"/>
        </w:trPr>
        <w:tc>
          <w:tcPr>
            <w:tcW w:w="360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DBE5F1"/>
          </w:tcPr>
          <w:p>
            <w:pPr>
              <w:spacing w:after="0"/>
              <w:rPr>
                <w:sz w:val="19"/>
                <w:szCs w:val="19"/>
                <w:color w:val="auto"/>
              </w:rPr>
            </w:pP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44</w:t>
            </w:r>
          </w:p>
        </w:tc>
        <w:tc>
          <w:tcPr>
            <w:tcW w:w="280" w:type="dxa"/>
            <w:vAlign w:val="bottom"/>
            <w:shd w:val="clear" w:color="auto" w:fill="DBE5F1"/>
          </w:tcPr>
          <w:p>
            <w:pPr>
              <w:spacing w:after="0"/>
              <w:rPr>
                <w:sz w:val="19"/>
                <w:szCs w:val="19"/>
                <w:color w:val="auto"/>
              </w:rPr>
            </w:pPr>
          </w:p>
        </w:tc>
        <w:tc>
          <w:tcPr>
            <w:tcW w:w="380" w:type="dxa"/>
            <w:vAlign w:val="bottom"/>
            <w:shd w:val="clear" w:color="auto" w:fill="DBE5F1"/>
          </w:tcPr>
          <w:p>
            <w:pPr>
              <w:spacing w:after="0"/>
              <w:rPr>
                <w:sz w:val="19"/>
                <w:szCs w:val="19"/>
                <w:color w:val="auto"/>
              </w:rPr>
            </w:pPr>
          </w:p>
        </w:tc>
        <w:tc>
          <w:tcPr>
            <w:tcW w:w="1000" w:type="dxa"/>
            <w:vAlign w:val="bottom"/>
            <w:shd w:val="clear" w:color="auto" w:fill="DBE5F1"/>
          </w:tcPr>
          <w:p>
            <w:pPr>
              <w:jc w:val="right"/>
              <w:ind w:right="29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DBE5F1"/>
          </w:tcPr>
          <w:p>
            <w:pPr>
              <w:spacing w:after="0"/>
              <w:rPr>
                <w:sz w:val="19"/>
                <w:szCs w:val="19"/>
                <w:color w:val="auto"/>
              </w:rPr>
            </w:pPr>
          </w:p>
        </w:tc>
        <w:tc>
          <w:tcPr>
            <w:tcW w:w="380" w:type="dxa"/>
            <w:vAlign w:val="bottom"/>
            <w:shd w:val="clear" w:color="auto" w:fill="DBE5F1"/>
          </w:tcPr>
          <w:p>
            <w:pPr>
              <w:spacing w:after="0"/>
              <w:rPr>
                <w:sz w:val="19"/>
                <w:szCs w:val="19"/>
                <w:color w:val="auto"/>
              </w:rPr>
            </w:pPr>
          </w:p>
        </w:tc>
        <w:tc>
          <w:tcPr>
            <w:tcW w:w="1000" w:type="dxa"/>
            <w:vAlign w:val="bottom"/>
            <w:shd w:val="clear" w:color="auto" w:fill="DBE5F1"/>
          </w:tcPr>
          <w:p>
            <w:pPr>
              <w:jc w:val="right"/>
              <w:ind w:right="291"/>
              <w:spacing w:after="0"/>
              <w:rPr>
                <w:sz w:val="20"/>
                <w:szCs w:val="20"/>
                <w:color w:val="auto"/>
              </w:rPr>
            </w:pPr>
            <w:r>
              <w:rPr>
                <w:rFonts w:ascii="Arial" w:cs="Arial" w:eastAsia="Arial" w:hAnsi="Arial"/>
                <w:sz w:val="18"/>
                <w:szCs w:val="18"/>
                <w:color w:val="auto"/>
              </w:rPr>
              <w:t>83</w:t>
            </w:r>
          </w:p>
        </w:tc>
        <w:tc>
          <w:tcPr>
            <w:tcW w:w="300" w:type="dxa"/>
            <w:vAlign w:val="bottom"/>
            <w:shd w:val="clear" w:color="auto" w:fill="DBE5F1"/>
          </w:tcPr>
          <w:p>
            <w:pPr>
              <w:spacing w:after="0"/>
              <w:rPr>
                <w:sz w:val="19"/>
                <w:szCs w:val="19"/>
                <w:color w:val="auto"/>
              </w:rPr>
            </w:pPr>
          </w:p>
        </w:tc>
        <w:tc>
          <w:tcPr>
            <w:tcW w:w="460" w:type="dxa"/>
            <w:vAlign w:val="bottom"/>
            <w:shd w:val="clear" w:color="auto" w:fill="DBE5F1"/>
          </w:tcPr>
          <w:p>
            <w:pPr>
              <w:spacing w:after="0"/>
              <w:rPr>
                <w:sz w:val="19"/>
                <w:szCs w:val="19"/>
                <w:color w:val="auto"/>
              </w:rPr>
            </w:pPr>
          </w:p>
        </w:tc>
        <w:tc>
          <w:tcPr>
            <w:tcW w:w="920" w:type="dxa"/>
            <w:vAlign w:val="bottom"/>
            <w:tcBorders>
              <w:right w:val="single" w:sz="8" w:color="808080"/>
            </w:tcBorders>
            <w:shd w:val="clear" w:color="auto" w:fill="DBE5F1"/>
          </w:tcPr>
          <w:p>
            <w:pPr>
              <w:jc w:val="right"/>
              <w:ind w:right="310"/>
              <w:spacing w:after="0"/>
              <w:rPr>
                <w:sz w:val="20"/>
                <w:szCs w:val="20"/>
                <w:color w:val="auto"/>
              </w:rPr>
            </w:pPr>
            <w:r>
              <w:rPr>
                <w:rFonts w:ascii="Arial" w:cs="Arial" w:eastAsia="Arial" w:hAnsi="Arial"/>
                <w:sz w:val="18"/>
                <w:szCs w:val="18"/>
                <w:color w:val="auto"/>
              </w:rPr>
              <w:t>160</w:t>
            </w:r>
          </w:p>
        </w:tc>
      </w:tr>
      <w:tr>
        <w:trPr>
          <w:trHeight w:val="230"/>
        </w:trPr>
        <w:tc>
          <w:tcPr>
            <w:tcW w:w="3600" w:type="dxa"/>
            <w:vAlign w:val="bottom"/>
            <w:tcBorders>
              <w:left w:val="single" w:sz="8" w:color="808080"/>
              <w:bottom w:val="single" w:sz="8" w:color="DBE5F1"/>
            </w:tcBorders>
          </w:tcPr>
          <w:p>
            <w:pPr>
              <w:ind w:left="80"/>
              <w:spacing w:after="0"/>
              <w:rPr>
                <w:sz w:val="20"/>
                <w:szCs w:val="20"/>
                <w:color w:val="auto"/>
              </w:rPr>
            </w:pPr>
            <w:r>
              <w:rPr>
                <w:rFonts w:ascii="Arial" w:cs="Arial" w:eastAsia="Arial" w:hAnsi="Arial"/>
                <w:sz w:val="18"/>
                <w:szCs w:val="18"/>
                <w:color w:val="auto"/>
              </w:rPr>
              <w:t>Exercise of stock options</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696</w:t>
            </w:r>
          </w:p>
        </w:tc>
        <w:tc>
          <w:tcPr>
            <w:tcW w:w="28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717</w:t>
            </w:r>
          </w:p>
        </w:tc>
        <w:tc>
          <w:tcPr>
            <w:tcW w:w="300" w:type="dxa"/>
            <w:vAlign w:val="bottom"/>
            <w:tcBorders>
              <w:bottom w:val="single" w:sz="8" w:color="DBE5F1"/>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808080"/>
            </w:tcBorders>
          </w:tcPr>
          <w:p>
            <w:pPr>
              <w:jc w:val="right"/>
              <w:ind w:right="310"/>
              <w:spacing w:after="0"/>
              <w:rPr>
                <w:sz w:val="20"/>
                <w:szCs w:val="20"/>
                <w:color w:val="auto"/>
              </w:rPr>
            </w:pPr>
            <w:r>
              <w:rPr>
                <w:rFonts w:ascii="Arial" w:cs="Arial" w:eastAsia="Arial" w:hAnsi="Arial"/>
                <w:sz w:val="18"/>
                <w:szCs w:val="18"/>
                <w:color w:val="auto"/>
              </w:rPr>
              <w:t>-</w:t>
            </w:r>
          </w:p>
        </w:tc>
      </w:tr>
      <w:tr>
        <w:trPr>
          <w:trHeight w:val="223"/>
        </w:trPr>
        <w:tc>
          <w:tcPr>
            <w:tcW w:w="3600" w:type="dxa"/>
            <w:vAlign w:val="bottom"/>
            <w:tcBorders>
              <w:left w:val="single" w:sz="8" w:color="808080"/>
              <w:bottom w:val="single" w:sz="8" w:color="DBE5F1"/>
            </w:tcBorders>
            <w:shd w:val="clear" w:color="auto" w:fill="DBE5F1"/>
          </w:tcPr>
          <w:p>
            <w:pPr>
              <w:ind w:left="80"/>
              <w:spacing w:after="0" w:line="182" w:lineRule="exact"/>
              <w:rPr>
                <w:sz w:val="20"/>
                <w:szCs w:val="20"/>
                <w:color w:val="auto"/>
              </w:rPr>
            </w:pPr>
            <w:r>
              <w:rPr>
                <w:rFonts w:ascii="Arial" w:cs="Arial" w:eastAsia="Arial" w:hAnsi="Arial"/>
                <w:sz w:val="18"/>
                <w:szCs w:val="18"/>
                <w:color w:val="auto"/>
              </w:rPr>
              <w:t>Balance at end of the period</w:t>
            </w:r>
          </w:p>
        </w:tc>
        <w:tc>
          <w:tcPr>
            <w:tcW w:w="380" w:type="dxa"/>
            <w:vAlign w:val="bottom"/>
            <w:tcBorders>
              <w:bottom w:val="single" w:sz="8" w:color="auto"/>
            </w:tcBorders>
            <w:shd w:val="clear" w:color="auto" w:fill="DBE5F1"/>
          </w:tcPr>
          <w:p>
            <w:pPr>
              <w:jc w:val="right"/>
              <w:ind w:right="13"/>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BE5F1"/>
          </w:tcPr>
          <w:p>
            <w:pPr>
              <w:jc w:val="right"/>
              <w:ind w:right="291"/>
              <w:spacing w:after="0" w:line="182" w:lineRule="exact"/>
              <w:rPr>
                <w:sz w:val="20"/>
                <w:szCs w:val="20"/>
                <w:color w:val="auto"/>
              </w:rPr>
            </w:pPr>
            <w:r>
              <w:rPr>
                <w:rFonts w:ascii="Arial" w:cs="Arial" w:eastAsia="Arial" w:hAnsi="Arial"/>
                <w:sz w:val="18"/>
                <w:szCs w:val="18"/>
                <w:color w:val="auto"/>
              </w:rPr>
              <w:t>34,668</w:t>
            </w:r>
          </w:p>
        </w:tc>
        <w:tc>
          <w:tcPr>
            <w:tcW w:w="28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jc w:val="right"/>
              <w:ind w:right="14"/>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BE5F1"/>
          </w:tcPr>
          <w:p>
            <w:pPr>
              <w:jc w:val="right"/>
              <w:ind w:right="290"/>
              <w:spacing w:after="0" w:line="182" w:lineRule="exact"/>
              <w:rPr>
                <w:sz w:val="20"/>
                <w:szCs w:val="20"/>
                <w:color w:val="auto"/>
              </w:rPr>
            </w:pPr>
            <w:r>
              <w:rPr>
                <w:rFonts w:ascii="Arial" w:cs="Arial" w:eastAsia="Arial" w:hAnsi="Arial"/>
                <w:sz w:val="18"/>
                <w:szCs w:val="18"/>
                <w:color w:val="auto"/>
              </w:rPr>
              <w:t>29,828</w:t>
            </w:r>
          </w:p>
        </w:tc>
        <w:tc>
          <w:tcPr>
            <w:tcW w:w="28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jc w:val="right"/>
              <w:ind w:right="14"/>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BE5F1"/>
          </w:tcPr>
          <w:p>
            <w:pPr>
              <w:jc w:val="right"/>
              <w:ind w:right="291"/>
              <w:spacing w:after="0" w:line="182" w:lineRule="exact"/>
              <w:rPr>
                <w:sz w:val="20"/>
                <w:szCs w:val="20"/>
                <w:color w:val="auto"/>
              </w:rPr>
            </w:pPr>
            <w:r>
              <w:rPr>
                <w:rFonts w:ascii="Arial" w:cs="Arial" w:eastAsia="Arial" w:hAnsi="Arial"/>
                <w:sz w:val="18"/>
                <w:szCs w:val="18"/>
                <w:color w:val="auto"/>
              </w:rPr>
              <w:t>34,668</w:t>
            </w:r>
          </w:p>
        </w:tc>
        <w:tc>
          <w:tcPr>
            <w:tcW w:w="300" w:type="dxa"/>
            <w:vAlign w:val="bottom"/>
            <w:tcBorders>
              <w:bottom w:val="single" w:sz="8" w:color="DBE5F1"/>
            </w:tcBorders>
            <w:shd w:val="clear" w:color="auto" w:fill="DBE5F1"/>
          </w:tcPr>
          <w:p>
            <w:pPr>
              <w:spacing w:after="0"/>
              <w:rPr>
                <w:sz w:val="19"/>
                <w:szCs w:val="19"/>
                <w:color w:val="auto"/>
              </w:rPr>
            </w:pPr>
          </w:p>
        </w:tc>
        <w:tc>
          <w:tcPr>
            <w:tcW w:w="460" w:type="dxa"/>
            <w:vAlign w:val="bottom"/>
            <w:tcBorders>
              <w:bottom w:val="single" w:sz="8" w:color="auto"/>
            </w:tcBorders>
            <w:shd w:val="clear" w:color="auto" w:fill="DBE5F1"/>
          </w:tcPr>
          <w:p>
            <w:pPr>
              <w:jc w:val="right"/>
              <w:ind w:right="114"/>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808080"/>
            </w:tcBorders>
            <w:shd w:val="clear" w:color="auto" w:fill="DBE5F1"/>
          </w:tcPr>
          <w:p>
            <w:pPr>
              <w:jc w:val="right"/>
              <w:ind w:right="310"/>
              <w:spacing w:after="0" w:line="182" w:lineRule="exact"/>
              <w:rPr>
                <w:sz w:val="20"/>
                <w:szCs w:val="20"/>
                <w:color w:val="auto"/>
              </w:rPr>
            </w:pPr>
            <w:r>
              <w:rPr>
                <w:rFonts w:ascii="Arial" w:cs="Arial" w:eastAsia="Arial" w:hAnsi="Arial"/>
                <w:sz w:val="18"/>
                <w:szCs w:val="18"/>
                <w:color w:val="auto"/>
                <w:w w:val="90"/>
              </w:rPr>
              <w:t>29,828</w:t>
            </w:r>
          </w:p>
        </w:tc>
      </w:tr>
      <w:tr>
        <w:trPr>
          <w:trHeight w:val="20"/>
        </w:trPr>
        <w:tc>
          <w:tcPr>
            <w:tcW w:w="3600" w:type="dxa"/>
            <w:vAlign w:val="bottom"/>
            <w:tcBorders>
              <w:left w:val="single" w:sz="8" w:color="808080"/>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920" w:type="dxa"/>
            <w:vAlign w:val="bottom"/>
            <w:tcBorders>
              <w:bottom w:val="single" w:sz="8" w:color="808080"/>
              <w:right w:val="single" w:sz="8" w:color="808080"/>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Other income (expense), net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other income (expense), net are as follows:</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4260" w:type="dxa"/>
            <w:vAlign w:val="bottom"/>
            <w:tcBorders>
              <w:top w:val="single" w:sz="8" w:color="808080"/>
              <w:left w:val="single" w:sz="8" w:color="808080"/>
            </w:tcBorders>
          </w:tcPr>
          <w:p>
            <w:pPr>
              <w:spacing w:after="0"/>
              <w:rPr>
                <w:sz w:val="21"/>
                <w:szCs w:val="21"/>
                <w:color w:val="auto"/>
              </w:rPr>
            </w:pPr>
          </w:p>
        </w:tc>
        <w:tc>
          <w:tcPr>
            <w:tcW w:w="440" w:type="dxa"/>
            <w:vAlign w:val="bottom"/>
            <w:tcBorders>
              <w:top w:val="single" w:sz="8" w:color="808080"/>
              <w:bottom w:val="single" w:sz="8" w:color="auto"/>
            </w:tcBorders>
          </w:tcPr>
          <w:p>
            <w:pPr>
              <w:spacing w:after="0"/>
              <w:rPr>
                <w:sz w:val="21"/>
                <w:szCs w:val="21"/>
                <w:color w:val="auto"/>
              </w:rPr>
            </w:pPr>
          </w:p>
        </w:tc>
        <w:tc>
          <w:tcPr>
            <w:tcW w:w="1600" w:type="dxa"/>
            <w:vAlign w:val="bottom"/>
            <w:tcBorders>
              <w:top w:val="single" w:sz="8" w:color="808080"/>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7"/>
              </w:rPr>
              <w:t>Three months ended</w:t>
            </w:r>
          </w:p>
        </w:tc>
        <w:tc>
          <w:tcPr>
            <w:tcW w:w="540" w:type="dxa"/>
            <w:vAlign w:val="bottom"/>
            <w:tcBorders>
              <w:top w:val="single" w:sz="8" w:color="808080"/>
              <w:bottom w:val="single" w:sz="8" w:color="auto"/>
            </w:tcBorders>
          </w:tcPr>
          <w:p>
            <w:pPr>
              <w:spacing w:after="0"/>
              <w:rPr>
                <w:sz w:val="21"/>
                <w:szCs w:val="21"/>
                <w:color w:val="auto"/>
              </w:rPr>
            </w:pPr>
          </w:p>
        </w:tc>
        <w:tc>
          <w:tcPr>
            <w:tcW w:w="300" w:type="dxa"/>
            <w:vAlign w:val="bottom"/>
            <w:tcBorders>
              <w:top w:val="single" w:sz="8" w:color="808080"/>
            </w:tcBorders>
          </w:tcPr>
          <w:p>
            <w:pPr>
              <w:spacing w:after="0"/>
              <w:rPr>
                <w:sz w:val="21"/>
                <w:szCs w:val="21"/>
                <w:color w:val="auto"/>
              </w:rPr>
            </w:pPr>
          </w:p>
        </w:tc>
        <w:tc>
          <w:tcPr>
            <w:tcW w:w="500" w:type="dxa"/>
            <w:vAlign w:val="bottom"/>
            <w:tcBorders>
              <w:top w:val="single" w:sz="8" w:color="808080"/>
              <w:bottom w:val="single" w:sz="8" w:color="auto"/>
            </w:tcBorders>
          </w:tcPr>
          <w:p>
            <w:pPr>
              <w:spacing w:after="0"/>
              <w:rPr>
                <w:sz w:val="21"/>
                <w:szCs w:val="21"/>
                <w:color w:val="auto"/>
              </w:rPr>
            </w:pPr>
          </w:p>
        </w:tc>
        <w:tc>
          <w:tcPr>
            <w:tcW w:w="1540" w:type="dxa"/>
            <w:vAlign w:val="bottom"/>
            <w:tcBorders>
              <w:top w:val="single" w:sz="8" w:color="808080"/>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tcBorders>
              <w:top w:val="single" w:sz="8" w:color="808080"/>
              <w:bottom w:val="single" w:sz="8" w:color="auto"/>
            </w:tcBorders>
          </w:tcPr>
          <w:p>
            <w:pPr>
              <w:spacing w:after="0"/>
              <w:rPr>
                <w:sz w:val="21"/>
                <w:szCs w:val="21"/>
                <w:color w:val="auto"/>
              </w:rPr>
            </w:pPr>
          </w:p>
        </w:tc>
        <w:tc>
          <w:tcPr>
            <w:tcW w:w="40" w:type="dxa"/>
            <w:vAlign w:val="bottom"/>
            <w:tcBorders>
              <w:top w:val="single" w:sz="8" w:color="808080"/>
              <w:right w:val="single" w:sz="8" w:color="808080"/>
            </w:tcBorders>
          </w:tcPr>
          <w:p>
            <w:pPr>
              <w:spacing w:after="0"/>
              <w:rPr>
                <w:sz w:val="21"/>
                <w:szCs w:val="21"/>
                <w:color w:val="auto"/>
              </w:rPr>
            </w:pPr>
          </w:p>
        </w:tc>
      </w:tr>
      <w:tr>
        <w:trPr>
          <w:trHeight w:val="210"/>
        </w:trPr>
        <w:tc>
          <w:tcPr>
            <w:tcW w:w="4260" w:type="dxa"/>
            <w:vAlign w:val="bottom"/>
            <w:tcBorders>
              <w:left w:val="single" w:sz="8" w:color="808080"/>
            </w:tcBorders>
          </w:tcPr>
          <w:p>
            <w:pPr>
              <w:spacing w:after="0"/>
              <w:rPr>
                <w:sz w:val="18"/>
                <w:szCs w:val="18"/>
                <w:color w:val="auto"/>
              </w:rPr>
            </w:pPr>
          </w:p>
        </w:tc>
        <w:tc>
          <w:tcPr>
            <w:tcW w:w="11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6"/>
                <w:szCs w:val="16"/>
                <w:b w:val="1"/>
                <w:bCs w:val="1"/>
                <w:color w:val="auto"/>
                <w:w w:val="99"/>
              </w:rPr>
              <w:t>June 30, 2011</w:t>
            </w:r>
          </w:p>
        </w:tc>
        <w:tc>
          <w:tcPr>
            <w:tcW w:w="28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June 30, 2010</w:t>
            </w:r>
          </w:p>
        </w:tc>
        <w:tc>
          <w:tcPr>
            <w:tcW w:w="30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6"/>
                <w:szCs w:val="16"/>
                <w:b w:val="1"/>
                <w:bCs w:val="1"/>
                <w:color w:val="auto"/>
              </w:rPr>
              <w:t>June 30, 2011</w:t>
            </w:r>
          </w:p>
        </w:tc>
        <w:tc>
          <w:tcPr>
            <w:tcW w:w="30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June 30, 2010</w:t>
            </w:r>
          </w:p>
        </w:tc>
        <w:tc>
          <w:tcPr>
            <w:tcW w:w="40" w:type="dxa"/>
            <w:vAlign w:val="bottom"/>
            <w:tcBorders>
              <w:right w:val="single" w:sz="8" w:color="808080"/>
            </w:tcBorders>
          </w:tcPr>
          <w:p>
            <w:pPr>
              <w:spacing w:after="0"/>
              <w:rPr>
                <w:sz w:val="18"/>
                <w:szCs w:val="18"/>
                <w:color w:val="auto"/>
              </w:rPr>
            </w:pPr>
          </w:p>
        </w:tc>
      </w:tr>
      <w:tr>
        <w:trPr>
          <w:trHeight w:val="226"/>
        </w:trPr>
        <w:tc>
          <w:tcPr>
            <w:tcW w:w="426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DBE5F1"/>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shd w:val="clear" w:color="auto" w:fill="DBE5F1"/>
          </w:tcPr>
          <w:p>
            <w:pPr>
              <w:jc w:val="right"/>
              <w:ind w:right="131"/>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DBE5F1"/>
          </w:tcPr>
          <w:p>
            <w:pPr>
              <w:jc w:val="right"/>
              <w:ind w:right="214"/>
              <w:spacing w:after="0"/>
              <w:rPr>
                <w:sz w:val="20"/>
                <w:szCs w:val="20"/>
                <w:color w:val="auto"/>
              </w:rPr>
            </w:pPr>
            <w:r>
              <w:rPr>
                <w:rFonts w:ascii="Arial" w:cs="Arial" w:eastAsia="Arial" w:hAnsi="Arial"/>
                <w:sz w:val="18"/>
                <w:szCs w:val="18"/>
                <w:color w:val="auto"/>
              </w:rPr>
              <w:t>$</w:t>
            </w:r>
          </w:p>
        </w:tc>
        <w:tc>
          <w:tcPr>
            <w:tcW w:w="540" w:type="dxa"/>
            <w:vAlign w:val="bottom"/>
            <w:shd w:val="clear" w:color="auto" w:fill="DBE5F1"/>
          </w:tcPr>
          <w:p>
            <w:pPr>
              <w:jc w:val="right"/>
              <w:ind w:right="150"/>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DBE5F1"/>
          </w:tcPr>
          <w:p>
            <w:pPr>
              <w:jc w:val="right"/>
              <w:ind w:right="134"/>
              <w:spacing w:after="0"/>
              <w:rPr>
                <w:sz w:val="20"/>
                <w:szCs w:val="20"/>
                <w:color w:val="auto"/>
              </w:rPr>
            </w:pPr>
            <w:r>
              <w:rPr>
                <w:rFonts w:ascii="Arial" w:cs="Arial" w:eastAsia="Arial" w:hAnsi="Arial"/>
                <w:sz w:val="18"/>
                <w:szCs w:val="18"/>
                <w:color w:val="auto"/>
              </w:rPr>
              <w:t>$</w:t>
            </w:r>
          </w:p>
        </w:tc>
        <w:tc>
          <w:tcPr>
            <w:tcW w:w="700" w:type="dxa"/>
            <w:vAlign w:val="bottom"/>
            <w:shd w:val="clear" w:color="auto" w:fill="DBE5F1"/>
          </w:tcPr>
          <w:p>
            <w:pPr>
              <w:jc w:val="right"/>
              <w:ind w:right="111"/>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DBE5F1"/>
          </w:tcPr>
          <w:p>
            <w:pPr>
              <w:jc w:val="right"/>
              <w:ind w:right="174"/>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50"/>
              <w:spacing w:after="0"/>
              <w:rPr>
                <w:sz w:val="20"/>
                <w:szCs w:val="20"/>
                <w:color w:val="auto"/>
              </w:rPr>
            </w:pPr>
            <w:r>
              <w:rPr>
                <w:rFonts w:ascii="Arial" w:cs="Arial" w:eastAsia="Arial" w:hAnsi="Arial"/>
                <w:sz w:val="18"/>
                <w:szCs w:val="18"/>
                <w:color w:val="auto"/>
              </w:rPr>
              <w:t>27</w:t>
            </w:r>
          </w:p>
        </w:tc>
        <w:tc>
          <w:tcPr>
            <w:tcW w:w="40" w:type="dxa"/>
            <w:vAlign w:val="bottom"/>
            <w:tcBorders>
              <w:right w:val="single" w:sz="8" w:color="808080"/>
            </w:tcBorders>
          </w:tcPr>
          <w:p>
            <w:pPr>
              <w:spacing w:after="0"/>
              <w:rPr>
                <w:sz w:val="19"/>
                <w:szCs w:val="19"/>
                <w:color w:val="auto"/>
              </w:rPr>
            </w:pPr>
          </w:p>
        </w:tc>
      </w:tr>
      <w:tr>
        <w:trPr>
          <w:trHeight w:val="230"/>
        </w:trPr>
        <w:tc>
          <w:tcPr>
            <w:tcW w:w="42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40" w:type="dxa"/>
            <w:vAlign w:val="bottom"/>
            <w:tcBorders>
              <w:right w:val="single" w:sz="8" w:color="808080"/>
            </w:tcBorders>
          </w:tcPr>
          <w:p>
            <w:pPr>
              <w:spacing w:after="0"/>
              <w:rPr>
                <w:sz w:val="19"/>
                <w:szCs w:val="19"/>
                <w:color w:val="auto"/>
              </w:rPr>
            </w:pPr>
          </w:p>
        </w:tc>
      </w:tr>
      <w:tr>
        <w:trPr>
          <w:trHeight w:val="216"/>
        </w:trPr>
        <w:tc>
          <w:tcPr>
            <w:tcW w:w="426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Gain (loss) on disposal of property and equipment</w:t>
            </w:r>
          </w:p>
        </w:tc>
        <w:tc>
          <w:tcPr>
            <w:tcW w:w="440" w:type="dxa"/>
            <w:vAlign w:val="bottom"/>
            <w:shd w:val="clear" w:color="auto" w:fill="DBE5F1"/>
          </w:tcPr>
          <w:p>
            <w:pPr>
              <w:spacing w:after="0"/>
              <w:rPr>
                <w:sz w:val="18"/>
                <w:szCs w:val="18"/>
                <w:color w:val="auto"/>
              </w:rPr>
            </w:pPr>
          </w:p>
        </w:tc>
        <w:tc>
          <w:tcPr>
            <w:tcW w:w="740" w:type="dxa"/>
            <w:vAlign w:val="bottom"/>
            <w:shd w:val="clear" w:color="auto" w:fill="DBE5F1"/>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shd w:val="clear" w:color="auto" w:fill="DBE5F1"/>
          </w:tcPr>
          <w:p>
            <w:pPr>
              <w:spacing w:after="0"/>
              <w:rPr>
                <w:sz w:val="18"/>
                <w:szCs w:val="18"/>
                <w:color w:val="auto"/>
              </w:rPr>
            </w:pPr>
          </w:p>
        </w:tc>
        <w:tc>
          <w:tcPr>
            <w:tcW w:w="580" w:type="dxa"/>
            <w:vAlign w:val="bottom"/>
            <w:shd w:val="clear" w:color="auto" w:fill="DBE5F1"/>
          </w:tcPr>
          <w:p>
            <w:pPr>
              <w:spacing w:after="0"/>
              <w:rPr>
                <w:sz w:val="18"/>
                <w:szCs w:val="18"/>
                <w:color w:val="auto"/>
              </w:rPr>
            </w:pPr>
          </w:p>
        </w:tc>
        <w:tc>
          <w:tcPr>
            <w:tcW w:w="540" w:type="dxa"/>
            <w:vAlign w:val="bottom"/>
            <w:shd w:val="clear" w:color="auto" w:fill="DBE5F1"/>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E5F1"/>
          </w:tcPr>
          <w:p>
            <w:pPr>
              <w:spacing w:after="0"/>
              <w:rPr>
                <w:sz w:val="18"/>
                <w:szCs w:val="18"/>
                <w:color w:val="auto"/>
              </w:rPr>
            </w:pPr>
          </w:p>
        </w:tc>
        <w:tc>
          <w:tcPr>
            <w:tcW w:w="500" w:type="dxa"/>
            <w:vAlign w:val="bottom"/>
            <w:shd w:val="clear" w:color="auto" w:fill="DBE5F1"/>
          </w:tcPr>
          <w:p>
            <w:pPr>
              <w:spacing w:after="0"/>
              <w:rPr>
                <w:sz w:val="18"/>
                <w:szCs w:val="18"/>
                <w:color w:val="auto"/>
              </w:rPr>
            </w:pPr>
          </w:p>
        </w:tc>
        <w:tc>
          <w:tcPr>
            <w:tcW w:w="700" w:type="dxa"/>
            <w:vAlign w:val="bottom"/>
            <w:shd w:val="clear" w:color="auto" w:fill="DBE5F1"/>
          </w:tcPr>
          <w:p>
            <w:pPr>
              <w:jc w:val="right"/>
              <w:ind w:right="111"/>
              <w:spacing w:after="0"/>
              <w:rPr>
                <w:sz w:val="20"/>
                <w:szCs w:val="20"/>
                <w:color w:val="auto"/>
              </w:rPr>
            </w:pPr>
            <w:r>
              <w:rPr>
                <w:rFonts w:ascii="Arial" w:cs="Arial" w:eastAsia="Arial" w:hAnsi="Arial"/>
                <w:sz w:val="18"/>
                <w:szCs w:val="18"/>
                <w:color w:val="auto"/>
              </w:rPr>
              <w:t>-</w:t>
            </w:r>
          </w:p>
        </w:tc>
        <w:tc>
          <w:tcPr>
            <w:tcW w:w="300" w:type="dxa"/>
            <w:vAlign w:val="bottom"/>
            <w:shd w:val="clear" w:color="auto" w:fill="DBE5F1"/>
          </w:tcPr>
          <w:p>
            <w:pPr>
              <w:spacing w:after="0"/>
              <w:rPr>
                <w:sz w:val="18"/>
                <w:szCs w:val="18"/>
                <w:color w:val="auto"/>
              </w:rPr>
            </w:pPr>
          </w:p>
        </w:tc>
        <w:tc>
          <w:tcPr>
            <w:tcW w:w="540" w:type="dxa"/>
            <w:vAlign w:val="bottom"/>
            <w:shd w:val="clear" w:color="auto" w:fill="DBE5F1"/>
          </w:tcPr>
          <w:p>
            <w:pPr>
              <w:spacing w:after="0"/>
              <w:rPr>
                <w:sz w:val="18"/>
                <w:szCs w:val="18"/>
                <w:color w:val="auto"/>
              </w:rPr>
            </w:pPr>
          </w:p>
        </w:tc>
        <w:tc>
          <w:tcPr>
            <w:tcW w:w="660" w:type="dxa"/>
            <w:vAlign w:val="bottom"/>
            <w:shd w:val="clear" w:color="auto" w:fill="DBE5F1"/>
          </w:tcPr>
          <w:p>
            <w:pPr>
              <w:jc w:val="right"/>
              <w:ind w:right="110"/>
              <w:spacing w:after="0"/>
              <w:rPr>
                <w:sz w:val="20"/>
                <w:szCs w:val="20"/>
                <w:color w:val="auto"/>
              </w:rPr>
            </w:pPr>
            <w:r>
              <w:rPr>
                <w:rFonts w:ascii="Arial" w:cs="Arial" w:eastAsia="Arial" w:hAnsi="Arial"/>
                <w:sz w:val="18"/>
                <w:szCs w:val="18"/>
                <w:color w:val="auto"/>
              </w:rPr>
              <w:t>(111)</w:t>
            </w:r>
          </w:p>
        </w:tc>
        <w:tc>
          <w:tcPr>
            <w:tcW w:w="40" w:type="dxa"/>
            <w:vAlign w:val="bottom"/>
            <w:tcBorders>
              <w:right w:val="single" w:sz="8" w:color="808080"/>
            </w:tcBorders>
          </w:tcPr>
          <w:p>
            <w:pPr>
              <w:spacing w:after="0"/>
              <w:rPr>
                <w:sz w:val="18"/>
                <w:szCs w:val="18"/>
                <w:color w:val="auto"/>
              </w:rPr>
            </w:pPr>
          </w:p>
        </w:tc>
      </w:tr>
      <w:tr>
        <w:trPr>
          <w:trHeight w:val="230"/>
        </w:trPr>
        <w:tc>
          <w:tcPr>
            <w:tcW w:w="4260" w:type="dxa"/>
            <w:vAlign w:val="bottom"/>
            <w:tcBorders>
              <w:left w:val="single" w:sz="8" w:color="808080"/>
              <w:bottom w:val="single" w:sz="8" w:color="DBE5F1"/>
            </w:tcBorders>
          </w:tcPr>
          <w:p>
            <w:pPr>
              <w:ind w:left="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DBE5F1"/>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(19)</w:t>
            </w:r>
          </w:p>
        </w:tc>
        <w:tc>
          <w:tcPr>
            <w:tcW w:w="300" w:type="dxa"/>
            <w:vAlign w:val="bottom"/>
            <w:tcBorders>
              <w:bottom w:val="single" w:sz="8" w:color="DBE5F1"/>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DBE5F1"/>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808080"/>
            </w:tcBorders>
          </w:tcPr>
          <w:p>
            <w:pPr>
              <w:spacing w:after="0"/>
              <w:rPr>
                <w:sz w:val="19"/>
                <w:szCs w:val="19"/>
                <w:color w:val="auto"/>
              </w:rPr>
            </w:pPr>
          </w:p>
        </w:tc>
      </w:tr>
      <w:tr>
        <w:trPr>
          <w:trHeight w:val="223"/>
        </w:trPr>
        <w:tc>
          <w:tcPr>
            <w:tcW w:w="4260" w:type="dxa"/>
            <w:vAlign w:val="bottom"/>
            <w:tcBorders>
              <w:left w:val="single" w:sz="8" w:color="808080"/>
              <w:bottom w:val="single" w:sz="8" w:color="DBE5F1"/>
            </w:tcBorders>
            <w:shd w:val="clear" w:color="auto" w:fill="DBE5F1"/>
          </w:tcPr>
          <w:p>
            <w:pPr>
              <w:spacing w:after="0"/>
              <w:rPr>
                <w:sz w:val="19"/>
                <w:szCs w:val="19"/>
                <w:color w:val="auto"/>
              </w:rPr>
            </w:pPr>
          </w:p>
        </w:tc>
        <w:tc>
          <w:tcPr>
            <w:tcW w:w="440" w:type="dxa"/>
            <w:vAlign w:val="bottom"/>
            <w:tcBorders>
              <w:bottom w:val="single" w:sz="8" w:color="auto"/>
            </w:tcBorders>
            <w:shd w:val="clear" w:color="auto" w:fill="DBE5F1"/>
          </w:tcPr>
          <w:p>
            <w:pPr>
              <w:jc w:val="right"/>
              <w:ind w:right="73"/>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DBE5F1"/>
          </w:tcPr>
          <w:p>
            <w:pPr>
              <w:jc w:val="right"/>
              <w:ind w:right="131"/>
              <w:spacing w:after="0" w:line="182" w:lineRule="exact"/>
              <w:rPr>
                <w:sz w:val="20"/>
                <w:szCs w:val="20"/>
                <w:color w:val="auto"/>
              </w:rPr>
            </w:pPr>
            <w:r>
              <w:rPr>
                <w:rFonts w:ascii="Arial" w:cs="Arial" w:eastAsia="Arial" w:hAnsi="Arial"/>
                <w:sz w:val="18"/>
                <w:szCs w:val="18"/>
                <w:color w:val="auto"/>
              </w:rPr>
              <w:t>7</w:t>
            </w:r>
          </w:p>
        </w:tc>
        <w:tc>
          <w:tcPr>
            <w:tcW w:w="280" w:type="dxa"/>
            <w:vAlign w:val="bottom"/>
            <w:tcBorders>
              <w:bottom w:val="single" w:sz="8" w:color="DBE5F1"/>
            </w:tcBorders>
            <w:shd w:val="clear" w:color="auto" w:fill="DBE5F1"/>
          </w:tcPr>
          <w:p>
            <w:pPr>
              <w:spacing w:after="0"/>
              <w:rPr>
                <w:sz w:val="19"/>
                <w:szCs w:val="19"/>
                <w:color w:val="auto"/>
              </w:rPr>
            </w:pPr>
          </w:p>
        </w:tc>
        <w:tc>
          <w:tcPr>
            <w:tcW w:w="580" w:type="dxa"/>
            <w:vAlign w:val="bottom"/>
            <w:tcBorders>
              <w:bottom w:val="single" w:sz="8" w:color="auto"/>
            </w:tcBorders>
            <w:shd w:val="clear" w:color="auto" w:fill="DBE5F1"/>
          </w:tcPr>
          <w:p>
            <w:pPr>
              <w:jc w:val="right"/>
              <w:ind w:right="214"/>
              <w:spacing w:after="0" w:line="18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DBE5F1"/>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DBE5F1"/>
            </w:tcBorders>
            <w:shd w:val="clear" w:color="auto" w:fill="DBE5F1"/>
          </w:tcPr>
          <w:p>
            <w:pPr>
              <w:spacing w:after="0"/>
              <w:rPr>
                <w:sz w:val="19"/>
                <w:szCs w:val="19"/>
                <w:color w:val="auto"/>
              </w:rPr>
            </w:pPr>
          </w:p>
        </w:tc>
        <w:tc>
          <w:tcPr>
            <w:tcW w:w="500" w:type="dxa"/>
            <w:vAlign w:val="bottom"/>
            <w:tcBorders>
              <w:bottom w:val="single" w:sz="8" w:color="auto"/>
            </w:tcBorders>
            <w:shd w:val="clear" w:color="auto" w:fill="DBE5F1"/>
          </w:tcPr>
          <w:p>
            <w:pPr>
              <w:jc w:val="right"/>
              <w:ind w:right="134"/>
              <w:spacing w:after="0" w:line="18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BE5F1"/>
          </w:tcPr>
          <w:p>
            <w:pPr>
              <w:jc w:val="right"/>
              <w:ind w:right="111"/>
              <w:spacing w:after="0" w:line="182" w:lineRule="exact"/>
              <w:rPr>
                <w:sz w:val="20"/>
                <w:szCs w:val="20"/>
                <w:color w:val="auto"/>
              </w:rPr>
            </w:pPr>
            <w:r>
              <w:rPr>
                <w:rFonts w:ascii="Arial" w:cs="Arial" w:eastAsia="Arial" w:hAnsi="Arial"/>
                <w:sz w:val="18"/>
                <w:szCs w:val="18"/>
                <w:color w:val="auto"/>
              </w:rPr>
              <w:t>18</w:t>
            </w:r>
          </w:p>
        </w:tc>
        <w:tc>
          <w:tcPr>
            <w:tcW w:w="30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auto"/>
            </w:tcBorders>
            <w:shd w:val="clear" w:color="auto" w:fill="DBE5F1"/>
          </w:tcPr>
          <w:p>
            <w:pPr>
              <w:jc w:val="right"/>
              <w:ind w:right="174"/>
              <w:spacing w:after="0" w:line="18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DBE5F1"/>
          </w:tcPr>
          <w:p>
            <w:pPr>
              <w:jc w:val="right"/>
              <w:ind w:right="110"/>
              <w:spacing w:after="0" w:line="182" w:lineRule="exact"/>
              <w:rPr>
                <w:sz w:val="20"/>
                <w:szCs w:val="20"/>
                <w:color w:val="auto"/>
              </w:rPr>
            </w:pPr>
            <w:r>
              <w:rPr>
                <w:rFonts w:ascii="Arial" w:cs="Arial" w:eastAsia="Arial" w:hAnsi="Arial"/>
                <w:sz w:val="18"/>
                <w:szCs w:val="18"/>
                <w:color w:val="auto"/>
              </w:rPr>
              <w:t>(132)</w:t>
            </w:r>
          </w:p>
        </w:tc>
        <w:tc>
          <w:tcPr>
            <w:tcW w:w="40" w:type="dxa"/>
            <w:vAlign w:val="bottom"/>
            <w:tcBorders>
              <w:right w:val="single" w:sz="8" w:color="808080"/>
            </w:tcBorders>
          </w:tcPr>
          <w:p>
            <w:pPr>
              <w:spacing w:after="0"/>
              <w:rPr>
                <w:sz w:val="19"/>
                <w:szCs w:val="19"/>
                <w:color w:val="auto"/>
              </w:rPr>
            </w:pPr>
          </w:p>
        </w:tc>
      </w:tr>
      <w:tr>
        <w:trPr>
          <w:trHeight w:val="20"/>
        </w:trPr>
        <w:tc>
          <w:tcPr>
            <w:tcW w:w="4260" w:type="dxa"/>
            <w:vAlign w:val="bottom"/>
            <w:tcBorders>
              <w:left w:val="single" w:sz="8" w:color="808080"/>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59"/>
        <w:spacing w:after="0"/>
        <w:rPr>
          <w:sz w:val="20"/>
          <w:szCs w:val="20"/>
          <w:color w:val="auto"/>
        </w:rPr>
      </w:pPr>
      <w:r>
        <w:rPr>
          <w:rFonts w:ascii="Arial" w:cs="Arial" w:eastAsia="Arial" w:hAnsi="Arial"/>
          <w:sz w:val="22"/>
          <w:szCs w:val="22"/>
          <w:b w:val="1"/>
          <w:bCs w:val="1"/>
          <w:color w:val="auto"/>
        </w:rPr>
        <w:t>(Unaudited – Dollars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Income Taxes</w:t>
      </w:r>
    </w:p>
    <w:p>
      <w:pPr>
        <w:spacing w:after="0" w:line="239"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The total outstanding balance for liabilities related to unrecognized tax benefits at June 30, 2011 was approximately $456 of which $21 was associated with interest and penalties. We account for interest expense and penalties for unrecognized tax benefits as part of our income tax provision.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Subsequent Events</w:t>
      </w:r>
    </w:p>
    <w:p>
      <w:pPr>
        <w:spacing w:after="0" w:line="239"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The Company evaluated its consolidated financial statements as of and for the quarter ended June 30, 2011 for subsequent events through the date the financial statements were issued.</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August 8, 2011, in the litigation related to the theft of ClearOne’s intellectual property, the Tenth Circuit Court of Appeals affirmed in ClearOne’s favor and against Biamp the federal district court’s award of exemplary damages based upon the finding that Biamp’s misappropriation was willful and malicious. The amount of ClearOne’s judgment against Biamp affirmed by the Tenth Circuit Court is estimated to be $3.7 million, not including additional amounts that may be awarded for attorney fees. We expect to collect the judgment against Biamp from the approximately $3.7 million cash bond posted by Biamp. As of the date these financial statements were issued, we have not collected the judgment, and are awaiting any further actions by Biamp.</w:t>
      </w:r>
    </w:p>
    <w:p>
      <w:pPr>
        <w:spacing w:after="0" w:line="178" w:lineRule="exact"/>
        <w:rPr>
          <w:sz w:val="20"/>
          <w:szCs w:val="20"/>
          <w:color w:val="auto"/>
        </w:rPr>
      </w:pPr>
    </w:p>
    <w:p>
      <w:pPr>
        <w:ind w:right="960"/>
        <w:spacing w:after="0" w:line="251" w:lineRule="auto"/>
        <w:rPr>
          <w:sz w:val="20"/>
          <w:szCs w:val="20"/>
          <w:color w:val="auto"/>
        </w:rPr>
      </w:pPr>
      <w:r>
        <w:rPr>
          <w:rFonts w:ascii="Arial" w:cs="Arial" w:eastAsia="Arial" w:hAnsi="Arial"/>
          <w:sz w:val="22"/>
          <w:szCs w:val="22"/>
          <w:color w:val="auto"/>
        </w:rPr>
        <w:t>The Company is not aware of any other subsequent events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ind w:right="94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9"/>
          <w:szCs w:val="19"/>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2010. All subsequent forward-looking statements attributable to us or persons acting on our behalf are expressly qualified in their entirety by these cautionary</w:t>
      </w:r>
    </w:p>
    <w:p>
      <w:pPr>
        <w:spacing w:after="0" w:line="222" w:lineRule="exact"/>
        <w:rPr>
          <w:sz w:val="20"/>
          <w:szCs w:val="20"/>
          <w:color w:val="auto"/>
        </w:rPr>
      </w:pPr>
    </w:p>
    <w:p>
      <w:pPr>
        <w:ind w:right="580"/>
        <w:spacing w:after="0" w:line="237" w:lineRule="auto"/>
        <w:rPr>
          <w:sz w:val="20"/>
          <w:szCs w:val="20"/>
          <w:color w:val="auto"/>
        </w:rPr>
      </w:pPr>
      <w:r>
        <w:rPr>
          <w:rFonts w:ascii="Arial" w:cs="Arial" w:eastAsia="Arial" w:hAnsi="Arial"/>
          <w:sz w:val="22"/>
          <w:szCs w:val="22"/>
          <w:i w:val="1"/>
          <w:iCs w:val="1"/>
          <w:color w:val="auto"/>
        </w:rPr>
        <w:t>statements. Additional factors that may have a direct bearing on our operating results are discussed in Part I, Item 1A “Risk Factors” in our Annual Report on Form 10-K for the year ended December 31, 2010.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226" w:lineRule="exact"/>
        <w:rPr>
          <w:sz w:val="20"/>
          <w:szCs w:val="20"/>
          <w:color w:val="auto"/>
        </w:rPr>
      </w:pPr>
    </w:p>
    <w:p>
      <w:pPr>
        <w:ind w:right="80"/>
        <w:spacing w:after="0" w:line="225" w:lineRule="auto"/>
        <w:rPr>
          <w:sz w:val="20"/>
          <w:szCs w:val="20"/>
          <w:color w:val="auto"/>
        </w:rPr>
      </w:pPr>
      <w:r>
        <w:rPr>
          <w:rFonts w:ascii="Arial" w:cs="Arial" w:eastAsia="Arial" w:hAnsi="Arial"/>
          <w:sz w:val="21"/>
          <w:szCs w:val="21"/>
          <w:color w:val="auto"/>
        </w:rPr>
        <w:t>We are a global communications solutions company that develops and sells conferencing, collaboration, and streaming multimedia systems for audio, video, and web applications. The reliability, flexibility and performance of our advanced and comprehensive solutions enhance the quality of life through better communication, education, and entertainment.</w:t>
      </w:r>
    </w:p>
    <w:p>
      <w:pPr>
        <w:spacing w:after="0" w:line="131" w:lineRule="exact"/>
        <w:rPr>
          <w:sz w:val="20"/>
          <w:szCs w:val="20"/>
          <w:color w:val="auto"/>
        </w:rPr>
      </w:pPr>
    </w:p>
    <w:p>
      <w:pPr>
        <w:spacing w:after="0" w:line="203" w:lineRule="auto"/>
        <w:rPr>
          <w:sz w:val="20"/>
          <w:szCs w:val="20"/>
          <w:color w:val="auto"/>
        </w:rPr>
      </w:pPr>
      <w:r>
        <w:rPr>
          <w:rFonts w:ascii="Arial" w:cs="Arial" w:eastAsia="Arial" w:hAnsi="Arial"/>
          <w:sz w:val="22"/>
          <w:szCs w:val="22"/>
          <w:color w:val="auto"/>
        </w:rPr>
        <w:t>We develop, manufacture, market, and service a comprehensive line of high-quality audio conferencing products for personal use as well as traditional tabletop, mid-tier premium and higher end professional products for both large and small businesses. We occupy the number one global market share position, with nearly 50% market share in the professional audio conferencing market for professional products used by large businesses and organizations such as enterprise, healthcare, education and distance learning, government, legal and finance. Our conferencing solutions save organizations time and money by creating a natural environment for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23" w:lineRule="exact"/>
        <w:rPr>
          <w:sz w:val="20"/>
          <w:szCs w:val="20"/>
          <w:color w:val="auto"/>
        </w:rPr>
      </w:pPr>
    </w:p>
    <w:p>
      <w:pPr>
        <w:ind w:right="20"/>
        <w:spacing w:after="0" w:line="210" w:lineRule="auto"/>
        <w:rPr>
          <w:sz w:val="20"/>
          <w:szCs w:val="20"/>
          <w:color w:val="auto"/>
        </w:rPr>
      </w:pPr>
      <w:r>
        <w:rPr>
          <w:rFonts w:ascii="Arial" w:cs="Arial" w:eastAsia="Arial" w:hAnsi="Arial"/>
          <w:sz w:val="21"/>
          <w:szCs w:val="21"/>
          <w:color w:val="auto"/>
        </w:rPr>
        <w:t xml:space="preserve">NetStreams® DigilinX, the ClearOne brand for residential products, and VIEW™, the ClearOne brand for commercial products, deliver the ultimate IP A/V experience by streaming high definition audio and video (multimedia) and control over TCP/IP networks. ClearOne’s products, designed for commercial and residential use, offer outstanding levels of performance, functionality, simplicity, reliability, and scalability. By combining audio and or video content, meta-data and control signals into one stream, over existing Internet Protocol networks, in harmony with industry standards, ClearOne's newly patented StreamNet® solutions enable the </w:t>
      </w:r>
      <w:r>
        <w:rPr>
          <w:rFonts w:ascii="Arial" w:cs="Arial" w:eastAsia="Arial" w:hAnsi="Arial"/>
          <w:sz w:val="21"/>
          <w:szCs w:val="21"/>
          <w:b w:val="1"/>
          <w:bCs w:val="1"/>
          <w:i w:val="1"/>
          <w:iCs w:val="1"/>
          <w:color w:val="auto"/>
        </w:rPr>
        <w:t>Power of AV over IP</w:t>
      </w:r>
      <w:r>
        <w:rPr>
          <w:rFonts w:ascii="Arial" w:cs="Arial" w:eastAsia="Arial" w:hAnsi="Arial"/>
          <w:sz w:val="21"/>
          <w:szCs w:val="21"/>
          <w:color w:val="auto"/>
        </w:rPr>
        <w:t>™ for bourgeoning markets such as digital signage, enterprise multimedia streaming and home entertainment. Also sold under the NetStreams residential brand are non-IP multimedia distribution solutions for economical multimedia residential streaming applications.</w:t>
      </w:r>
    </w:p>
    <w:p>
      <w:pPr>
        <w:spacing w:after="0" w:line="133" w:lineRule="exact"/>
        <w:rPr>
          <w:sz w:val="20"/>
          <w:szCs w:val="20"/>
          <w:color w:val="auto"/>
        </w:rPr>
      </w:pPr>
    </w:p>
    <w:p>
      <w:pPr>
        <w:ind w:right="480"/>
        <w:spacing w:after="0" w:line="237" w:lineRule="auto"/>
        <w:rPr>
          <w:sz w:val="20"/>
          <w:szCs w:val="20"/>
          <w:color w:val="auto"/>
        </w:rPr>
      </w:pPr>
      <w:r>
        <w:rPr>
          <w:rFonts w:ascii="Arial" w:cs="Arial" w:eastAsia="Arial" w:hAnsi="Arial"/>
          <w:sz w:val="21"/>
          <w:szCs w:val="21"/>
          <w:color w:val="auto"/>
        </w:rPr>
        <w:t>NetStreams' technology is used in a wide variety of applications including digital signage, corporate video streaming, network operations centers, distance education, and venues for hospitality, entertainment and casinos.</w:t>
      </w:r>
    </w:p>
    <w:p>
      <w:pPr>
        <w:spacing w:after="0" w:line="131" w:lineRule="exact"/>
        <w:rPr>
          <w:sz w:val="20"/>
          <w:szCs w:val="20"/>
          <w:color w:val="auto"/>
        </w:rPr>
      </w:pPr>
    </w:p>
    <w:p>
      <w:pPr>
        <w:ind w:right="100"/>
        <w:spacing w:after="0" w:line="203" w:lineRule="auto"/>
        <w:rPr>
          <w:sz w:val="20"/>
          <w:szCs w:val="20"/>
          <w:color w:val="auto"/>
        </w:rPr>
      </w:pPr>
      <w:r>
        <w:rPr>
          <w:rFonts w:ascii="Arial" w:cs="Arial" w:eastAsia="Arial" w:hAnsi="Arial"/>
          <w:sz w:val="22"/>
          <w:szCs w:val="22"/>
          <w:color w:val="auto"/>
        </w:rPr>
        <w:t>NetStreams' patented multimedia and control solutions can synchronously stream virtually any number and any type of digital or analog multimedia audio and or video content sources, including high definition, to virtually an unlimited number of networked endpoints on existing IP networks and infrastructure without the need for centralized switching. In addition, through its ability to combine content and control signals into one data stream, ClearOne’s new multimedia streaming solutions offer new levels of affordability, simplicity, reliability, and scalability, benefiting both installers and end-users with lower costs for installation, set-up, and support.</w:t>
      </w:r>
    </w:p>
    <w:p>
      <w:pPr>
        <w:spacing w:after="0" w:line="134" w:lineRule="exact"/>
        <w:rPr>
          <w:sz w:val="20"/>
          <w:szCs w:val="20"/>
          <w:color w:val="auto"/>
        </w:rPr>
      </w:pPr>
    </w:p>
    <w:p>
      <w:pPr>
        <w:spacing w:after="0" w:line="209" w:lineRule="auto"/>
        <w:rPr>
          <w:sz w:val="20"/>
          <w:szCs w:val="20"/>
          <w:color w:val="auto"/>
        </w:rPr>
      </w:pPr>
      <w:r>
        <w:rPr>
          <w:rFonts w:ascii="Arial" w:cs="Arial" w:eastAsia="Arial" w:hAnsi="Arial"/>
          <w:sz w:val="22"/>
          <w:szCs w:val="22"/>
          <w:color w:val="auto"/>
        </w:rPr>
        <w:t>The combination of NetStreams’ IP networked multimedia and control streaming products and ClearOne’s portfolio of conferencing and collaboration products presents a great fit for bringing complementary products, markets, and sales channels from both organizations, enabling us to provide a comprehensive high definition audio and video solution to better realize the true promise of audiovisual (AV) and information technology (IT) convergence.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auto"/>
        </w:rPr>
        <w:t>Our business goals are to:</w:t>
      </w:r>
    </w:p>
    <w:p>
      <w:pPr>
        <w:ind w:left="660" w:right="960" w:hanging="328"/>
        <w:spacing w:after="0" w:line="230" w:lineRule="auto"/>
        <w:tabs>
          <w:tab w:leader="none" w:pos="633" w:val="left"/>
        </w:tabs>
        <w:numPr>
          <w:ilvl w:val="0"/>
          <w:numId w:val="8"/>
        </w:numPr>
        <w:rPr>
          <w:rFonts w:ascii="Arial" w:cs="Arial" w:eastAsia="Arial" w:hAnsi="Arial"/>
          <w:sz w:val="22"/>
          <w:szCs w:val="22"/>
          <w:color w:val="auto"/>
        </w:rPr>
      </w:pPr>
      <w:r>
        <w:rPr>
          <w:rFonts w:ascii="Arial" w:cs="Arial" w:eastAsia="Arial" w:hAnsi="Arial"/>
          <w:sz w:val="22"/>
          <w:szCs w:val="22"/>
          <w:color w:val="auto"/>
        </w:rPr>
        <w:t>Maintain our global market share leadership of professional audio conferencing products for large businesses and organizations;</w:t>
      </w:r>
    </w:p>
    <w:p>
      <w:pPr>
        <w:spacing w:after="0" w:line="1" w:lineRule="exact"/>
        <w:rPr>
          <w:rFonts w:ascii="Arial" w:cs="Arial" w:eastAsia="Arial" w:hAnsi="Arial"/>
          <w:sz w:val="22"/>
          <w:szCs w:val="22"/>
          <w:color w:val="auto"/>
        </w:rPr>
      </w:pPr>
    </w:p>
    <w:p>
      <w:pPr>
        <w:ind w:left="620" w:hanging="288"/>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Focus on the small and medium business (SMB) market with scaled, lower cost and less complex products and solutions;</w:t>
      </w:r>
    </w:p>
    <w:p>
      <w:pPr>
        <w:spacing w:after="0" w:line="24" w:lineRule="exact"/>
        <w:rPr>
          <w:rFonts w:ascii="Arial" w:cs="Arial" w:eastAsia="Arial" w:hAnsi="Arial"/>
          <w:sz w:val="19"/>
          <w:szCs w:val="19"/>
          <w:color w:val="auto"/>
        </w:rPr>
      </w:pPr>
    </w:p>
    <w:p>
      <w:pPr>
        <w:ind w:left="660" w:right="320" w:hanging="328"/>
        <w:spacing w:after="0" w:line="230" w:lineRule="auto"/>
        <w:tabs>
          <w:tab w:leader="none" w:pos="633" w:val="left"/>
        </w:tabs>
        <w:numPr>
          <w:ilvl w:val="0"/>
          <w:numId w:val="8"/>
        </w:numPr>
        <w:rPr>
          <w:rFonts w:ascii="Arial" w:cs="Arial" w:eastAsia="Arial" w:hAnsi="Arial"/>
          <w:sz w:val="22"/>
          <w:szCs w:val="22"/>
          <w:color w:val="auto"/>
        </w:rPr>
      </w:pPr>
      <w:r>
        <w:rPr>
          <w:rFonts w:ascii="Arial" w:cs="Arial" w:eastAsia="Arial" w:hAnsi="Arial"/>
          <w:sz w:val="22"/>
          <w:szCs w:val="22"/>
          <w:color w:val="auto"/>
        </w:rPr>
        <w:t>Capitalize on the growing adoption of unified communications and introduce new products through entering Information Technology channels;</w:t>
      </w:r>
    </w:p>
    <w:p>
      <w:pPr>
        <w:spacing w:after="0" w:line="1" w:lineRule="exact"/>
        <w:rPr>
          <w:rFonts w:ascii="Arial" w:cs="Arial" w:eastAsia="Arial" w:hAnsi="Arial"/>
          <w:sz w:val="22"/>
          <w:szCs w:val="22"/>
          <w:color w:val="auto"/>
        </w:rPr>
      </w:pPr>
    </w:p>
    <w:p>
      <w:pPr>
        <w:ind w:left="660" w:right="40" w:hanging="328"/>
        <w:spacing w:after="0" w:line="230" w:lineRule="auto"/>
        <w:tabs>
          <w:tab w:leader="none" w:pos="633" w:val="left"/>
        </w:tabs>
        <w:numPr>
          <w:ilvl w:val="0"/>
          <w:numId w:val="8"/>
        </w:numPr>
        <w:rPr>
          <w:rFonts w:ascii="Arial" w:cs="Arial" w:eastAsia="Arial" w:hAnsi="Arial"/>
          <w:sz w:val="22"/>
          <w:szCs w:val="22"/>
          <w:color w:val="auto"/>
        </w:rPr>
      </w:pPr>
      <w:r>
        <w:rPr>
          <w:rFonts w:ascii="Arial" w:cs="Arial" w:eastAsia="Arial" w:hAnsi="Arial"/>
          <w:sz w:val="22"/>
          <w:szCs w:val="22"/>
          <w:color w:val="auto"/>
        </w:rPr>
        <w:t>Partner with large enterprise communications providers worldwide to bring value added products to their solution portfolios and channels; and</w:t>
      </w:r>
    </w:p>
    <w:p>
      <w:pPr>
        <w:spacing w:after="0" w:line="1" w:lineRule="exact"/>
        <w:rPr>
          <w:rFonts w:ascii="Arial" w:cs="Arial" w:eastAsia="Arial" w:hAnsi="Arial"/>
          <w:sz w:val="22"/>
          <w:szCs w:val="22"/>
          <w:color w:val="auto"/>
        </w:rPr>
      </w:pPr>
    </w:p>
    <w:p>
      <w:pPr>
        <w:ind w:left="660" w:right="80" w:hanging="328"/>
        <w:spacing w:after="0" w:line="234" w:lineRule="auto"/>
        <w:tabs>
          <w:tab w:leader="none" w:pos="633" w:val="left"/>
        </w:tabs>
        <w:numPr>
          <w:ilvl w:val="0"/>
          <w:numId w:val="8"/>
        </w:numPr>
        <w:rPr>
          <w:rFonts w:ascii="Arial" w:cs="Arial" w:eastAsia="Arial" w:hAnsi="Arial"/>
          <w:sz w:val="22"/>
          <w:szCs w:val="22"/>
          <w:color w:val="auto"/>
        </w:rPr>
      </w:pPr>
      <w:r>
        <w:rPr>
          <w:rFonts w:ascii="Arial" w:cs="Arial" w:eastAsia="Arial" w:hAnsi="Arial"/>
          <w:sz w:val="22"/>
          <w:szCs w:val="22"/>
          <w:color w:val="auto"/>
        </w:rPr>
        <w:t>Capitalize on the convergence of AV over IP by integrating NetStreams and ClearOne core technologies to provide new solutions that reach deeper into the enterprise infrastructure and bring clear, differentiated value to both the practitioner and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23" w:lineRule="exact"/>
        <w:rPr>
          <w:sz w:val="20"/>
          <w:szCs w:val="20"/>
          <w:color w:val="auto"/>
        </w:rPr>
      </w:pPr>
    </w:p>
    <w:p>
      <w:pPr>
        <w:ind w:right="320"/>
        <w:spacing w:after="0" w:line="226" w:lineRule="auto"/>
        <w:rPr>
          <w:sz w:val="20"/>
          <w:szCs w:val="20"/>
          <w:color w:val="auto"/>
        </w:rPr>
      </w:pPr>
      <w:r>
        <w:rPr>
          <w:rFonts w:ascii="Arial" w:cs="Arial" w:eastAsia="Arial" w:hAnsi="Arial"/>
          <w:sz w:val="22"/>
          <w:szCs w:val="22"/>
          <w:color w:val="auto"/>
        </w:rPr>
        <w:t>We will continue to improve our existing high-quality products and develop new products for the bourgeoning conferencing and collaboration, and multimedia streaming markets and focus on the following strategic initiatives:</w:t>
      </w:r>
    </w:p>
    <w:p>
      <w:pPr>
        <w:spacing w:after="0" w:line="145" w:lineRule="exact"/>
        <w:rPr>
          <w:sz w:val="20"/>
          <w:szCs w:val="20"/>
          <w:color w:val="auto"/>
        </w:rPr>
      </w:pPr>
    </w:p>
    <w:p>
      <w:pPr>
        <w:ind w:left="620" w:hanging="288"/>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Provide a superior conferencing and collaboration experience;</w:t>
      </w:r>
    </w:p>
    <w:p>
      <w:pPr>
        <w:spacing w:after="0" w:line="8"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Provide significant impact on how multimedia and control are distributed;</w:t>
      </w: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Offer greater value to our customers and partners;</w:t>
      </w: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Leverage and extend ClearOne technology leadership and innovation;</w:t>
      </w: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Expand and strengthen sales channels;</w:t>
      </w: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Broaden our product offerings;</w:t>
      </w: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Develop strategic partnerships; and</w:t>
      </w:r>
    </w:p>
    <w:p>
      <w:pPr>
        <w:ind w:left="620" w:hanging="288"/>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Strengthen existing customer and partner relationships through dedicated support</w:t>
      </w:r>
    </w:p>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Our revenues were $11.9 million and $22.6 million during the three and six months ended June 30, 2011 compared to $9.9 million and $18.3 million during the three and six months ended June 30, 2010. Revenues increased by 20% and 23% during the three and six months ended June 30, 2011 respectively over the comparable periods of 2010. Our gross profit increased by $1.5 million and $2.6 million during the three and six months ended June 30, 2011 respectively compared to the three and six months ended June 30, 2010. Net income also increased by $968,000 and $1.6 million during the three and six months ended June 30, 2011 respectively compared to the three and six months ended June 30, 2010.</w:t>
      </w:r>
    </w:p>
    <w:p>
      <w:pPr>
        <w:spacing w:after="0" w:line="20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increase in revenues and profits in the three and six months ended June 30, 2011 were the result of an increase in demand for our professional and premium products, especially in North America and Asia. We expect to continue year over year growth in both revenues and profits in the near future. However, we will monitor closely the effects of any potential adverse global economic events and continue our existing measures to control costs and invest in strategic products and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A detailed discussion of our results of operations follows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quarters ended June 30, 2011, and 2010, and six months ended June 30, 2011, and 2010</w:t>
      </w:r>
    </w:p>
    <w:p>
      <w:pPr>
        <w:spacing w:after="0" w:line="268" w:lineRule="exact"/>
        <w:rPr>
          <w:sz w:val="20"/>
          <w:szCs w:val="20"/>
          <w:color w:val="auto"/>
        </w:rPr>
      </w:pPr>
    </w:p>
    <w:p>
      <w:pPr>
        <w:ind w:right="680"/>
        <w:spacing w:after="0" w:line="258" w:lineRule="auto"/>
        <w:rPr>
          <w:sz w:val="20"/>
          <w:szCs w:val="20"/>
          <w:color w:val="auto"/>
        </w:rPr>
      </w:pPr>
      <w:r>
        <w:rPr>
          <w:rFonts w:ascii="Arial" w:cs="Arial" w:eastAsia="Arial" w:hAnsi="Arial"/>
          <w:sz w:val="21"/>
          <w:szCs w:val="21"/>
          <w:color w:val="auto"/>
        </w:rPr>
        <w:t>The following table sets forth certain items from our unaudited condensed consolidated statements of operations (dollars in thousands) for the quarters ended June 30, 2011 and 2010 respectively, and the six months ended June 30, 2011 and 2010 respectively, together with the percentage of total revenue which each such item represents:</w:t>
      </w:r>
    </w:p>
    <w:p>
      <w:pPr>
        <w:spacing w:after="0" w:line="200" w:lineRule="exact"/>
        <w:rPr>
          <w:sz w:val="20"/>
          <w:szCs w:val="20"/>
          <w:color w:val="auto"/>
        </w:rPr>
      </w:pPr>
    </w:p>
    <w:p>
      <w:pPr>
        <w:spacing w:after="0" w:line="248" w:lineRule="exact"/>
        <w:rPr>
          <w:sz w:val="20"/>
          <w:szCs w:val="20"/>
          <w:color w:val="auto"/>
        </w:rPr>
      </w:pPr>
    </w:p>
    <w:tbl>
      <w:tblPr>
        <w:tblLayout w:type="fixed"/>
        <w:tblInd w:w="30" w:type="dxa"/>
        <w:tblCellMar>
          <w:top w:w="0" w:type="dxa"/>
          <w:left w:w="0" w:type="dxa"/>
          <w:bottom w:w="0" w:type="dxa"/>
          <w:right w:w="0" w:type="dxa"/>
        </w:tblCellMar>
      </w:tblPr>
      <w:tr>
        <w:trPr>
          <w:trHeight w:val="233"/>
        </w:trPr>
        <w:tc>
          <w:tcPr>
            <w:tcW w:w="2480" w:type="dxa"/>
            <w:vAlign w:val="bottom"/>
            <w:tcBorders>
              <w:top w:val="single" w:sz="8" w:color="808080"/>
              <w:left w:val="single" w:sz="8" w:color="808080"/>
            </w:tcBorders>
          </w:tcPr>
          <w:p>
            <w:pPr>
              <w:spacing w:after="0"/>
              <w:rPr>
                <w:sz w:val="20"/>
                <w:szCs w:val="20"/>
                <w:color w:val="auto"/>
              </w:rPr>
            </w:pPr>
          </w:p>
        </w:tc>
        <w:tc>
          <w:tcPr>
            <w:tcW w:w="200" w:type="dxa"/>
            <w:vAlign w:val="bottom"/>
            <w:tcBorders>
              <w:top w:val="single" w:sz="8" w:color="808080"/>
              <w:bottom w:val="single" w:sz="8" w:color="auto"/>
            </w:tcBorders>
          </w:tcPr>
          <w:p>
            <w:pPr>
              <w:spacing w:after="0"/>
              <w:rPr>
                <w:sz w:val="20"/>
                <w:szCs w:val="20"/>
                <w:color w:val="auto"/>
              </w:rPr>
            </w:pPr>
          </w:p>
        </w:tc>
        <w:tc>
          <w:tcPr>
            <w:tcW w:w="640" w:type="dxa"/>
            <w:vAlign w:val="bottom"/>
            <w:tcBorders>
              <w:top w:val="single" w:sz="8" w:color="808080"/>
              <w:bottom w:val="single" w:sz="8" w:color="auto"/>
            </w:tcBorders>
          </w:tcPr>
          <w:p>
            <w:pPr>
              <w:spacing w:after="0"/>
              <w:rPr>
                <w:sz w:val="20"/>
                <w:szCs w:val="20"/>
                <w:color w:val="auto"/>
              </w:rPr>
            </w:pPr>
          </w:p>
        </w:tc>
        <w:tc>
          <w:tcPr>
            <w:tcW w:w="120" w:type="dxa"/>
            <w:vAlign w:val="bottom"/>
            <w:tcBorders>
              <w:top w:val="single" w:sz="8" w:color="808080"/>
              <w:bottom w:val="single" w:sz="8" w:color="auto"/>
            </w:tcBorders>
          </w:tcPr>
          <w:p>
            <w:pPr>
              <w:spacing w:after="0"/>
              <w:rPr>
                <w:sz w:val="20"/>
                <w:szCs w:val="20"/>
                <w:color w:val="auto"/>
              </w:rPr>
            </w:pPr>
          </w:p>
        </w:tc>
        <w:tc>
          <w:tcPr>
            <w:tcW w:w="2500" w:type="dxa"/>
            <w:vAlign w:val="bottom"/>
            <w:tcBorders>
              <w:top w:val="single" w:sz="8" w:color="808080"/>
              <w:bottom w:val="single" w:sz="8" w:color="auto"/>
            </w:tcBorders>
            <w:gridSpan w:val="6"/>
          </w:tcPr>
          <w:p>
            <w:pPr>
              <w:jc w:val="right"/>
              <w:ind w:right="343"/>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Borders>
              <w:top w:val="single" w:sz="8" w:color="808080"/>
              <w:bottom w:val="single" w:sz="8" w:color="auto"/>
            </w:tcBorders>
          </w:tcPr>
          <w:p>
            <w:pPr>
              <w:spacing w:after="0"/>
              <w:rPr>
                <w:sz w:val="20"/>
                <w:szCs w:val="20"/>
                <w:color w:val="auto"/>
              </w:rPr>
            </w:pPr>
          </w:p>
        </w:tc>
        <w:tc>
          <w:tcPr>
            <w:tcW w:w="660" w:type="dxa"/>
            <w:vAlign w:val="bottom"/>
            <w:tcBorders>
              <w:top w:val="single" w:sz="8" w:color="808080"/>
              <w:bottom w:val="single" w:sz="8" w:color="auto"/>
            </w:tcBorders>
          </w:tcPr>
          <w:p>
            <w:pPr>
              <w:spacing w:after="0"/>
              <w:rPr>
                <w:sz w:val="20"/>
                <w:szCs w:val="20"/>
                <w:color w:val="auto"/>
              </w:rPr>
            </w:pPr>
          </w:p>
        </w:tc>
        <w:tc>
          <w:tcPr>
            <w:tcW w:w="160" w:type="dxa"/>
            <w:vAlign w:val="bottom"/>
            <w:tcBorders>
              <w:top w:val="single" w:sz="8" w:color="808080"/>
            </w:tcBorders>
          </w:tcPr>
          <w:p>
            <w:pPr>
              <w:spacing w:after="0"/>
              <w:rPr>
                <w:sz w:val="20"/>
                <w:szCs w:val="20"/>
                <w:color w:val="auto"/>
              </w:rPr>
            </w:pPr>
          </w:p>
        </w:tc>
        <w:tc>
          <w:tcPr>
            <w:tcW w:w="200" w:type="dxa"/>
            <w:vAlign w:val="bottom"/>
            <w:tcBorders>
              <w:top w:val="single" w:sz="8" w:color="808080"/>
              <w:bottom w:val="single" w:sz="8" w:color="auto"/>
            </w:tcBorders>
          </w:tcPr>
          <w:p>
            <w:pPr>
              <w:spacing w:after="0"/>
              <w:rPr>
                <w:sz w:val="20"/>
                <w:szCs w:val="20"/>
                <w:color w:val="auto"/>
              </w:rPr>
            </w:pPr>
          </w:p>
        </w:tc>
        <w:tc>
          <w:tcPr>
            <w:tcW w:w="640" w:type="dxa"/>
            <w:vAlign w:val="bottom"/>
            <w:tcBorders>
              <w:top w:val="single" w:sz="8" w:color="808080"/>
              <w:bottom w:val="single" w:sz="8" w:color="auto"/>
            </w:tcBorders>
          </w:tcPr>
          <w:p>
            <w:pPr>
              <w:spacing w:after="0"/>
              <w:rPr>
                <w:sz w:val="20"/>
                <w:szCs w:val="20"/>
                <w:color w:val="auto"/>
              </w:rPr>
            </w:pPr>
          </w:p>
        </w:tc>
        <w:tc>
          <w:tcPr>
            <w:tcW w:w="120" w:type="dxa"/>
            <w:vAlign w:val="bottom"/>
            <w:tcBorders>
              <w:top w:val="single" w:sz="8" w:color="808080"/>
              <w:bottom w:val="single" w:sz="8" w:color="auto"/>
            </w:tcBorders>
          </w:tcPr>
          <w:p>
            <w:pPr>
              <w:spacing w:after="0"/>
              <w:rPr>
                <w:sz w:val="20"/>
                <w:szCs w:val="20"/>
                <w:color w:val="auto"/>
              </w:rPr>
            </w:pPr>
          </w:p>
        </w:tc>
        <w:tc>
          <w:tcPr>
            <w:tcW w:w="2540" w:type="dxa"/>
            <w:vAlign w:val="bottom"/>
            <w:tcBorders>
              <w:top w:val="single" w:sz="8" w:color="808080"/>
              <w:bottom w:val="single" w:sz="8" w:color="auto"/>
            </w:tcBorders>
            <w:gridSpan w:val="6"/>
          </w:tcPr>
          <w:p>
            <w:pPr>
              <w:jc w:val="right"/>
              <w:ind w:right="442"/>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Borders>
              <w:top w:val="single" w:sz="8" w:color="808080"/>
              <w:bottom w:val="single" w:sz="8" w:color="auto"/>
            </w:tcBorders>
          </w:tcPr>
          <w:p>
            <w:pPr>
              <w:spacing w:after="0"/>
              <w:rPr>
                <w:sz w:val="20"/>
                <w:szCs w:val="20"/>
                <w:color w:val="auto"/>
              </w:rPr>
            </w:pPr>
          </w:p>
        </w:tc>
        <w:tc>
          <w:tcPr>
            <w:tcW w:w="700" w:type="dxa"/>
            <w:vAlign w:val="bottom"/>
            <w:tcBorders>
              <w:top w:val="single" w:sz="8" w:color="808080"/>
              <w:bottom w:val="single" w:sz="8" w:color="auto"/>
            </w:tcBorders>
          </w:tcPr>
          <w:p>
            <w:pPr>
              <w:spacing w:after="0"/>
              <w:rPr>
                <w:sz w:val="20"/>
                <w:szCs w:val="20"/>
                <w:color w:val="auto"/>
              </w:rPr>
            </w:pPr>
          </w:p>
        </w:tc>
        <w:tc>
          <w:tcPr>
            <w:tcW w:w="40" w:type="dxa"/>
            <w:vAlign w:val="bottom"/>
            <w:tcBorders>
              <w:top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480" w:type="dxa"/>
            <w:vAlign w:val="bottom"/>
            <w:tcBorders>
              <w:left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0"/>
                <w:szCs w:val="10"/>
                <w:color w:val="auto"/>
              </w:rPr>
            </w:pPr>
          </w:p>
        </w:tc>
        <w:tc>
          <w:tcPr>
            <w:tcW w:w="72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6"/>
              </w:rPr>
              <w:t>2010</w:t>
            </w:r>
          </w:p>
        </w:tc>
        <w:tc>
          <w:tcPr>
            <w:tcW w:w="140" w:type="dxa"/>
            <w:vAlign w:val="bottom"/>
          </w:tcPr>
          <w:p>
            <w:pPr>
              <w:spacing w:after="0"/>
              <w:rPr>
                <w:sz w:val="10"/>
                <w:szCs w:val="10"/>
                <w:color w:val="auto"/>
              </w:rPr>
            </w:pPr>
          </w:p>
        </w:tc>
        <w:tc>
          <w:tcPr>
            <w:tcW w:w="740" w:type="dxa"/>
            <w:vAlign w:val="bottom"/>
          </w:tcPr>
          <w:p>
            <w:pPr>
              <w:jc w:val="right"/>
              <w:ind w:right="143"/>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0"/>
                <w:szCs w:val="10"/>
                <w:color w:val="auto"/>
              </w:rPr>
            </w:pPr>
          </w:p>
        </w:tc>
        <w:tc>
          <w:tcPr>
            <w:tcW w:w="740" w:type="dxa"/>
            <w:vAlign w:val="bottom"/>
          </w:tcPr>
          <w:p>
            <w:pPr>
              <w:jc w:val="right"/>
              <w:ind w:right="143"/>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0"/>
                <w:szCs w:val="10"/>
                <w:color w:val="auto"/>
              </w:rPr>
            </w:pPr>
          </w:p>
        </w:tc>
        <w:tc>
          <w:tcPr>
            <w:tcW w:w="70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tcBorders>
              <w:left w:val="single" w:sz="8" w:color="808080"/>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9"/>
              </w:rPr>
              <w:t>Revenue</w:t>
            </w:r>
          </w:p>
        </w:tc>
        <w:tc>
          <w:tcPr>
            <w:tcW w:w="1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DBE5F1"/>
          </w:tcPr>
          <w:p>
            <w:pPr>
              <w:jc w:val="right"/>
              <w:ind w:right="100"/>
              <w:spacing w:after="0"/>
              <w:rPr>
                <w:sz w:val="20"/>
                <w:szCs w:val="20"/>
                <w:color w:val="auto"/>
              </w:rPr>
            </w:pPr>
            <w:r>
              <w:rPr>
                <w:rFonts w:ascii="Arial" w:cs="Arial" w:eastAsia="Arial" w:hAnsi="Arial"/>
                <w:sz w:val="16"/>
                <w:szCs w:val="16"/>
                <w:color w:val="auto"/>
                <w:w w:val="89"/>
              </w:rPr>
              <w:t>11,890</w:t>
            </w:r>
          </w:p>
        </w:tc>
        <w:tc>
          <w:tcPr>
            <w:tcW w:w="840" w:type="dxa"/>
            <w:vAlign w:val="bottom"/>
            <w:gridSpan w:val="2"/>
            <w:shd w:val="clear" w:color="auto" w:fill="DBE5F1"/>
          </w:tcPr>
          <w:p>
            <w:pPr>
              <w:jc w:val="right"/>
              <w:ind w:right="104"/>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DBE5F1"/>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w w:val="94"/>
              </w:rPr>
              <w:t>9,937</w:t>
            </w:r>
          </w:p>
        </w:tc>
        <w:tc>
          <w:tcPr>
            <w:tcW w:w="880" w:type="dxa"/>
            <w:vAlign w:val="bottom"/>
            <w:gridSpan w:val="2"/>
            <w:shd w:val="clear" w:color="auto" w:fill="DBE5F1"/>
          </w:tcPr>
          <w:p>
            <w:pPr>
              <w:jc w:val="right"/>
              <w:ind w:right="103"/>
              <w:spacing w:after="0"/>
              <w:rPr>
                <w:sz w:val="20"/>
                <w:szCs w:val="20"/>
                <w:color w:val="auto"/>
              </w:rPr>
            </w:pPr>
            <w:r>
              <w:rPr>
                <w:rFonts w:ascii="Arial" w:cs="Arial" w:eastAsia="Arial" w:hAnsi="Arial"/>
                <w:sz w:val="16"/>
                <w:szCs w:val="16"/>
                <w:color w:val="auto"/>
              </w:rPr>
              <w:t>100%</w:t>
            </w:r>
          </w:p>
        </w:tc>
        <w:tc>
          <w:tcPr>
            <w:tcW w:w="820" w:type="dxa"/>
            <w:vAlign w:val="bottom"/>
            <w:gridSpan w:val="2"/>
            <w:shd w:val="clear" w:color="auto" w:fill="DBE5F1"/>
          </w:tcPr>
          <w:p>
            <w:pPr>
              <w:jc w:val="right"/>
              <w:ind w:right="41"/>
              <w:spacing w:after="0"/>
              <w:rPr>
                <w:sz w:val="20"/>
                <w:szCs w:val="20"/>
                <w:color w:val="auto"/>
              </w:rPr>
            </w:pPr>
            <w:r>
              <w:rPr>
                <w:rFonts w:ascii="Arial" w:cs="Arial" w:eastAsia="Arial" w:hAnsi="Arial"/>
                <w:sz w:val="16"/>
                <w:szCs w:val="16"/>
                <w:color w:val="auto"/>
              </w:rPr>
              <w:t>20%</w:t>
            </w:r>
          </w:p>
        </w:tc>
        <w:tc>
          <w:tcPr>
            <w:tcW w:w="360" w:type="dxa"/>
            <w:vAlign w:val="bottom"/>
            <w:gridSpan w:val="2"/>
            <w:shd w:val="clear" w:color="auto" w:fill="DBE5F1"/>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w w:val="93"/>
              </w:rPr>
              <w:t>22,591</w:t>
            </w:r>
          </w:p>
        </w:tc>
        <w:tc>
          <w:tcPr>
            <w:tcW w:w="86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100%</w:t>
            </w:r>
          </w:p>
        </w:tc>
        <w:tc>
          <w:tcPr>
            <w:tcW w:w="320" w:type="dxa"/>
            <w:vAlign w:val="bottom"/>
            <w:gridSpan w:val="2"/>
            <w:shd w:val="clear" w:color="auto" w:fill="DBE5F1"/>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w w:val="93"/>
              </w:rPr>
              <w:t>18,293</w:t>
            </w:r>
          </w:p>
        </w:tc>
        <w:tc>
          <w:tcPr>
            <w:tcW w:w="84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100%</w:t>
            </w:r>
          </w:p>
        </w:tc>
        <w:tc>
          <w:tcPr>
            <w:tcW w:w="840" w:type="dxa"/>
            <w:vAlign w:val="bottom"/>
            <w:gridSpan w:val="2"/>
            <w:shd w:val="clear" w:color="auto" w:fill="DBE5F1"/>
          </w:tcPr>
          <w:p>
            <w:pPr>
              <w:jc w:val="right"/>
              <w:ind w:right="1"/>
              <w:spacing w:after="0"/>
              <w:rPr>
                <w:sz w:val="20"/>
                <w:szCs w:val="20"/>
                <w:color w:val="auto"/>
              </w:rPr>
            </w:pPr>
            <w:r>
              <w:rPr>
                <w:rFonts w:ascii="Arial" w:cs="Arial" w:eastAsia="Arial" w:hAnsi="Arial"/>
                <w:sz w:val="16"/>
                <w:szCs w:val="16"/>
                <w:color w:val="auto"/>
              </w:rPr>
              <w:t>23%</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left w:val="single" w:sz="8" w:color="808080"/>
              <w:bottom w:val="single" w:sz="8" w:color="DBE5F1"/>
            </w:tcBorders>
          </w:tcPr>
          <w:p>
            <w:pPr>
              <w:ind w:left="8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4,734</w:t>
            </w:r>
          </w:p>
        </w:tc>
        <w:tc>
          <w:tcPr>
            <w:tcW w:w="120" w:type="dxa"/>
            <w:vAlign w:val="bottom"/>
            <w:tcBorders>
              <w:bottom w:val="single" w:sz="8" w:color="DBE5F1"/>
            </w:tcBorders>
          </w:tcPr>
          <w:p>
            <w:pPr>
              <w:spacing w:after="0"/>
              <w:rPr>
                <w:sz w:val="18"/>
                <w:szCs w:val="18"/>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DBE5F1"/>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4"/>
              </w:rPr>
              <w:t>4,276</w:t>
            </w:r>
          </w:p>
        </w:tc>
        <w:tc>
          <w:tcPr>
            <w:tcW w:w="140" w:type="dxa"/>
            <w:vAlign w:val="bottom"/>
            <w:tcBorders>
              <w:bottom w:val="single" w:sz="8" w:color="DBE5F1"/>
            </w:tcBorders>
          </w:tcPr>
          <w:p>
            <w:pPr>
              <w:spacing w:after="0"/>
              <w:rPr>
                <w:sz w:val="18"/>
                <w:szCs w:val="18"/>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43%</w:t>
            </w:r>
          </w:p>
        </w:tc>
        <w:tc>
          <w:tcPr>
            <w:tcW w:w="820" w:type="dxa"/>
            <w:vAlign w:val="bottom"/>
            <w:tcBorders>
              <w:bottom w:val="single" w:sz="8" w:color="DBE5F1"/>
            </w:tcBorders>
            <w:gridSpan w:val="2"/>
          </w:tcPr>
          <w:p>
            <w:pPr>
              <w:jc w:val="right"/>
              <w:ind w:right="41"/>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DBE5F1"/>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9,133</w:t>
            </w:r>
          </w:p>
        </w:tc>
        <w:tc>
          <w:tcPr>
            <w:tcW w:w="120" w:type="dxa"/>
            <w:vAlign w:val="bottom"/>
            <w:tcBorders>
              <w:bottom w:val="single" w:sz="8" w:color="DBE5F1"/>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DBE5F1"/>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7,437</w:t>
            </w:r>
          </w:p>
        </w:tc>
        <w:tc>
          <w:tcPr>
            <w:tcW w:w="140" w:type="dxa"/>
            <w:vAlign w:val="bottom"/>
            <w:tcBorders>
              <w:bottom w:val="single" w:sz="8" w:color="DBE5F1"/>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40" w:type="dxa"/>
            <w:vAlign w:val="bottom"/>
            <w:tcBorders>
              <w:bottom w:val="single" w:sz="8" w:color="DBE5F1"/>
            </w:tcBorders>
            <w:gridSpan w:val="2"/>
          </w:tcPr>
          <w:p>
            <w:pPr>
              <w:jc w:val="right"/>
              <w:ind w:right="1"/>
              <w:spacing w:after="0"/>
              <w:rPr>
                <w:sz w:val="20"/>
                <w:szCs w:val="20"/>
                <w:color w:val="auto"/>
              </w:rPr>
            </w:pPr>
            <w:r>
              <w:rPr>
                <w:rFonts w:ascii="Arial" w:cs="Arial" w:eastAsia="Arial" w:hAnsi="Arial"/>
                <w:sz w:val="16"/>
                <w:szCs w:val="16"/>
                <w:color w:val="auto"/>
              </w:rPr>
              <w:t>-23%</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Borders>
              <w:left w:val="single" w:sz="8" w:color="808080"/>
            </w:tcBorders>
            <w:shd w:val="clear" w:color="auto" w:fill="DBE5F1"/>
          </w:tcPr>
          <w:p>
            <w:pPr>
              <w:ind w:left="2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DBE5F1"/>
          </w:tcPr>
          <w:p>
            <w:pPr>
              <w:spacing w:after="0"/>
              <w:rPr>
                <w:sz w:val="17"/>
                <w:szCs w:val="17"/>
                <w:color w:val="auto"/>
              </w:rPr>
            </w:pPr>
          </w:p>
        </w:tc>
        <w:tc>
          <w:tcPr>
            <w:tcW w:w="640" w:type="dxa"/>
            <w:vAlign w:val="bottom"/>
            <w:shd w:val="clear" w:color="auto" w:fill="DBE5F1"/>
          </w:tcPr>
          <w:p>
            <w:pPr>
              <w:jc w:val="right"/>
              <w:ind w:right="100"/>
              <w:spacing w:after="0"/>
              <w:rPr>
                <w:sz w:val="20"/>
                <w:szCs w:val="20"/>
                <w:color w:val="auto"/>
              </w:rPr>
            </w:pPr>
            <w:r>
              <w:rPr>
                <w:rFonts w:ascii="Arial" w:cs="Arial" w:eastAsia="Arial" w:hAnsi="Arial"/>
                <w:sz w:val="16"/>
                <w:szCs w:val="16"/>
                <w:color w:val="auto"/>
              </w:rPr>
              <w:t>7,156</w:t>
            </w:r>
          </w:p>
        </w:tc>
        <w:tc>
          <w:tcPr>
            <w:tcW w:w="840" w:type="dxa"/>
            <w:vAlign w:val="bottom"/>
            <w:gridSpan w:val="2"/>
            <w:shd w:val="clear" w:color="auto" w:fill="DBE5F1"/>
          </w:tcPr>
          <w:p>
            <w:pPr>
              <w:jc w:val="right"/>
              <w:ind w:right="104"/>
              <w:spacing w:after="0"/>
              <w:rPr>
                <w:sz w:val="20"/>
                <w:szCs w:val="20"/>
                <w:color w:val="auto"/>
              </w:rPr>
            </w:pPr>
            <w:r>
              <w:rPr>
                <w:rFonts w:ascii="Arial" w:cs="Arial" w:eastAsia="Arial" w:hAnsi="Arial"/>
                <w:sz w:val="16"/>
                <w:szCs w:val="16"/>
                <w:color w:val="auto"/>
              </w:rPr>
              <w:t>60%</w:t>
            </w:r>
          </w:p>
        </w:tc>
        <w:tc>
          <w:tcPr>
            <w:tcW w:w="14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56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w w:val="94"/>
              </w:rPr>
              <w:t>5,661</w:t>
            </w:r>
          </w:p>
        </w:tc>
        <w:tc>
          <w:tcPr>
            <w:tcW w:w="880" w:type="dxa"/>
            <w:vAlign w:val="bottom"/>
            <w:gridSpan w:val="2"/>
            <w:shd w:val="clear" w:color="auto" w:fill="DBE5F1"/>
          </w:tcPr>
          <w:p>
            <w:pPr>
              <w:jc w:val="right"/>
              <w:ind w:right="103"/>
              <w:spacing w:after="0"/>
              <w:rPr>
                <w:sz w:val="20"/>
                <w:szCs w:val="20"/>
                <w:color w:val="auto"/>
              </w:rPr>
            </w:pPr>
            <w:r>
              <w:rPr>
                <w:rFonts w:ascii="Arial" w:cs="Arial" w:eastAsia="Arial" w:hAnsi="Arial"/>
                <w:sz w:val="16"/>
                <w:szCs w:val="16"/>
                <w:color w:val="auto"/>
              </w:rPr>
              <w:t>57%</w:t>
            </w:r>
          </w:p>
        </w:tc>
        <w:tc>
          <w:tcPr>
            <w:tcW w:w="820" w:type="dxa"/>
            <w:vAlign w:val="bottom"/>
            <w:gridSpan w:val="2"/>
            <w:shd w:val="clear" w:color="auto" w:fill="DBE5F1"/>
          </w:tcPr>
          <w:p>
            <w:pPr>
              <w:jc w:val="right"/>
              <w:ind w:right="41"/>
              <w:spacing w:after="0"/>
              <w:rPr>
                <w:sz w:val="20"/>
                <w:szCs w:val="20"/>
                <w:color w:val="auto"/>
              </w:rPr>
            </w:pPr>
            <w:r>
              <w:rPr>
                <w:rFonts w:ascii="Arial" w:cs="Arial" w:eastAsia="Arial" w:hAnsi="Arial"/>
                <w:sz w:val="16"/>
                <w:szCs w:val="16"/>
                <w:color w:val="auto"/>
              </w:rPr>
              <w:t>26%</w:t>
            </w:r>
          </w:p>
        </w:tc>
        <w:tc>
          <w:tcPr>
            <w:tcW w:w="16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w w:val="93"/>
              </w:rPr>
              <w:t>13,458</w:t>
            </w:r>
          </w:p>
        </w:tc>
        <w:tc>
          <w:tcPr>
            <w:tcW w:w="120" w:type="dxa"/>
            <w:vAlign w:val="bottom"/>
            <w:shd w:val="clear" w:color="auto" w:fill="DBE5F1"/>
          </w:tcPr>
          <w:p>
            <w:pPr>
              <w:spacing w:after="0"/>
              <w:rPr>
                <w:sz w:val="17"/>
                <w:szCs w:val="17"/>
                <w:color w:val="auto"/>
              </w:rPr>
            </w:pPr>
          </w:p>
        </w:tc>
        <w:tc>
          <w:tcPr>
            <w:tcW w:w="740" w:type="dxa"/>
            <w:vAlign w:val="bottom"/>
            <w:shd w:val="clear" w:color="auto" w:fill="DBE5F1"/>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w w:val="93"/>
              </w:rPr>
              <w:t>10,856</w:t>
            </w:r>
          </w:p>
        </w:tc>
        <w:tc>
          <w:tcPr>
            <w:tcW w:w="140" w:type="dxa"/>
            <w:vAlign w:val="bottom"/>
            <w:shd w:val="clear" w:color="auto" w:fill="DBE5F1"/>
          </w:tcPr>
          <w:p>
            <w:pPr>
              <w:spacing w:after="0"/>
              <w:rPr>
                <w:sz w:val="17"/>
                <w:szCs w:val="17"/>
                <w:color w:val="auto"/>
              </w:rPr>
            </w:pPr>
          </w:p>
        </w:tc>
        <w:tc>
          <w:tcPr>
            <w:tcW w:w="700" w:type="dxa"/>
            <w:vAlign w:val="bottom"/>
            <w:shd w:val="clear" w:color="auto" w:fill="DBE5F1"/>
          </w:tcPr>
          <w:p>
            <w:pPr>
              <w:jc w:val="right"/>
              <w:spacing w:after="0"/>
              <w:rPr>
                <w:sz w:val="20"/>
                <w:szCs w:val="20"/>
                <w:color w:val="auto"/>
              </w:rPr>
            </w:pPr>
            <w:r>
              <w:rPr>
                <w:rFonts w:ascii="Arial" w:cs="Arial" w:eastAsia="Arial" w:hAnsi="Arial"/>
                <w:sz w:val="16"/>
                <w:szCs w:val="16"/>
                <w:color w:val="auto"/>
              </w:rPr>
              <w:t>59%</w:t>
            </w:r>
          </w:p>
        </w:tc>
        <w:tc>
          <w:tcPr>
            <w:tcW w:w="840" w:type="dxa"/>
            <w:vAlign w:val="bottom"/>
            <w:gridSpan w:val="2"/>
            <w:shd w:val="clear" w:color="auto" w:fill="DBE5F1"/>
          </w:tcPr>
          <w:p>
            <w:pPr>
              <w:jc w:val="right"/>
              <w:ind w:right="1"/>
              <w:spacing w:after="0"/>
              <w:rPr>
                <w:sz w:val="20"/>
                <w:szCs w:val="20"/>
                <w:color w:val="auto"/>
              </w:rPr>
            </w:pPr>
            <w:r>
              <w:rPr>
                <w:rFonts w:ascii="Arial" w:cs="Arial" w:eastAsia="Arial" w:hAnsi="Arial"/>
                <w:sz w:val="16"/>
                <w:szCs w:val="16"/>
                <w:color w:val="auto"/>
              </w:rPr>
              <w:t>24%</w:t>
            </w:r>
          </w:p>
        </w:tc>
        <w:tc>
          <w:tcPr>
            <w:tcW w:w="40" w:type="dxa"/>
            <w:vAlign w:val="bottom"/>
            <w:tcBorders>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808080"/>
            </w:tcBorders>
          </w:tcPr>
          <w:p>
            <w:pPr>
              <w:ind w:left="8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18"/>
                <w:szCs w:val="18"/>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2,106</w:t>
            </w:r>
          </w:p>
        </w:tc>
        <w:tc>
          <w:tcPr>
            <w:tcW w:w="840" w:type="dxa"/>
            <w:vAlign w:val="bottom"/>
            <w:gridSpan w:val="2"/>
          </w:tcPr>
          <w:p>
            <w:pPr>
              <w:jc w:val="right"/>
              <w:ind w:right="104"/>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2,183</w:t>
            </w:r>
          </w:p>
        </w:tc>
        <w:tc>
          <w:tcPr>
            <w:tcW w:w="880" w:type="dxa"/>
            <w:vAlign w:val="bottom"/>
            <w:gridSpan w:val="2"/>
          </w:tcPr>
          <w:p>
            <w:pPr>
              <w:jc w:val="right"/>
              <w:ind w:right="103"/>
              <w:spacing w:after="0"/>
              <w:rPr>
                <w:sz w:val="20"/>
                <w:szCs w:val="20"/>
                <w:color w:val="auto"/>
              </w:rPr>
            </w:pPr>
            <w:r>
              <w:rPr>
                <w:rFonts w:ascii="Arial" w:cs="Arial" w:eastAsia="Arial" w:hAnsi="Arial"/>
                <w:sz w:val="16"/>
                <w:szCs w:val="16"/>
                <w:color w:val="auto"/>
              </w:rPr>
              <w:t>22%</w:t>
            </w:r>
          </w:p>
        </w:tc>
        <w:tc>
          <w:tcPr>
            <w:tcW w:w="820" w:type="dxa"/>
            <w:vAlign w:val="bottom"/>
            <w:gridSpan w:val="2"/>
          </w:tcPr>
          <w:p>
            <w:pPr>
              <w:jc w:val="right"/>
              <w:ind w:right="4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4,089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4,085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840" w:type="dxa"/>
            <w:vAlign w:val="bottom"/>
            <w:gridSpan w:val="2"/>
          </w:tcPr>
          <w:p>
            <w:pPr>
              <w:jc w:val="right"/>
              <w:ind w:right="1"/>
              <w:spacing w:after="0"/>
              <w:rPr>
                <w:sz w:val="20"/>
                <w:szCs w:val="20"/>
                <w:color w:val="auto"/>
              </w:rPr>
            </w:pPr>
            <w:r>
              <w:rPr>
                <w:rFonts w:ascii="Arial" w:cs="Arial" w:eastAsia="Arial" w:hAnsi="Arial"/>
                <w:sz w:val="16"/>
                <w:szCs w:val="16"/>
                <w:color w:val="auto"/>
              </w:rPr>
              <w:t>0%</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8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6"/>
                <w:szCs w:val="16"/>
                <w:color w:val="auto"/>
              </w:rPr>
              <w:t>Research and product</w:t>
            </w:r>
          </w:p>
        </w:tc>
        <w:tc>
          <w:tcPr>
            <w:tcW w:w="200" w:type="dxa"/>
            <w:vAlign w:val="bottom"/>
            <w:shd w:val="clear" w:color="auto" w:fill="DBE5F1"/>
          </w:tcPr>
          <w:p>
            <w:pPr>
              <w:spacing w:after="0"/>
              <w:rPr>
                <w:sz w:val="16"/>
                <w:szCs w:val="16"/>
                <w:color w:val="auto"/>
              </w:rPr>
            </w:pPr>
          </w:p>
        </w:tc>
        <w:tc>
          <w:tcPr>
            <w:tcW w:w="64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6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64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4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80" w:type="dxa"/>
            <w:vAlign w:val="bottom"/>
            <w:tcBorders>
              <w:left w:val="single" w:sz="8" w:color="808080"/>
            </w:tcBorders>
            <w:shd w:val="clear" w:color="auto" w:fill="DBE5F1"/>
          </w:tcPr>
          <w:p>
            <w:pPr>
              <w:ind w:left="220"/>
              <w:spacing w:after="0"/>
              <w:rPr>
                <w:sz w:val="20"/>
                <w:szCs w:val="20"/>
                <w:color w:val="auto"/>
              </w:rPr>
            </w:pPr>
            <w:r>
              <w:rPr>
                <w:rFonts w:ascii="Arial" w:cs="Arial" w:eastAsia="Arial" w:hAnsi="Arial"/>
                <w:sz w:val="16"/>
                <w:szCs w:val="16"/>
                <w:color w:val="auto"/>
              </w:rPr>
              <w:t>development</w:t>
            </w:r>
          </w:p>
        </w:tc>
        <w:tc>
          <w:tcPr>
            <w:tcW w:w="20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100"/>
              <w:spacing w:after="0"/>
              <w:rPr>
                <w:sz w:val="20"/>
                <w:szCs w:val="20"/>
                <w:color w:val="auto"/>
              </w:rPr>
            </w:pPr>
            <w:r>
              <w:rPr>
                <w:rFonts w:ascii="Arial" w:cs="Arial" w:eastAsia="Arial" w:hAnsi="Arial"/>
                <w:sz w:val="16"/>
                <w:szCs w:val="16"/>
                <w:color w:val="auto"/>
              </w:rPr>
              <w:t>1,816</w:t>
            </w:r>
          </w:p>
        </w:tc>
        <w:tc>
          <w:tcPr>
            <w:tcW w:w="840" w:type="dxa"/>
            <w:vAlign w:val="bottom"/>
            <w:gridSpan w:val="2"/>
            <w:shd w:val="clear" w:color="auto" w:fill="DBE5F1"/>
          </w:tcPr>
          <w:p>
            <w:pPr>
              <w:jc w:val="right"/>
              <w:ind w:right="104"/>
              <w:spacing w:after="0"/>
              <w:rPr>
                <w:sz w:val="20"/>
                <w:szCs w:val="20"/>
                <w:color w:val="auto"/>
              </w:rPr>
            </w:pPr>
            <w:r>
              <w:rPr>
                <w:rFonts w:ascii="Arial" w:cs="Arial" w:eastAsia="Arial" w:hAnsi="Arial"/>
                <w:sz w:val="16"/>
                <w:szCs w:val="16"/>
                <w:color w:val="auto"/>
              </w:rPr>
              <w:t>15%</w:t>
            </w:r>
          </w:p>
        </w:tc>
        <w:tc>
          <w:tcPr>
            <w:tcW w:w="14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56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w w:val="94"/>
              </w:rPr>
              <w:t>1,744</w:t>
            </w:r>
          </w:p>
        </w:tc>
        <w:tc>
          <w:tcPr>
            <w:tcW w:w="880" w:type="dxa"/>
            <w:vAlign w:val="bottom"/>
            <w:gridSpan w:val="2"/>
            <w:shd w:val="clear" w:color="auto" w:fill="DBE5F1"/>
          </w:tcPr>
          <w:p>
            <w:pPr>
              <w:jc w:val="right"/>
              <w:ind w:right="103"/>
              <w:spacing w:after="0"/>
              <w:rPr>
                <w:sz w:val="20"/>
                <w:szCs w:val="20"/>
                <w:color w:val="auto"/>
              </w:rPr>
            </w:pPr>
            <w:r>
              <w:rPr>
                <w:rFonts w:ascii="Arial" w:cs="Arial" w:eastAsia="Arial" w:hAnsi="Arial"/>
                <w:sz w:val="16"/>
                <w:szCs w:val="16"/>
                <w:color w:val="auto"/>
              </w:rPr>
              <w:t>18%</w:t>
            </w:r>
          </w:p>
        </w:tc>
        <w:tc>
          <w:tcPr>
            <w:tcW w:w="820" w:type="dxa"/>
            <w:vAlign w:val="bottom"/>
            <w:gridSpan w:val="2"/>
            <w:shd w:val="clear" w:color="auto" w:fill="DBE5F1"/>
          </w:tcPr>
          <w:p>
            <w:pPr>
              <w:jc w:val="right"/>
              <w:ind w:right="41"/>
              <w:spacing w:after="0"/>
              <w:rPr>
                <w:sz w:val="20"/>
                <w:szCs w:val="20"/>
                <w:color w:val="auto"/>
              </w:rPr>
            </w:pPr>
            <w:r>
              <w:rPr>
                <w:rFonts w:ascii="Arial" w:cs="Arial" w:eastAsia="Arial" w:hAnsi="Arial"/>
                <w:sz w:val="16"/>
                <w:szCs w:val="16"/>
                <w:color w:val="auto"/>
              </w:rPr>
              <w:t>-4%</w:t>
            </w:r>
          </w:p>
        </w:tc>
        <w:tc>
          <w:tcPr>
            <w:tcW w:w="1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rPr>
              <w:t>3,453</w:t>
            </w:r>
          </w:p>
        </w:tc>
        <w:tc>
          <w:tcPr>
            <w:tcW w:w="86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rPr>
              <w:t>3,648</w:t>
            </w:r>
          </w:p>
        </w:tc>
        <w:tc>
          <w:tcPr>
            <w:tcW w:w="84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20%</w:t>
            </w:r>
          </w:p>
        </w:tc>
        <w:tc>
          <w:tcPr>
            <w:tcW w:w="840" w:type="dxa"/>
            <w:vAlign w:val="bottom"/>
            <w:gridSpan w:val="2"/>
            <w:shd w:val="clear" w:color="auto" w:fill="DBE5F1"/>
          </w:tcPr>
          <w:p>
            <w:pPr>
              <w:jc w:val="right"/>
              <w:ind w:right="1"/>
              <w:spacing w:after="0"/>
              <w:rPr>
                <w:sz w:val="20"/>
                <w:szCs w:val="20"/>
                <w:color w:val="auto"/>
              </w:rPr>
            </w:pPr>
            <w:r>
              <w:rPr>
                <w:rFonts w:ascii="Arial" w:cs="Arial" w:eastAsia="Arial" w:hAnsi="Arial"/>
                <w:sz w:val="16"/>
                <w:szCs w:val="16"/>
                <w:color w:val="auto"/>
              </w:rPr>
              <w:t>5%</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Borders>
              <w:left w:val="single" w:sz="8" w:color="808080"/>
            </w:tcBorders>
          </w:tcPr>
          <w:p>
            <w:pPr>
              <w:ind w:left="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1,361</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4"/>
              </w:rPr>
              <w:t>1,214</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2,146</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c>
          <w:tcPr>
            <w:tcW w:w="40" w:type="dxa"/>
            <w:vAlign w:val="bottom"/>
            <w:tcBorders>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Borders>
              <w:left w:val="single" w:sz="8" w:color="808080"/>
            </w:tcBorders>
            <w:shd w:val="clear" w:color="auto" w:fill="DBE5F1"/>
          </w:tcPr>
          <w:p>
            <w:pPr>
              <w:ind w:left="2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100"/>
              <w:spacing w:after="0"/>
              <w:rPr>
                <w:sz w:val="20"/>
                <w:szCs w:val="20"/>
                <w:color w:val="auto"/>
              </w:rPr>
            </w:pPr>
            <w:r>
              <w:rPr>
                <w:rFonts w:ascii="Arial" w:cs="Arial" w:eastAsia="Arial" w:hAnsi="Arial"/>
                <w:sz w:val="16"/>
                <w:szCs w:val="16"/>
                <w:color w:val="auto"/>
              </w:rPr>
              <w:t>1,873</w:t>
            </w:r>
          </w:p>
        </w:tc>
        <w:tc>
          <w:tcPr>
            <w:tcW w:w="840" w:type="dxa"/>
            <w:vAlign w:val="bottom"/>
            <w:gridSpan w:val="2"/>
            <w:shd w:val="clear" w:color="auto" w:fill="DBE5F1"/>
          </w:tcPr>
          <w:p>
            <w:pPr>
              <w:jc w:val="right"/>
              <w:ind w:right="104"/>
              <w:spacing w:after="0"/>
              <w:rPr>
                <w:sz w:val="20"/>
                <w:szCs w:val="20"/>
                <w:color w:val="auto"/>
              </w:rPr>
            </w:pPr>
            <w:r>
              <w:rPr>
                <w:rFonts w:ascii="Arial" w:cs="Arial" w:eastAsia="Arial" w:hAnsi="Arial"/>
                <w:sz w:val="16"/>
                <w:szCs w:val="16"/>
                <w:color w:val="auto"/>
              </w:rPr>
              <w:t>16%</w:t>
            </w:r>
          </w:p>
        </w:tc>
        <w:tc>
          <w:tcPr>
            <w:tcW w:w="14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56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rPr>
              <w:t>520</w:t>
            </w:r>
          </w:p>
        </w:tc>
        <w:tc>
          <w:tcPr>
            <w:tcW w:w="880" w:type="dxa"/>
            <w:vAlign w:val="bottom"/>
            <w:gridSpan w:val="2"/>
            <w:shd w:val="clear" w:color="auto" w:fill="DBE5F1"/>
          </w:tcPr>
          <w:p>
            <w:pPr>
              <w:jc w:val="right"/>
              <w:ind w:right="103"/>
              <w:spacing w:after="0"/>
              <w:rPr>
                <w:sz w:val="20"/>
                <w:szCs w:val="20"/>
                <w:color w:val="auto"/>
              </w:rPr>
            </w:pPr>
            <w:r>
              <w:rPr>
                <w:rFonts w:ascii="Arial" w:cs="Arial" w:eastAsia="Arial" w:hAnsi="Arial"/>
                <w:sz w:val="16"/>
                <w:szCs w:val="16"/>
                <w:color w:val="auto"/>
              </w:rPr>
              <w:t>5%</w:t>
            </w:r>
          </w:p>
        </w:tc>
        <w:tc>
          <w:tcPr>
            <w:tcW w:w="820" w:type="dxa"/>
            <w:vAlign w:val="bottom"/>
            <w:gridSpan w:val="2"/>
            <w:shd w:val="clear" w:color="auto" w:fill="DBE5F1"/>
          </w:tcPr>
          <w:p>
            <w:pPr>
              <w:jc w:val="right"/>
              <w:ind w:right="41"/>
              <w:spacing w:after="0"/>
              <w:rPr>
                <w:sz w:val="20"/>
                <w:szCs w:val="20"/>
                <w:color w:val="auto"/>
              </w:rPr>
            </w:pPr>
            <w:r>
              <w:rPr>
                <w:rFonts w:ascii="Arial" w:cs="Arial" w:eastAsia="Arial" w:hAnsi="Arial"/>
                <w:sz w:val="16"/>
                <w:szCs w:val="16"/>
                <w:color w:val="auto"/>
              </w:rPr>
              <w:t>260%</w:t>
            </w:r>
          </w:p>
        </w:tc>
        <w:tc>
          <w:tcPr>
            <w:tcW w:w="1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rPr>
              <w:t>3,083</w:t>
            </w:r>
          </w:p>
        </w:tc>
        <w:tc>
          <w:tcPr>
            <w:tcW w:w="86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rPr>
              <w:t>977</w:t>
            </w:r>
          </w:p>
        </w:tc>
        <w:tc>
          <w:tcPr>
            <w:tcW w:w="84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5%</w:t>
            </w:r>
          </w:p>
        </w:tc>
        <w:tc>
          <w:tcPr>
            <w:tcW w:w="840" w:type="dxa"/>
            <w:vAlign w:val="bottom"/>
            <w:gridSpan w:val="2"/>
            <w:shd w:val="clear" w:color="auto" w:fill="DBE5F1"/>
          </w:tcPr>
          <w:p>
            <w:pPr>
              <w:jc w:val="right"/>
              <w:ind w:right="1"/>
              <w:spacing w:after="0"/>
              <w:rPr>
                <w:sz w:val="20"/>
                <w:szCs w:val="20"/>
                <w:color w:val="auto"/>
              </w:rPr>
            </w:pPr>
            <w:r>
              <w:rPr>
                <w:rFonts w:ascii="Arial" w:cs="Arial" w:eastAsia="Arial" w:hAnsi="Arial"/>
                <w:sz w:val="16"/>
                <w:szCs w:val="16"/>
                <w:color w:val="auto"/>
              </w:rPr>
              <w:t>216%</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Borders>
              <w:left w:val="single" w:sz="8" w:color="808080"/>
            </w:tcBorders>
          </w:tcPr>
          <w:p>
            <w:pPr>
              <w:ind w:left="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w:t>
            </w:r>
          </w:p>
        </w:tc>
        <w:tc>
          <w:tcPr>
            <w:tcW w:w="40" w:type="dxa"/>
            <w:vAlign w:val="bottom"/>
            <w:tcBorders>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100"/>
              <w:spacing w:after="0"/>
              <w:rPr>
                <w:sz w:val="20"/>
                <w:szCs w:val="20"/>
                <w:color w:val="auto"/>
              </w:rPr>
            </w:pPr>
            <w:r>
              <w:rPr>
                <w:rFonts w:ascii="Arial" w:cs="Arial" w:eastAsia="Arial" w:hAnsi="Arial"/>
                <w:sz w:val="16"/>
                <w:szCs w:val="16"/>
                <w:color w:val="auto"/>
              </w:rPr>
              <w:t>1,880</w:t>
            </w:r>
          </w:p>
        </w:tc>
        <w:tc>
          <w:tcPr>
            <w:tcW w:w="840" w:type="dxa"/>
            <w:vAlign w:val="bottom"/>
            <w:gridSpan w:val="2"/>
            <w:shd w:val="clear" w:color="auto" w:fill="DBE5F1"/>
          </w:tcPr>
          <w:p>
            <w:pPr>
              <w:jc w:val="right"/>
              <w:ind w:right="104"/>
              <w:spacing w:after="0"/>
              <w:rPr>
                <w:sz w:val="20"/>
                <w:szCs w:val="20"/>
                <w:color w:val="auto"/>
              </w:rPr>
            </w:pPr>
            <w:r>
              <w:rPr>
                <w:rFonts w:ascii="Arial" w:cs="Arial" w:eastAsia="Arial" w:hAnsi="Arial"/>
                <w:sz w:val="16"/>
                <w:szCs w:val="16"/>
                <w:color w:val="auto"/>
              </w:rPr>
              <w:t>16%</w:t>
            </w:r>
          </w:p>
        </w:tc>
        <w:tc>
          <w:tcPr>
            <w:tcW w:w="14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56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rPr>
              <w:t>520</w:t>
            </w:r>
          </w:p>
        </w:tc>
        <w:tc>
          <w:tcPr>
            <w:tcW w:w="880" w:type="dxa"/>
            <w:vAlign w:val="bottom"/>
            <w:gridSpan w:val="2"/>
            <w:shd w:val="clear" w:color="auto" w:fill="DBE5F1"/>
          </w:tcPr>
          <w:p>
            <w:pPr>
              <w:jc w:val="right"/>
              <w:ind w:right="103"/>
              <w:spacing w:after="0"/>
              <w:rPr>
                <w:sz w:val="20"/>
                <w:szCs w:val="20"/>
                <w:color w:val="auto"/>
              </w:rPr>
            </w:pPr>
            <w:r>
              <w:rPr>
                <w:rFonts w:ascii="Arial" w:cs="Arial" w:eastAsia="Arial" w:hAnsi="Arial"/>
                <w:sz w:val="16"/>
                <w:szCs w:val="16"/>
                <w:color w:val="auto"/>
              </w:rPr>
              <w:t>5%</w:t>
            </w:r>
          </w:p>
        </w:tc>
        <w:tc>
          <w:tcPr>
            <w:tcW w:w="820" w:type="dxa"/>
            <w:vAlign w:val="bottom"/>
            <w:gridSpan w:val="2"/>
            <w:shd w:val="clear" w:color="auto" w:fill="DBE5F1"/>
          </w:tcPr>
          <w:p>
            <w:pPr>
              <w:jc w:val="right"/>
              <w:ind w:right="41"/>
              <w:spacing w:after="0"/>
              <w:rPr>
                <w:sz w:val="20"/>
                <w:szCs w:val="20"/>
                <w:color w:val="auto"/>
              </w:rPr>
            </w:pPr>
            <w:r>
              <w:rPr>
                <w:rFonts w:ascii="Arial" w:cs="Arial" w:eastAsia="Arial" w:hAnsi="Arial"/>
                <w:sz w:val="16"/>
                <w:szCs w:val="16"/>
                <w:color w:val="auto"/>
              </w:rPr>
              <w:t>262%</w:t>
            </w:r>
          </w:p>
        </w:tc>
        <w:tc>
          <w:tcPr>
            <w:tcW w:w="1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rPr>
              <w:t>3,101</w:t>
            </w:r>
          </w:p>
        </w:tc>
        <w:tc>
          <w:tcPr>
            <w:tcW w:w="86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640" w:type="dxa"/>
            <w:vAlign w:val="bottom"/>
            <w:shd w:val="clear" w:color="auto" w:fill="DBE5F1"/>
          </w:tcPr>
          <w:p>
            <w:pPr>
              <w:jc w:val="right"/>
              <w:ind w:right="80"/>
              <w:spacing w:after="0"/>
              <w:rPr>
                <w:sz w:val="20"/>
                <w:szCs w:val="20"/>
                <w:color w:val="auto"/>
              </w:rPr>
            </w:pPr>
            <w:r>
              <w:rPr>
                <w:rFonts w:ascii="Arial" w:cs="Arial" w:eastAsia="Arial" w:hAnsi="Arial"/>
                <w:sz w:val="16"/>
                <w:szCs w:val="16"/>
                <w:color w:val="auto"/>
              </w:rPr>
              <w:t>845</w:t>
            </w:r>
          </w:p>
        </w:tc>
        <w:tc>
          <w:tcPr>
            <w:tcW w:w="84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5%</w:t>
            </w:r>
          </w:p>
        </w:tc>
        <w:tc>
          <w:tcPr>
            <w:tcW w:w="840" w:type="dxa"/>
            <w:vAlign w:val="bottom"/>
            <w:gridSpan w:val="2"/>
            <w:shd w:val="clear" w:color="auto" w:fill="DBE5F1"/>
          </w:tcPr>
          <w:p>
            <w:pPr>
              <w:jc w:val="right"/>
              <w:ind w:right="1"/>
              <w:spacing w:after="0"/>
              <w:rPr>
                <w:sz w:val="20"/>
                <w:szCs w:val="20"/>
                <w:color w:val="auto"/>
              </w:rPr>
            </w:pPr>
            <w:r>
              <w:rPr>
                <w:rFonts w:ascii="Arial" w:cs="Arial" w:eastAsia="Arial" w:hAnsi="Arial"/>
                <w:sz w:val="16"/>
                <w:szCs w:val="16"/>
                <w:color w:val="auto"/>
              </w:rPr>
              <w:t>267%</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Borders>
              <w:left w:val="single" w:sz="8" w:color="808080"/>
            </w:tcBorders>
          </w:tcPr>
          <w:p>
            <w:pPr>
              <w:ind w:left="2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w:t>
            </w:r>
          </w:p>
        </w:tc>
        <w:tc>
          <w:tcPr>
            <w:tcW w:w="820" w:type="dxa"/>
            <w:vAlign w:val="bottom"/>
            <w:gridSpan w:val="2"/>
          </w:tcPr>
          <w:p>
            <w:pPr>
              <w:jc w:val="right"/>
              <w:ind w:right="41"/>
              <w:spacing w:after="0"/>
              <w:rPr>
                <w:sz w:val="20"/>
                <w:szCs w:val="20"/>
                <w:color w:val="auto"/>
              </w:rPr>
            </w:pPr>
            <w:r>
              <w:rPr>
                <w:rFonts w:ascii="Arial" w:cs="Arial" w:eastAsia="Arial" w:hAnsi="Arial"/>
                <w:sz w:val="16"/>
                <w:szCs w:val="16"/>
                <w:color w:val="auto"/>
              </w:rPr>
              <w:t>235%</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(968)</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40" w:type="dxa"/>
            <w:vAlign w:val="bottom"/>
            <w:gridSpan w:val="2"/>
          </w:tcPr>
          <w:p>
            <w:pPr>
              <w:jc w:val="right"/>
              <w:ind w:right="1"/>
              <w:spacing w:after="0"/>
              <w:rPr>
                <w:sz w:val="20"/>
                <w:szCs w:val="20"/>
                <w:color w:val="auto"/>
              </w:rPr>
            </w:pPr>
            <w:r>
              <w:rPr>
                <w:rFonts w:ascii="Arial" w:cs="Arial" w:eastAsia="Arial" w:hAnsi="Arial"/>
                <w:sz w:val="16"/>
                <w:szCs w:val="16"/>
                <w:color w:val="auto"/>
              </w:rPr>
              <w:t>252%</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DBE5F1"/>
              <w:left w:val="single" w:sz="8" w:color="808080"/>
            </w:tcBorders>
            <w:shd w:val="clear" w:color="auto" w:fill="DBE5F1"/>
          </w:tcPr>
          <w:p>
            <w:pPr>
              <w:ind w:left="240"/>
              <w:spacing w:after="0" w:line="176" w:lineRule="exact"/>
              <w:rPr>
                <w:sz w:val="20"/>
                <w:szCs w:val="20"/>
                <w:color w:val="auto"/>
              </w:rPr>
            </w:pPr>
            <w:r>
              <w:rPr>
                <w:rFonts w:ascii="Arial" w:cs="Arial" w:eastAsia="Arial" w:hAnsi="Arial"/>
                <w:sz w:val="16"/>
                <w:szCs w:val="16"/>
                <w:color w:val="auto"/>
              </w:rPr>
              <w:t>Net income</w:t>
            </w:r>
          </w:p>
        </w:tc>
        <w:tc>
          <w:tcPr>
            <w:tcW w:w="200" w:type="dxa"/>
            <w:vAlign w:val="bottom"/>
            <w:tcBorders>
              <w:top w:val="single" w:sz="8" w:color="DBE5F1"/>
            </w:tcBorders>
            <w:shd w:val="clear" w:color="auto" w:fill="DBE5F1"/>
          </w:tcPr>
          <w:p>
            <w:pPr>
              <w:jc w:val="right"/>
              <w:spacing w:after="0" w:line="176"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DBE5F1"/>
            </w:tcBorders>
            <w:shd w:val="clear" w:color="auto" w:fill="DBE5F1"/>
          </w:tcPr>
          <w:p>
            <w:pPr>
              <w:jc w:val="right"/>
              <w:ind w:right="100"/>
              <w:spacing w:after="0" w:line="176" w:lineRule="exact"/>
              <w:rPr>
                <w:sz w:val="20"/>
                <w:szCs w:val="20"/>
                <w:color w:val="auto"/>
              </w:rPr>
            </w:pPr>
            <w:r>
              <w:rPr>
                <w:rFonts w:ascii="Arial" w:cs="Arial" w:eastAsia="Arial" w:hAnsi="Arial"/>
                <w:sz w:val="16"/>
                <w:szCs w:val="16"/>
                <w:color w:val="auto"/>
              </w:rPr>
              <w:t>1,321</w:t>
            </w:r>
          </w:p>
        </w:tc>
        <w:tc>
          <w:tcPr>
            <w:tcW w:w="840" w:type="dxa"/>
            <w:vAlign w:val="bottom"/>
            <w:tcBorders>
              <w:top w:val="single" w:sz="8" w:color="DBE5F1"/>
            </w:tcBorders>
            <w:gridSpan w:val="2"/>
            <w:shd w:val="clear" w:color="auto" w:fill="DBE5F1"/>
          </w:tcPr>
          <w:p>
            <w:pPr>
              <w:jc w:val="right"/>
              <w:ind w:right="104"/>
              <w:spacing w:after="0" w:line="176" w:lineRule="exact"/>
              <w:rPr>
                <w:sz w:val="20"/>
                <w:szCs w:val="20"/>
                <w:color w:val="auto"/>
              </w:rPr>
            </w:pPr>
            <w:r>
              <w:rPr>
                <w:rFonts w:ascii="Arial" w:cs="Arial" w:eastAsia="Arial" w:hAnsi="Arial"/>
                <w:sz w:val="16"/>
                <w:szCs w:val="16"/>
                <w:color w:val="auto"/>
              </w:rPr>
              <w:t>11%</w:t>
            </w:r>
          </w:p>
        </w:tc>
        <w:tc>
          <w:tcPr>
            <w:tcW w:w="340" w:type="dxa"/>
            <w:vAlign w:val="bottom"/>
            <w:tcBorders>
              <w:top w:val="single" w:sz="8" w:color="DBE5F1"/>
            </w:tcBorders>
            <w:gridSpan w:val="2"/>
            <w:shd w:val="clear" w:color="auto" w:fill="DBE5F1"/>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DBE5F1"/>
            </w:tcBorders>
            <w:shd w:val="clear" w:color="auto" w:fill="DBE5F1"/>
          </w:tcPr>
          <w:p>
            <w:pPr>
              <w:jc w:val="right"/>
              <w:ind w:right="80"/>
              <w:spacing w:after="0" w:line="176" w:lineRule="exact"/>
              <w:rPr>
                <w:sz w:val="20"/>
                <w:szCs w:val="20"/>
                <w:color w:val="auto"/>
              </w:rPr>
            </w:pPr>
            <w:r>
              <w:rPr>
                <w:rFonts w:ascii="Arial" w:cs="Arial" w:eastAsia="Arial" w:hAnsi="Arial"/>
                <w:sz w:val="16"/>
                <w:szCs w:val="16"/>
                <w:color w:val="auto"/>
              </w:rPr>
              <w:t>353</w:t>
            </w:r>
          </w:p>
        </w:tc>
        <w:tc>
          <w:tcPr>
            <w:tcW w:w="880" w:type="dxa"/>
            <w:vAlign w:val="bottom"/>
            <w:tcBorders>
              <w:top w:val="single" w:sz="8" w:color="DBE5F1"/>
            </w:tcBorders>
            <w:gridSpan w:val="2"/>
            <w:shd w:val="clear" w:color="auto" w:fill="DBE5F1"/>
          </w:tcPr>
          <w:p>
            <w:pPr>
              <w:jc w:val="right"/>
              <w:ind w:right="103"/>
              <w:spacing w:after="0" w:line="176" w:lineRule="exact"/>
              <w:rPr>
                <w:sz w:val="20"/>
                <w:szCs w:val="20"/>
                <w:color w:val="auto"/>
              </w:rPr>
            </w:pPr>
            <w:r>
              <w:rPr>
                <w:rFonts w:ascii="Arial" w:cs="Arial" w:eastAsia="Arial" w:hAnsi="Arial"/>
                <w:sz w:val="16"/>
                <w:szCs w:val="16"/>
                <w:color w:val="auto"/>
              </w:rPr>
              <w:t>4%</w:t>
            </w:r>
          </w:p>
        </w:tc>
        <w:tc>
          <w:tcPr>
            <w:tcW w:w="160" w:type="dxa"/>
            <w:vAlign w:val="bottom"/>
            <w:tcBorders>
              <w:top w:val="single" w:sz="8" w:color="DBE5F1"/>
            </w:tcBorders>
            <w:shd w:val="clear" w:color="auto" w:fill="DBE5F1"/>
          </w:tcPr>
          <w:p>
            <w:pPr>
              <w:spacing w:after="0"/>
              <w:rPr>
                <w:sz w:val="18"/>
                <w:szCs w:val="18"/>
                <w:color w:val="auto"/>
              </w:rPr>
            </w:pPr>
          </w:p>
        </w:tc>
        <w:tc>
          <w:tcPr>
            <w:tcW w:w="660" w:type="dxa"/>
            <w:vAlign w:val="bottom"/>
            <w:tcBorders>
              <w:top w:val="single" w:sz="8" w:color="auto"/>
            </w:tcBorders>
            <w:shd w:val="clear" w:color="auto" w:fill="DBE5F1"/>
          </w:tcPr>
          <w:p>
            <w:pPr>
              <w:jc w:val="right"/>
              <w:ind w:right="41"/>
              <w:spacing w:after="0" w:line="176" w:lineRule="exact"/>
              <w:rPr>
                <w:sz w:val="20"/>
                <w:szCs w:val="20"/>
                <w:color w:val="auto"/>
              </w:rPr>
            </w:pPr>
            <w:r>
              <w:rPr>
                <w:rFonts w:ascii="Arial" w:cs="Arial" w:eastAsia="Arial" w:hAnsi="Arial"/>
                <w:sz w:val="16"/>
                <w:szCs w:val="16"/>
                <w:color w:val="auto"/>
              </w:rPr>
              <w:t>274%</w:t>
            </w:r>
          </w:p>
        </w:tc>
        <w:tc>
          <w:tcPr>
            <w:tcW w:w="360" w:type="dxa"/>
            <w:vAlign w:val="bottom"/>
            <w:tcBorders>
              <w:top w:val="single" w:sz="8" w:color="DBE5F1"/>
            </w:tcBorders>
            <w:gridSpan w:val="2"/>
            <w:shd w:val="clear" w:color="auto" w:fill="DBE5F1"/>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DBE5F1"/>
            </w:tcBorders>
            <w:shd w:val="clear" w:color="auto" w:fill="DBE5F1"/>
          </w:tcPr>
          <w:p>
            <w:pPr>
              <w:jc w:val="right"/>
              <w:ind w:right="80"/>
              <w:spacing w:after="0" w:line="176" w:lineRule="exact"/>
              <w:rPr>
                <w:sz w:val="20"/>
                <w:szCs w:val="20"/>
                <w:color w:val="auto"/>
              </w:rPr>
            </w:pPr>
            <w:r>
              <w:rPr>
                <w:rFonts w:ascii="Arial" w:cs="Arial" w:eastAsia="Arial" w:hAnsi="Arial"/>
                <w:sz w:val="16"/>
                <w:szCs w:val="16"/>
                <w:color w:val="auto"/>
              </w:rPr>
              <w:t>2,133</w:t>
            </w:r>
          </w:p>
        </w:tc>
        <w:tc>
          <w:tcPr>
            <w:tcW w:w="120" w:type="dxa"/>
            <w:vAlign w:val="bottom"/>
            <w:tcBorders>
              <w:top w:val="single" w:sz="8" w:color="DBE5F1"/>
            </w:tcBorders>
            <w:shd w:val="clear" w:color="auto" w:fill="DBE5F1"/>
          </w:tcPr>
          <w:p>
            <w:pPr>
              <w:spacing w:after="0"/>
              <w:rPr>
                <w:sz w:val="18"/>
                <w:szCs w:val="18"/>
                <w:color w:val="auto"/>
              </w:rPr>
            </w:pPr>
          </w:p>
        </w:tc>
        <w:tc>
          <w:tcPr>
            <w:tcW w:w="740" w:type="dxa"/>
            <w:vAlign w:val="bottom"/>
            <w:tcBorders>
              <w:top w:val="single" w:sz="8" w:color="DBE5F1"/>
            </w:tcBorders>
            <w:shd w:val="clear" w:color="auto" w:fill="DBE5F1"/>
          </w:tcPr>
          <w:p>
            <w:pPr>
              <w:jc w:val="right"/>
              <w:spacing w:after="0" w:line="176" w:lineRule="exact"/>
              <w:rPr>
                <w:sz w:val="20"/>
                <w:szCs w:val="20"/>
                <w:color w:val="auto"/>
              </w:rPr>
            </w:pPr>
            <w:r>
              <w:rPr>
                <w:rFonts w:ascii="Arial" w:cs="Arial" w:eastAsia="Arial" w:hAnsi="Arial"/>
                <w:sz w:val="16"/>
                <w:szCs w:val="16"/>
                <w:color w:val="auto"/>
              </w:rPr>
              <w:t>9%</w:t>
            </w:r>
          </w:p>
        </w:tc>
        <w:tc>
          <w:tcPr>
            <w:tcW w:w="320" w:type="dxa"/>
            <w:vAlign w:val="bottom"/>
            <w:tcBorders>
              <w:top w:val="single" w:sz="8" w:color="DBE5F1"/>
            </w:tcBorders>
            <w:gridSpan w:val="2"/>
            <w:shd w:val="clear" w:color="auto" w:fill="DBE5F1"/>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DBE5F1"/>
            </w:tcBorders>
            <w:shd w:val="clear" w:color="auto" w:fill="DBE5F1"/>
          </w:tcPr>
          <w:p>
            <w:pPr>
              <w:jc w:val="right"/>
              <w:ind w:right="120"/>
              <w:spacing w:after="0" w:line="176" w:lineRule="exact"/>
              <w:rPr>
                <w:sz w:val="20"/>
                <w:szCs w:val="20"/>
                <w:color w:val="auto"/>
              </w:rPr>
            </w:pPr>
            <w:r>
              <w:rPr>
                <w:rFonts w:ascii="Arial" w:cs="Arial" w:eastAsia="Arial" w:hAnsi="Arial"/>
                <w:sz w:val="16"/>
                <w:szCs w:val="16"/>
                <w:color w:val="auto"/>
              </w:rPr>
              <w:t>570</w:t>
            </w:r>
          </w:p>
        </w:tc>
        <w:tc>
          <w:tcPr>
            <w:tcW w:w="140" w:type="dxa"/>
            <w:vAlign w:val="bottom"/>
            <w:tcBorders>
              <w:top w:val="single" w:sz="8" w:color="DBE5F1"/>
            </w:tcBorders>
            <w:shd w:val="clear" w:color="auto" w:fill="DBE5F1"/>
          </w:tcPr>
          <w:p>
            <w:pPr>
              <w:spacing w:after="0"/>
              <w:rPr>
                <w:sz w:val="18"/>
                <w:szCs w:val="18"/>
                <w:color w:val="auto"/>
              </w:rPr>
            </w:pPr>
          </w:p>
        </w:tc>
        <w:tc>
          <w:tcPr>
            <w:tcW w:w="700" w:type="dxa"/>
            <w:vAlign w:val="bottom"/>
            <w:tcBorders>
              <w:top w:val="single" w:sz="8" w:color="DBE5F1"/>
            </w:tcBorders>
            <w:shd w:val="clear" w:color="auto" w:fill="DBE5F1"/>
          </w:tcPr>
          <w:p>
            <w:pPr>
              <w:jc w:val="right"/>
              <w:spacing w:after="0" w:line="176" w:lineRule="exact"/>
              <w:rPr>
                <w:sz w:val="20"/>
                <w:szCs w:val="20"/>
                <w:color w:val="auto"/>
              </w:rPr>
            </w:pPr>
            <w:r>
              <w:rPr>
                <w:rFonts w:ascii="Arial" w:cs="Arial" w:eastAsia="Arial" w:hAnsi="Arial"/>
                <w:sz w:val="16"/>
                <w:szCs w:val="16"/>
                <w:color w:val="auto"/>
              </w:rPr>
              <w:t>3%</w:t>
            </w:r>
          </w:p>
        </w:tc>
        <w:tc>
          <w:tcPr>
            <w:tcW w:w="140" w:type="dxa"/>
            <w:vAlign w:val="bottom"/>
            <w:tcBorders>
              <w:top w:val="single" w:sz="8" w:color="DBE5F1"/>
            </w:tcBorders>
            <w:shd w:val="clear" w:color="auto" w:fill="DBE5F1"/>
          </w:tcPr>
          <w:p>
            <w:pPr>
              <w:spacing w:after="0"/>
              <w:rPr>
                <w:sz w:val="18"/>
                <w:szCs w:val="18"/>
                <w:color w:val="auto"/>
              </w:rPr>
            </w:pPr>
          </w:p>
        </w:tc>
        <w:tc>
          <w:tcPr>
            <w:tcW w:w="700" w:type="dxa"/>
            <w:vAlign w:val="bottom"/>
            <w:tcBorders>
              <w:top w:val="single" w:sz="8" w:color="auto"/>
            </w:tcBorders>
            <w:shd w:val="clear" w:color="auto" w:fill="DBE5F1"/>
          </w:tcPr>
          <w:p>
            <w:pPr>
              <w:jc w:val="right"/>
              <w:ind w:right="1"/>
              <w:spacing w:after="0" w:line="176" w:lineRule="exact"/>
              <w:rPr>
                <w:sz w:val="20"/>
                <w:szCs w:val="20"/>
                <w:color w:val="auto"/>
              </w:rPr>
            </w:pPr>
            <w:r>
              <w:rPr>
                <w:rFonts w:ascii="Arial" w:cs="Arial" w:eastAsia="Arial" w:hAnsi="Arial"/>
                <w:sz w:val="16"/>
                <w:szCs w:val="16"/>
                <w:color w:val="auto"/>
              </w:rPr>
              <w:t>274%</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DBE5F1"/>
              <w:left w:val="single" w:sz="8" w:color="808080"/>
              <w:bottom w:val="single" w:sz="8" w:color="808080"/>
            </w:tcBorders>
          </w:tcPr>
          <w:p>
            <w:pPr>
              <w:spacing w:after="0" w:line="20" w:lineRule="exact"/>
              <w:rPr>
                <w:sz w:val="1"/>
                <w:szCs w:val="1"/>
                <w:color w:val="auto"/>
              </w:rPr>
            </w:pPr>
          </w:p>
        </w:tc>
        <w:tc>
          <w:tcPr>
            <w:tcW w:w="200" w:type="dxa"/>
            <w:vAlign w:val="bottom"/>
            <w:tcBorders>
              <w:top w:val="single" w:sz="8" w:color="auto"/>
              <w:bottom w:val="single" w:sz="8" w:color="808080"/>
            </w:tcBorders>
          </w:tcPr>
          <w:p>
            <w:pPr>
              <w:spacing w:after="0" w:line="20" w:lineRule="exact"/>
              <w:rPr>
                <w:sz w:val="1"/>
                <w:szCs w:val="1"/>
                <w:color w:val="auto"/>
              </w:rPr>
            </w:pPr>
          </w:p>
        </w:tc>
        <w:tc>
          <w:tcPr>
            <w:tcW w:w="640" w:type="dxa"/>
            <w:vAlign w:val="bottom"/>
            <w:tcBorders>
              <w:top w:val="single" w:sz="8" w:color="auto"/>
              <w:bottom w:val="single" w:sz="8" w:color="808080"/>
            </w:tcBorders>
          </w:tcPr>
          <w:p>
            <w:pPr>
              <w:spacing w:after="0" w:line="20" w:lineRule="exact"/>
              <w:rPr>
                <w:sz w:val="1"/>
                <w:szCs w:val="1"/>
                <w:color w:val="auto"/>
              </w:rPr>
            </w:pPr>
          </w:p>
        </w:tc>
        <w:tc>
          <w:tcPr>
            <w:tcW w:w="120" w:type="dxa"/>
            <w:vAlign w:val="bottom"/>
            <w:tcBorders>
              <w:top w:val="single" w:sz="8" w:color="DBE5F1"/>
              <w:bottom w:val="single" w:sz="8" w:color="808080"/>
            </w:tcBorders>
          </w:tcPr>
          <w:p>
            <w:pPr>
              <w:spacing w:after="0" w:line="20" w:lineRule="exact"/>
              <w:rPr>
                <w:sz w:val="1"/>
                <w:szCs w:val="1"/>
                <w:color w:val="auto"/>
              </w:rPr>
            </w:pPr>
          </w:p>
        </w:tc>
        <w:tc>
          <w:tcPr>
            <w:tcW w:w="720" w:type="dxa"/>
            <w:vAlign w:val="bottom"/>
            <w:tcBorders>
              <w:top w:val="single" w:sz="8" w:color="auto"/>
              <w:bottom w:val="single" w:sz="8" w:color="808080"/>
            </w:tcBorders>
          </w:tcPr>
          <w:p>
            <w:pPr>
              <w:spacing w:after="0" w:line="20" w:lineRule="exact"/>
              <w:rPr>
                <w:sz w:val="1"/>
                <w:szCs w:val="1"/>
                <w:color w:val="auto"/>
              </w:rPr>
            </w:pPr>
          </w:p>
        </w:tc>
        <w:tc>
          <w:tcPr>
            <w:tcW w:w="140" w:type="dxa"/>
            <w:vAlign w:val="bottom"/>
            <w:tcBorders>
              <w:top w:val="single" w:sz="8" w:color="DBE5F1"/>
              <w:bottom w:val="single" w:sz="8" w:color="808080"/>
            </w:tcBorders>
          </w:tcPr>
          <w:p>
            <w:pPr>
              <w:spacing w:after="0" w:line="20" w:lineRule="exact"/>
              <w:rPr>
                <w:sz w:val="1"/>
                <w:szCs w:val="1"/>
                <w:color w:val="auto"/>
              </w:rPr>
            </w:pPr>
          </w:p>
        </w:tc>
        <w:tc>
          <w:tcPr>
            <w:tcW w:w="200" w:type="dxa"/>
            <w:vAlign w:val="bottom"/>
            <w:tcBorders>
              <w:top w:val="single" w:sz="8" w:color="auto"/>
              <w:bottom w:val="single" w:sz="8" w:color="808080"/>
            </w:tcBorders>
          </w:tcPr>
          <w:p>
            <w:pPr>
              <w:spacing w:after="0" w:line="20" w:lineRule="exact"/>
              <w:rPr>
                <w:sz w:val="1"/>
                <w:szCs w:val="1"/>
                <w:color w:val="auto"/>
              </w:rPr>
            </w:pPr>
          </w:p>
        </w:tc>
        <w:tc>
          <w:tcPr>
            <w:tcW w:w="560" w:type="dxa"/>
            <w:vAlign w:val="bottom"/>
            <w:tcBorders>
              <w:top w:val="single" w:sz="8" w:color="auto"/>
              <w:bottom w:val="single" w:sz="8" w:color="808080"/>
            </w:tcBorders>
          </w:tcPr>
          <w:p>
            <w:pPr>
              <w:spacing w:after="0" w:line="20" w:lineRule="exact"/>
              <w:rPr>
                <w:sz w:val="1"/>
                <w:szCs w:val="1"/>
                <w:color w:val="auto"/>
              </w:rPr>
            </w:pPr>
          </w:p>
        </w:tc>
        <w:tc>
          <w:tcPr>
            <w:tcW w:w="140" w:type="dxa"/>
            <w:vAlign w:val="bottom"/>
            <w:tcBorders>
              <w:top w:val="single" w:sz="8" w:color="DBE5F1"/>
              <w:bottom w:val="single" w:sz="8" w:color="808080"/>
            </w:tcBorders>
          </w:tcPr>
          <w:p>
            <w:pPr>
              <w:spacing w:after="0" w:line="20" w:lineRule="exact"/>
              <w:rPr>
                <w:sz w:val="1"/>
                <w:szCs w:val="1"/>
                <w:color w:val="auto"/>
              </w:rPr>
            </w:pPr>
          </w:p>
        </w:tc>
        <w:tc>
          <w:tcPr>
            <w:tcW w:w="740" w:type="dxa"/>
            <w:vAlign w:val="bottom"/>
            <w:tcBorders>
              <w:top w:val="single" w:sz="8" w:color="auto"/>
              <w:bottom w:val="single" w:sz="8" w:color="808080"/>
            </w:tcBorders>
          </w:tcPr>
          <w:p>
            <w:pPr>
              <w:spacing w:after="0" w:line="20" w:lineRule="exact"/>
              <w:rPr>
                <w:sz w:val="1"/>
                <w:szCs w:val="1"/>
                <w:color w:val="auto"/>
              </w:rPr>
            </w:pPr>
          </w:p>
        </w:tc>
        <w:tc>
          <w:tcPr>
            <w:tcW w:w="160" w:type="dxa"/>
            <w:vAlign w:val="bottom"/>
            <w:tcBorders>
              <w:top w:val="single" w:sz="8" w:color="DBE5F1"/>
              <w:bottom w:val="single" w:sz="8" w:color="808080"/>
            </w:tcBorders>
          </w:tcPr>
          <w:p>
            <w:pPr>
              <w:spacing w:after="0" w:line="20" w:lineRule="exact"/>
              <w:rPr>
                <w:sz w:val="1"/>
                <w:szCs w:val="1"/>
                <w:color w:val="auto"/>
              </w:rPr>
            </w:pPr>
          </w:p>
        </w:tc>
        <w:tc>
          <w:tcPr>
            <w:tcW w:w="660" w:type="dxa"/>
            <w:vAlign w:val="bottom"/>
            <w:tcBorders>
              <w:top w:val="single" w:sz="8" w:color="auto"/>
              <w:bottom w:val="single" w:sz="8" w:color="808080"/>
            </w:tcBorders>
          </w:tcPr>
          <w:p>
            <w:pPr>
              <w:spacing w:after="0" w:line="20" w:lineRule="exact"/>
              <w:rPr>
                <w:sz w:val="1"/>
                <w:szCs w:val="1"/>
                <w:color w:val="auto"/>
              </w:rPr>
            </w:pPr>
          </w:p>
        </w:tc>
        <w:tc>
          <w:tcPr>
            <w:tcW w:w="160" w:type="dxa"/>
            <w:vAlign w:val="bottom"/>
            <w:tcBorders>
              <w:top w:val="single" w:sz="8" w:color="DBE5F1"/>
              <w:bottom w:val="single" w:sz="8" w:color="808080"/>
            </w:tcBorders>
          </w:tcPr>
          <w:p>
            <w:pPr>
              <w:spacing w:after="0" w:line="20" w:lineRule="exact"/>
              <w:rPr>
                <w:sz w:val="1"/>
                <w:szCs w:val="1"/>
                <w:color w:val="auto"/>
              </w:rPr>
            </w:pPr>
          </w:p>
        </w:tc>
        <w:tc>
          <w:tcPr>
            <w:tcW w:w="200" w:type="dxa"/>
            <w:vAlign w:val="bottom"/>
            <w:tcBorders>
              <w:top w:val="single" w:sz="8" w:color="auto"/>
              <w:bottom w:val="single" w:sz="8" w:color="808080"/>
            </w:tcBorders>
          </w:tcPr>
          <w:p>
            <w:pPr>
              <w:spacing w:after="0" w:line="20" w:lineRule="exact"/>
              <w:rPr>
                <w:sz w:val="1"/>
                <w:szCs w:val="1"/>
                <w:color w:val="auto"/>
              </w:rPr>
            </w:pPr>
          </w:p>
        </w:tc>
        <w:tc>
          <w:tcPr>
            <w:tcW w:w="640" w:type="dxa"/>
            <w:vAlign w:val="bottom"/>
            <w:tcBorders>
              <w:top w:val="single" w:sz="8" w:color="auto"/>
              <w:bottom w:val="single" w:sz="8" w:color="808080"/>
            </w:tcBorders>
          </w:tcPr>
          <w:p>
            <w:pPr>
              <w:spacing w:after="0" w:line="20" w:lineRule="exact"/>
              <w:rPr>
                <w:sz w:val="1"/>
                <w:szCs w:val="1"/>
                <w:color w:val="auto"/>
              </w:rPr>
            </w:pPr>
          </w:p>
        </w:tc>
        <w:tc>
          <w:tcPr>
            <w:tcW w:w="120" w:type="dxa"/>
            <w:vAlign w:val="bottom"/>
            <w:tcBorders>
              <w:top w:val="single" w:sz="8" w:color="DBE5F1"/>
              <w:bottom w:val="single" w:sz="8" w:color="808080"/>
            </w:tcBorders>
          </w:tcPr>
          <w:p>
            <w:pPr>
              <w:spacing w:after="0" w:line="20" w:lineRule="exact"/>
              <w:rPr>
                <w:sz w:val="1"/>
                <w:szCs w:val="1"/>
                <w:color w:val="auto"/>
              </w:rPr>
            </w:pPr>
          </w:p>
        </w:tc>
        <w:tc>
          <w:tcPr>
            <w:tcW w:w="740" w:type="dxa"/>
            <w:vAlign w:val="bottom"/>
            <w:tcBorders>
              <w:top w:val="single" w:sz="8" w:color="auto"/>
              <w:bottom w:val="single" w:sz="8" w:color="808080"/>
            </w:tcBorders>
          </w:tcPr>
          <w:p>
            <w:pPr>
              <w:spacing w:after="0" w:line="20" w:lineRule="exact"/>
              <w:rPr>
                <w:sz w:val="1"/>
                <w:szCs w:val="1"/>
                <w:color w:val="auto"/>
              </w:rPr>
            </w:pPr>
          </w:p>
        </w:tc>
        <w:tc>
          <w:tcPr>
            <w:tcW w:w="140" w:type="dxa"/>
            <w:vAlign w:val="bottom"/>
            <w:tcBorders>
              <w:top w:val="single" w:sz="8" w:color="DBE5F1"/>
              <w:bottom w:val="single" w:sz="8" w:color="808080"/>
            </w:tcBorders>
          </w:tcPr>
          <w:p>
            <w:pPr>
              <w:spacing w:after="0" w:line="20" w:lineRule="exact"/>
              <w:rPr>
                <w:sz w:val="1"/>
                <w:szCs w:val="1"/>
                <w:color w:val="auto"/>
              </w:rPr>
            </w:pPr>
          </w:p>
        </w:tc>
        <w:tc>
          <w:tcPr>
            <w:tcW w:w="180" w:type="dxa"/>
            <w:vAlign w:val="bottom"/>
            <w:tcBorders>
              <w:top w:val="single" w:sz="8" w:color="auto"/>
              <w:bottom w:val="single" w:sz="8" w:color="808080"/>
            </w:tcBorders>
          </w:tcPr>
          <w:p>
            <w:pPr>
              <w:spacing w:after="0" w:line="20" w:lineRule="exact"/>
              <w:rPr>
                <w:sz w:val="1"/>
                <w:szCs w:val="1"/>
                <w:color w:val="auto"/>
              </w:rPr>
            </w:pPr>
          </w:p>
        </w:tc>
        <w:tc>
          <w:tcPr>
            <w:tcW w:w="640" w:type="dxa"/>
            <w:vAlign w:val="bottom"/>
            <w:tcBorders>
              <w:top w:val="single" w:sz="8" w:color="auto"/>
              <w:bottom w:val="single" w:sz="8" w:color="808080"/>
            </w:tcBorders>
          </w:tcPr>
          <w:p>
            <w:pPr>
              <w:spacing w:after="0" w:line="20" w:lineRule="exact"/>
              <w:rPr>
                <w:sz w:val="1"/>
                <w:szCs w:val="1"/>
                <w:color w:val="auto"/>
              </w:rPr>
            </w:pPr>
          </w:p>
        </w:tc>
        <w:tc>
          <w:tcPr>
            <w:tcW w:w="140" w:type="dxa"/>
            <w:vAlign w:val="bottom"/>
            <w:tcBorders>
              <w:top w:val="single" w:sz="8" w:color="DBE5F1"/>
              <w:bottom w:val="single" w:sz="8" w:color="808080"/>
            </w:tcBorders>
          </w:tcPr>
          <w:p>
            <w:pPr>
              <w:spacing w:after="0" w:line="20" w:lineRule="exact"/>
              <w:rPr>
                <w:sz w:val="1"/>
                <w:szCs w:val="1"/>
                <w:color w:val="auto"/>
              </w:rPr>
            </w:pPr>
          </w:p>
        </w:tc>
        <w:tc>
          <w:tcPr>
            <w:tcW w:w="700" w:type="dxa"/>
            <w:vAlign w:val="bottom"/>
            <w:tcBorders>
              <w:top w:val="single" w:sz="8" w:color="auto"/>
              <w:bottom w:val="single" w:sz="8" w:color="808080"/>
            </w:tcBorders>
          </w:tcPr>
          <w:p>
            <w:pPr>
              <w:spacing w:after="0" w:line="20" w:lineRule="exact"/>
              <w:rPr>
                <w:sz w:val="1"/>
                <w:szCs w:val="1"/>
                <w:color w:val="auto"/>
              </w:rPr>
            </w:pPr>
          </w:p>
        </w:tc>
        <w:tc>
          <w:tcPr>
            <w:tcW w:w="140" w:type="dxa"/>
            <w:vAlign w:val="bottom"/>
            <w:tcBorders>
              <w:top w:val="single" w:sz="8" w:color="DBE5F1"/>
              <w:bottom w:val="single" w:sz="8" w:color="808080"/>
            </w:tcBorders>
          </w:tcPr>
          <w:p>
            <w:pPr>
              <w:spacing w:after="0" w:line="20" w:lineRule="exact"/>
              <w:rPr>
                <w:sz w:val="1"/>
                <w:szCs w:val="1"/>
                <w:color w:val="auto"/>
              </w:rPr>
            </w:pPr>
          </w:p>
        </w:tc>
        <w:tc>
          <w:tcPr>
            <w:tcW w:w="700" w:type="dxa"/>
            <w:vAlign w:val="bottom"/>
            <w:tcBorders>
              <w:top w:val="single" w:sz="8" w:color="auto"/>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auto"/>
        <w:rPr>
          <w:sz w:val="20"/>
          <w:szCs w:val="20"/>
          <w:color w:val="auto"/>
        </w:rPr>
      </w:pPr>
      <w:r>
        <w:rPr>
          <w:rFonts w:ascii="Arial" w:cs="Arial" w:eastAsia="Arial" w:hAnsi="Arial"/>
          <w:sz w:val="22"/>
          <w:szCs w:val="22"/>
          <w:color w:val="auto"/>
        </w:rPr>
        <w:t>______________________________</w:t>
      </w:r>
    </w:p>
    <w:p>
      <w:pPr>
        <w:spacing w:after="0"/>
        <w:rPr>
          <w:sz w:val="20"/>
          <w:szCs w:val="20"/>
          <w:color w:val="auto"/>
        </w:rPr>
      </w:pPr>
      <w:r>
        <w:rPr>
          <w:rFonts w:ascii="Arial" w:cs="Arial" w:eastAsia="Arial" w:hAnsi="Arial"/>
          <w:sz w:val="22"/>
          <w:szCs w:val="22"/>
          <w:color w:val="auto"/>
        </w:rPr>
        <w:t>¤ Not Meaningful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w:t>
      </w:r>
    </w:p>
    <w:p>
      <w:pPr>
        <w:spacing w:after="0" w:line="239"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Revenue for the quarter ended June 30, 2011 (“2011 Q2”) increased by approximately 20% over the quarter ended June 30, 2010 (“2010 Q2”). The increase was caused by an increase in revenue from our professional and premium conferencing products and NetStreams products in North America and Asia due to continued strength in these economies and higher penetration of our products introduced last year. Revenue from tabletop and personal conferencing products did not change significantly and revenue from media carts declined.</w:t>
      </w:r>
    </w:p>
    <w:p>
      <w:pPr>
        <w:spacing w:after="0" w:line="21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Revenue for the six months ended June 30, 2011 (“2011 H1”) increased by approximately 23% over the six months ended June 30, 2010 (“2010 H1”). The increase was caused by an overall increase in revenue from our professional, personal, premium and tabletop conferencing products due to increased demand for our products in all major geographic regions due to the increasing strength in the global economy and higher penetration of our products introduced last year. Revenue from NetStreams products did not change significantly and revenue from media carts declined.</w:t>
      </w:r>
    </w:p>
    <w:p>
      <w:pPr>
        <w:spacing w:after="0" w:line="206"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During 2011 Q2 and 2010 Q2, the net change in deferred revenue was net recognition of revenue of $811,000 and net deferral of $197,000 respectively. During 2011 H1 and 2010 H1, the net change in deferred revenue was net recognition of revenue of $553,000 and net deferral of $326,000 respectively. See “Critical Accounting Policies and Estimates” under “Revenue and Associated Allowance for Revenue Adjustments and Doubtful Accounts” below for a detailed discussion of deferred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Costs of Goods Sold and Gross Profit</w:t>
      </w:r>
    </w:p>
    <w:p>
      <w:pPr>
        <w:spacing w:after="0" w:line="239"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Our gross profit margin (GPM), which is gross profit as a percentage of revenue, was 60% and 57% in 2011 Q2 and 2010 Q2,</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respectively. </w:t>
      </w:r>
      <w:r>
        <w:rPr>
          <w:rFonts w:ascii="Arial" w:cs="Arial" w:eastAsia="Arial" w:hAnsi="Arial"/>
          <w:sz w:val="17"/>
          <w:szCs w:val="17"/>
          <w:color w:val="auto"/>
        </w:rPr>
        <w:t>GPM for 2011 H1 was 60% compared to 59% during 2010 H1.</w:t>
      </w:r>
    </w:p>
    <w:p>
      <w:pPr>
        <w:spacing w:after="0" w:line="215"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The increase in GPM in 2011 was primarily due to the increase in proportion of high margin products, especially professional products in the mix of products sold.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Operating Expenses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2011 Q2 operating expenses were approximately $5.3 million, an increase of approximately $142,000 from $5.1 million in 2010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Q2 or an increase of 3%. </w:t>
      </w:r>
      <w:r>
        <w:rPr>
          <w:rFonts w:ascii="Arial" w:cs="Arial" w:eastAsia="Arial" w:hAnsi="Arial"/>
          <w:sz w:val="15"/>
          <w:szCs w:val="15"/>
          <w:color w:val="auto"/>
        </w:rPr>
        <w:t>Operating expenses during 2011 H1 were $10.4 million compared to $9.9 million during 2010 H1, or an increase of 5% over 2010</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H1 expenses.</w:t>
      </w:r>
    </w:p>
    <w:p>
      <w:pPr>
        <w:spacing w:after="0" w:line="233" w:lineRule="exact"/>
        <w:rPr>
          <w:sz w:val="20"/>
          <w:szCs w:val="20"/>
          <w:color w:val="auto"/>
        </w:rPr>
      </w:pPr>
    </w:p>
    <w:p>
      <w:pPr>
        <w:ind w:right="560"/>
        <w:spacing w:after="0" w:line="328" w:lineRule="auto"/>
        <w:rPr>
          <w:sz w:val="20"/>
          <w:szCs w:val="20"/>
          <w:color w:val="auto"/>
        </w:rPr>
      </w:pPr>
      <w:r>
        <w:rPr>
          <w:rFonts w:ascii="Arial" w:cs="Arial" w:eastAsia="Arial" w:hAnsi="Arial"/>
          <w:sz w:val="19"/>
          <w:szCs w:val="19"/>
          <w:i w:val="1"/>
          <w:iCs w:val="1"/>
          <w:color w:val="auto"/>
        </w:rPr>
        <w:t xml:space="preserve">Sales and Marketing (“S&amp;M”) Expenses. </w:t>
      </w:r>
      <w:r>
        <w:rPr>
          <w:rFonts w:ascii="Arial" w:cs="Arial" w:eastAsia="Arial" w:hAnsi="Arial"/>
          <w:sz w:val="19"/>
          <w:szCs w:val="19"/>
          <w:color w:val="auto"/>
        </w:rPr>
        <w:t>S&amp;M expenses include selling, customer service, and marketing expenses such as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employee-related costs, allocations of overhead expenses, trade shows, and other advertising and selling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S&amp;M expenses during 2011 Q2 decreased by approximately $77,000, or 4%, when compared to 2010 Q2. The decrease in S&amp;M expenses during 2011 Q2 was primarily due to reduction in employee-related costs and tradeshow costs partially offset by increases in consulting expenses and commissions to independent sales agents.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S&amp;M expenses during 2011 H1 were $4.1 million which was the same as it was in 2010 H1.</w:t>
      </w:r>
    </w:p>
    <w:p>
      <w:pPr>
        <w:spacing w:after="0" w:line="247"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i w:val="1"/>
          <w:iCs w:val="1"/>
          <w:color w:val="auto"/>
        </w:rPr>
        <w:t xml:space="preserve">Research and Development (“R&amp;D”) Expenses. </w:t>
      </w:r>
      <w:r>
        <w:rPr>
          <w:rFonts w:ascii="Arial" w:cs="Arial" w:eastAsia="Arial" w:hAnsi="Arial"/>
          <w:sz w:val="19"/>
          <w:szCs w:val="19"/>
          <w:color w:val="auto"/>
        </w:rPr>
        <w:t>R&amp;D expenses include research and development and product line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employee-related costs, outside services, expensed materials and depreciation, and an allocation of overhead expenses.</w:t>
      </w:r>
    </w:p>
    <w:p>
      <w:pPr>
        <w:spacing w:after="0" w:line="132" w:lineRule="exact"/>
        <w:rPr>
          <w:sz w:val="20"/>
          <w:szCs w:val="20"/>
          <w:color w:val="auto"/>
        </w:rPr>
      </w:pPr>
    </w:p>
    <w:p>
      <w:pPr>
        <w:ind w:right="700"/>
        <w:spacing w:after="0" w:line="258" w:lineRule="auto"/>
        <w:rPr>
          <w:sz w:val="20"/>
          <w:szCs w:val="20"/>
          <w:color w:val="auto"/>
        </w:rPr>
      </w:pPr>
      <w:r>
        <w:rPr>
          <w:rFonts w:ascii="Arial" w:cs="Arial" w:eastAsia="Arial" w:hAnsi="Arial"/>
          <w:sz w:val="21"/>
          <w:szCs w:val="21"/>
          <w:color w:val="auto"/>
        </w:rPr>
        <w:t>R&amp;D expenses during 2011 Q2 increased by $72,000 or 4% compared to R&amp;D expenses during 2010 Q2. The increase was primarily due to increases in employee-related costs and project related costs, partially offset by decreases in facilities and information technology charges and reallocation of an officer’s compensation to G&amp;A.</w:t>
      </w:r>
    </w:p>
    <w:p>
      <w:pPr>
        <w:spacing w:after="0" w:line="19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R&amp;D expenses during 2011 H1 decreased by $195,000 or 5% compared to R&amp;D expenses during 2010 H1. The decrease was primarily due to decreases in facilities and information technology charges and reallocation of an officer’s compensation to G&amp;A, partially offset by increases in project related costs and patenting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340"/>
        <w:spacing w:after="0"/>
        <w:rPr>
          <w:sz w:val="20"/>
          <w:szCs w:val="20"/>
          <w:color w:val="auto"/>
        </w:rPr>
      </w:pPr>
      <w:r>
        <w:rPr>
          <w:rFonts w:ascii="Arial" w:cs="Arial" w:eastAsia="Arial" w:hAnsi="Arial"/>
          <w:sz w:val="22"/>
          <w:szCs w:val="22"/>
          <w:i w:val="1"/>
          <w:iCs w:val="1"/>
          <w:color w:val="auto"/>
        </w:rPr>
        <w:t xml:space="preserve">General and Administrative (“G&amp;A”) Expenses. </w:t>
      </w:r>
      <w:r>
        <w:rPr>
          <w:rFonts w:ascii="Arial" w:cs="Arial" w:eastAsia="Arial" w:hAnsi="Arial"/>
          <w:sz w:val="22"/>
          <w:szCs w:val="22"/>
          <w:color w:val="auto"/>
        </w:rPr>
        <w:t>G&amp;A expenses include employee-related costs, professional service fees,</w:t>
      </w:r>
      <w:r>
        <w:rPr>
          <w:rFonts w:ascii="Arial" w:cs="Arial" w:eastAsia="Arial" w:hAnsi="Arial"/>
          <w:sz w:val="22"/>
          <w:szCs w:val="22"/>
          <w:i w:val="1"/>
          <w:iCs w:val="1"/>
          <w:color w:val="auto"/>
        </w:rPr>
        <w:t xml:space="preserve"> </w:t>
      </w:r>
      <w:r>
        <w:rPr>
          <w:rFonts w:ascii="Arial" w:cs="Arial" w:eastAsia="Arial" w:hAnsi="Arial"/>
          <w:sz w:val="22"/>
          <w:szCs w:val="22"/>
          <w:color w:val="auto"/>
        </w:rPr>
        <w:t>allocations of overhead expenses, litigation costs, and corporate administrative costs, including finance, information technology and human resources.</w:t>
      </w:r>
    </w:p>
    <w:p>
      <w:pPr>
        <w:spacing w:after="0" w:line="213"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G&amp;A expenses during 2011 Q2 increased by $147,000 or 12% compared to expenses during 2010 Q2. G&amp;A expenses increased in 2011 H1 by $687,000 or 32% compared to 2010 H1. The increase was primarily due to increased legal expenses, recruitment expenses and executive bonus and reallocation of officers’ compensation to G&amp;A, partially offset by decreases in audit and accounting fees, facilities and information technology charges and share-based compensation.</w:t>
      </w:r>
    </w:p>
    <w:p>
      <w:pPr>
        <w:spacing w:after="0" w:line="201"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We continue to incur high legal expenses due to litigation to protect our intellectual property and to defend ourselves from indemnification claims made by former officers.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income (expense), net</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22"/>
          <w:szCs w:val="22"/>
          <w:color w:val="auto"/>
        </w:rPr>
        <w:t>Other income (expense), net, includes interest income, interest expense, gain (loss) on the disposal of assets, and currency gain (loss).</w:t>
      </w:r>
    </w:p>
    <w:p>
      <w:pPr>
        <w:spacing w:after="0" w:line="212" w:lineRule="exact"/>
        <w:rPr>
          <w:sz w:val="20"/>
          <w:szCs w:val="20"/>
          <w:color w:val="auto"/>
        </w:rPr>
      </w:pPr>
    </w:p>
    <w:p>
      <w:pPr>
        <w:jc w:val="both"/>
        <w:ind w:right="400"/>
        <w:spacing w:after="0"/>
        <w:rPr>
          <w:sz w:val="20"/>
          <w:szCs w:val="20"/>
          <w:color w:val="auto"/>
        </w:rPr>
      </w:pPr>
      <w:r>
        <w:rPr>
          <w:rFonts w:ascii="Arial" w:cs="Arial" w:eastAsia="Arial" w:hAnsi="Arial"/>
          <w:sz w:val="22"/>
          <w:szCs w:val="22"/>
          <w:color w:val="auto"/>
        </w:rPr>
        <w:t>Other expense, net during 2010 H1 included a loss of approximately $111,000 incurred on disposal of fixed assets and interest expense of approximately $51,000 contributing to the variance between other income, net in 2011 H1 and other expense, net in 2010 H1.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Provision for income taxes</w:t>
      </w:r>
    </w:p>
    <w:p>
      <w:pPr>
        <w:spacing w:after="0" w:line="14" w:lineRule="exact"/>
        <w:rPr>
          <w:sz w:val="20"/>
          <w:szCs w:val="20"/>
          <w:color w:val="auto"/>
        </w:rPr>
      </w:pPr>
    </w:p>
    <w:p>
      <w:pPr>
        <w:ind w:right="460"/>
        <w:spacing w:after="0" w:line="237" w:lineRule="auto"/>
        <w:rPr>
          <w:sz w:val="20"/>
          <w:szCs w:val="20"/>
          <w:color w:val="auto"/>
        </w:rPr>
      </w:pPr>
      <w:r>
        <w:rPr>
          <w:rFonts w:ascii="Arial" w:cs="Arial" w:eastAsia="Arial" w:hAnsi="Arial"/>
          <w:sz w:val="22"/>
          <w:szCs w:val="22"/>
          <w:color w:val="auto"/>
        </w:rPr>
        <w:t>Effective tax rates for 2011 Q2 and 2011 H1 were similar to the effective tax rates for 2010 Q2 and 2010 H1. Income taxes are based on the estimated effective federal, state and foreign income tax rates.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As of June 30, 2011, our cash and cash equivalents were approximately $12.4 million, an increase of $1.0 million compared to cash and cash equivalents of approximately $11.4 million as of December 31, 2010.</w:t>
      </w:r>
    </w:p>
    <w:p>
      <w:pPr>
        <w:spacing w:after="0" w:line="200" w:lineRule="exact"/>
        <w:rPr>
          <w:sz w:val="20"/>
          <w:szCs w:val="20"/>
          <w:color w:val="auto"/>
        </w:rPr>
      </w:pPr>
    </w:p>
    <w:p>
      <w:pPr>
        <w:jc w:val="both"/>
        <w:ind w:right="200"/>
        <w:spacing w:after="0" w:line="328" w:lineRule="auto"/>
        <w:rPr>
          <w:sz w:val="20"/>
          <w:szCs w:val="20"/>
          <w:color w:val="auto"/>
        </w:rPr>
      </w:pPr>
      <w:r>
        <w:rPr>
          <w:rFonts w:ascii="Arial" w:cs="Arial" w:eastAsia="Arial" w:hAnsi="Arial"/>
          <w:sz w:val="19"/>
          <w:szCs w:val="19"/>
          <w:color w:val="auto"/>
        </w:rPr>
        <w:t>Net cash provided by operating activities was $496,000 in 2011 H1, a decrease of approximately $3.1 million from 2010 H1. The decrease was primarily due to payment of accrued liabilities and increase in deferred revenue partially offset by increased profits.</w:t>
      </w:r>
    </w:p>
    <w:p>
      <w:pPr>
        <w:spacing w:after="0" w:line="132"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Net cash used in investing activities in 2011 H1 was approximately $248,000, which consisted of purchases of equipment. Net cash used in investing activities in 2010 H1 consisted of the purchase of equipment of approximately $542,000 offset by the receipt of $350,000 towards the final working capital adjustment from the sellers of NetStreams.</w:t>
      </w:r>
    </w:p>
    <w:p>
      <w:pPr>
        <w:spacing w:after="0" w:line="19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Net cash provided by financing activities during 2011 H1 was approximately $717,000, consisting of proceeds received from issuance of stock upon exercise of stock options. During 2010 H1, $2 million of debt assumed in the acquisition of NetStreams was fully paid, representing the cash used in financing activities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In May 2011, we terminated the Joinder to the Loan and Security Agreement with Square 1 Bank (the “Bank”), and the related Loan and Security Agreement dated November 12, 2008, as amended (the “Loan Agreement”), by and between the Bank, and NetStreams, Inc. and NetStreams, LLC (collectively, “NetStreams”), under which we were named as an additional borrower. We had previously repaid the $2,000,000 liability of NetStreams under the Loan Agreement in March 2010. In connection with the termination, we repaid all remaining outstanding obligations, which consisted solely of the Bank’s expenses in connection with the restructuring of the loan facility and amending and restating the Loan Agreement, and termination of all security interests and liens held by the Bank under the Loan Agreement. In connection with our repayment of the remaining outstanding obligations, all of our indebtedness and obligations to the Bank were discharged in full and the Bank terminated all security interests and other liens held as security under the Loan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As of June 30, 2011 our working capital was $26.5 million as compared to $22.8 million as of December 31, 2010.</w:t>
      </w:r>
    </w:p>
    <w:p>
      <w:pPr>
        <w:spacing w:after="0" w:line="233"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will help us raise additional capital when needed to meet our short and long-term financing needs. In addition to capital expenditures, we may use cash in the near future for selective investments in technological, marketing or product manufacturing capabilities to broaden our product offerings, and acquisitions that may strategically fit our business and are accretive to our business performance. However, no assurance can be given that changes will not occur that would consume available capital resources at a rate more rapidly than anticipated and we may need or want to raise additional capital through debt or equity financing to fund our operations within this period of time.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80"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Our significant accounting policies are described in Note 2 to the Notes to the Consolidated Financial Statements included in our Annual Report on Form 10-K for the year ended December 31, 2010.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Associated Allowances for Revenue Adjustments and Doubtful Accounts</w:t>
      </w:r>
    </w:p>
    <w:p>
      <w:pPr>
        <w:spacing w:after="0" w:line="239" w:lineRule="exact"/>
        <w:rPr>
          <w:sz w:val="20"/>
          <w:szCs w:val="20"/>
          <w:color w:val="auto"/>
        </w:rPr>
      </w:pPr>
    </w:p>
    <w:p>
      <w:pPr>
        <w:jc w:val="both"/>
        <w:ind w:right="80"/>
        <w:spacing w:after="0" w:line="258" w:lineRule="auto"/>
        <w:rPr>
          <w:sz w:val="20"/>
          <w:szCs w:val="20"/>
          <w:color w:val="auto"/>
        </w:rPr>
      </w:pPr>
      <w:r>
        <w:rPr>
          <w:rFonts w:ascii="Arial" w:cs="Arial" w:eastAsia="Arial" w:hAnsi="Arial"/>
          <w:sz w:val="21"/>
          <w:szCs w:val="21"/>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as described below. In a small number of cases, the distributors are also permitted to return the products for other business reasons.</w:t>
      </w:r>
    </w:p>
    <w:p>
      <w:pPr>
        <w:spacing w:after="0" w:line="208"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deferral of revenue and associated cost of goods sold is calculated and recorded based upon the actual channel inventory reported at quarter-end. Further, with respect to distributors and other channel partners not reporting channel inventory, the revenue and associated cost of goods sold are deferred until we receive payment for the product sales made to such distributors or channel partners.</w:t>
      </w:r>
    </w:p>
    <w:p>
      <w:pPr>
        <w:spacing w:after="0" w:line="212" w:lineRule="exact"/>
        <w:rPr>
          <w:sz w:val="20"/>
          <w:szCs w:val="20"/>
          <w:color w:val="auto"/>
        </w:rPr>
      </w:pPr>
    </w:p>
    <w:p>
      <w:pPr>
        <w:jc w:val="both"/>
        <w:ind w:right="80"/>
        <w:spacing w:after="0" w:line="238" w:lineRule="auto"/>
        <w:rPr>
          <w:sz w:val="20"/>
          <w:szCs w:val="20"/>
          <w:color w:val="auto"/>
        </w:rPr>
      </w:pPr>
      <w:r>
        <w:rPr>
          <w:rFonts w:ascii="Arial" w:cs="Arial" w:eastAsia="Arial" w:hAnsi="Arial"/>
          <w:sz w:val="22"/>
          <w:szCs w:val="22"/>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12"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The amounts of deferred cost of goods sold were included in consigned inventory. The following table details the amount of deferred revenue, cost of goods sold, and gross profit:</w:t>
      </w:r>
    </w:p>
    <w:p>
      <w:pPr>
        <w:spacing w:after="0" w:line="212"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640" w:type="dxa"/>
            <w:vAlign w:val="bottom"/>
            <w:tcBorders>
              <w:top w:val="single" w:sz="8" w:color="808080"/>
              <w:left w:val="single" w:sz="8" w:color="808080"/>
            </w:tcBorders>
          </w:tcPr>
          <w:p>
            <w:pPr>
              <w:spacing w:after="0"/>
              <w:rPr>
                <w:sz w:val="21"/>
                <w:szCs w:val="21"/>
                <w:color w:val="auto"/>
              </w:rPr>
            </w:pPr>
          </w:p>
        </w:tc>
        <w:tc>
          <w:tcPr>
            <w:tcW w:w="260" w:type="dxa"/>
            <w:vAlign w:val="bottom"/>
            <w:tcBorders>
              <w:top w:val="single" w:sz="8" w:color="808080"/>
              <w:bottom w:val="single" w:sz="8" w:color="auto"/>
            </w:tcBorders>
          </w:tcPr>
          <w:p>
            <w:pPr>
              <w:spacing w:after="0"/>
              <w:rPr>
                <w:sz w:val="21"/>
                <w:szCs w:val="21"/>
                <w:color w:val="auto"/>
              </w:rPr>
            </w:pPr>
          </w:p>
        </w:tc>
        <w:tc>
          <w:tcPr>
            <w:tcW w:w="1220" w:type="dxa"/>
            <w:vAlign w:val="bottom"/>
            <w:tcBorders>
              <w:top w:val="single" w:sz="8" w:color="808080"/>
              <w:bottom w:val="single" w:sz="8" w:color="auto"/>
            </w:tcBorders>
          </w:tcPr>
          <w:p>
            <w:pPr>
              <w:spacing w:after="0"/>
              <w:rPr>
                <w:sz w:val="21"/>
                <w:szCs w:val="21"/>
                <w:color w:val="auto"/>
              </w:rPr>
            </w:pPr>
          </w:p>
        </w:tc>
        <w:tc>
          <w:tcPr>
            <w:tcW w:w="920" w:type="dxa"/>
            <w:vAlign w:val="bottom"/>
            <w:tcBorders>
              <w:top w:val="single" w:sz="8" w:color="808080"/>
              <w:bottom w:val="single" w:sz="8" w:color="auto"/>
            </w:tcBorders>
            <w:gridSpan w:val="2"/>
          </w:tcPr>
          <w:p>
            <w:pPr>
              <w:jc w:val="right"/>
              <w:ind w:right="454"/>
              <w:spacing w:after="0"/>
              <w:rPr>
                <w:sz w:val="20"/>
                <w:szCs w:val="20"/>
                <w:color w:val="auto"/>
              </w:rPr>
            </w:pPr>
            <w:r>
              <w:rPr>
                <w:rFonts w:ascii="Arial" w:cs="Arial" w:eastAsia="Arial" w:hAnsi="Arial"/>
                <w:sz w:val="16"/>
                <w:szCs w:val="16"/>
                <w:b w:val="1"/>
                <w:bCs w:val="1"/>
                <w:color w:val="auto"/>
                <w:w w:val="89"/>
              </w:rPr>
              <w:t>As of</w:t>
            </w:r>
          </w:p>
        </w:tc>
        <w:tc>
          <w:tcPr>
            <w:tcW w:w="980" w:type="dxa"/>
            <w:vAlign w:val="bottom"/>
            <w:tcBorders>
              <w:top w:val="single" w:sz="8" w:color="808080"/>
              <w:bottom w:val="single" w:sz="8" w:color="auto"/>
            </w:tcBorders>
          </w:tcPr>
          <w:p>
            <w:pPr>
              <w:spacing w:after="0"/>
              <w:rPr>
                <w:sz w:val="21"/>
                <w:szCs w:val="21"/>
                <w:color w:val="auto"/>
              </w:rPr>
            </w:pPr>
          </w:p>
        </w:tc>
        <w:tc>
          <w:tcPr>
            <w:tcW w:w="40" w:type="dxa"/>
            <w:vAlign w:val="bottom"/>
            <w:tcBorders>
              <w:top w:val="single" w:sz="8" w:color="808080"/>
              <w:right w:val="single" w:sz="8" w:color="808080"/>
            </w:tcBorders>
          </w:tcPr>
          <w:p>
            <w:pPr>
              <w:spacing w:after="0"/>
              <w:rPr>
                <w:sz w:val="21"/>
                <w:szCs w:val="21"/>
                <w:color w:val="auto"/>
              </w:rPr>
            </w:pPr>
          </w:p>
        </w:tc>
      </w:tr>
      <w:tr>
        <w:trPr>
          <w:trHeight w:val="210"/>
        </w:trPr>
        <w:tc>
          <w:tcPr>
            <w:tcW w:w="3640" w:type="dxa"/>
            <w:vAlign w:val="bottom"/>
            <w:tcBorders>
              <w:left w:val="single" w:sz="8" w:color="808080"/>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88"/>
              </w:rPr>
              <w:t>June 30, 2011</w:t>
            </w:r>
          </w:p>
        </w:tc>
        <w:tc>
          <w:tcPr>
            <w:tcW w:w="30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6"/>
                <w:szCs w:val="16"/>
                <w:b w:val="1"/>
                <w:bCs w:val="1"/>
                <w:color w:val="auto"/>
                <w:w w:val="99"/>
              </w:rPr>
              <w:t>December 31, 2010</w:t>
            </w:r>
          </w:p>
        </w:tc>
        <w:tc>
          <w:tcPr>
            <w:tcW w:w="40" w:type="dxa"/>
            <w:vAlign w:val="bottom"/>
            <w:tcBorders>
              <w:right w:val="single" w:sz="8" w:color="808080"/>
            </w:tcBorders>
          </w:tcPr>
          <w:p>
            <w:pPr>
              <w:spacing w:after="0"/>
              <w:rPr>
                <w:sz w:val="18"/>
                <w:szCs w:val="18"/>
                <w:color w:val="auto"/>
              </w:rPr>
            </w:pPr>
          </w:p>
        </w:tc>
      </w:tr>
      <w:tr>
        <w:trPr>
          <w:trHeight w:val="226"/>
        </w:trPr>
        <w:tc>
          <w:tcPr>
            <w:tcW w:w="3640" w:type="dxa"/>
            <w:vAlign w:val="bottom"/>
            <w:tcBorders>
              <w:left w:val="single" w:sz="8" w:color="808080"/>
            </w:tcBorders>
            <w:shd w:val="clear" w:color="auto" w:fill="DBE5F1"/>
          </w:tcPr>
          <w:p>
            <w:pPr>
              <w:ind w:left="8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E5F1"/>
          </w:tcPr>
          <w:p>
            <w:pPr>
              <w:jc w:val="right"/>
              <w:ind w:right="132"/>
              <w:spacing w:after="0"/>
              <w:rPr>
                <w:sz w:val="20"/>
                <w:szCs w:val="20"/>
                <w:color w:val="auto"/>
              </w:rPr>
            </w:pPr>
            <w:r>
              <w:rPr>
                <w:rFonts w:ascii="Arial" w:cs="Arial" w:eastAsia="Arial" w:hAnsi="Arial"/>
                <w:sz w:val="18"/>
                <w:szCs w:val="18"/>
                <w:color w:val="auto"/>
              </w:rPr>
              <w:t>3,753</w:t>
            </w:r>
          </w:p>
        </w:tc>
        <w:tc>
          <w:tcPr>
            <w:tcW w:w="920" w:type="dxa"/>
            <w:vAlign w:val="bottom"/>
            <w:gridSpan w:val="2"/>
            <w:shd w:val="clear" w:color="auto" w:fill="DBE5F1"/>
          </w:tcPr>
          <w:p>
            <w:pPr>
              <w:jc w:val="right"/>
              <w:ind w:right="274"/>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ind w:right="110"/>
              <w:spacing w:after="0"/>
              <w:rPr>
                <w:sz w:val="20"/>
                <w:szCs w:val="20"/>
                <w:color w:val="auto"/>
              </w:rPr>
            </w:pPr>
            <w:r>
              <w:rPr>
                <w:rFonts w:ascii="Arial" w:cs="Arial" w:eastAsia="Arial" w:hAnsi="Arial"/>
                <w:sz w:val="18"/>
                <w:szCs w:val="18"/>
                <w:color w:val="auto"/>
              </w:rPr>
              <w:t>4,306</w:t>
            </w:r>
          </w:p>
        </w:tc>
        <w:tc>
          <w:tcPr>
            <w:tcW w:w="40" w:type="dxa"/>
            <w:vAlign w:val="bottom"/>
            <w:tcBorders>
              <w:right w:val="single" w:sz="8" w:color="808080"/>
            </w:tcBorders>
          </w:tcPr>
          <w:p>
            <w:pPr>
              <w:spacing w:after="0"/>
              <w:rPr>
                <w:sz w:val="19"/>
                <w:szCs w:val="19"/>
                <w:color w:val="auto"/>
              </w:rPr>
            </w:pPr>
          </w:p>
        </w:tc>
      </w:tr>
      <w:tr>
        <w:trPr>
          <w:trHeight w:val="230"/>
        </w:trPr>
        <w:tc>
          <w:tcPr>
            <w:tcW w:w="3640" w:type="dxa"/>
            <w:vAlign w:val="bottom"/>
            <w:tcBorders>
              <w:left w:val="single" w:sz="8" w:color="808080"/>
              <w:bottom w:val="single" w:sz="8" w:color="DBE5F1"/>
            </w:tcBorders>
          </w:tcPr>
          <w:p>
            <w:pPr>
              <w:ind w:left="80"/>
              <w:spacing w:after="0"/>
              <w:rPr>
                <w:sz w:val="20"/>
                <w:szCs w:val="20"/>
                <w:color w:val="auto"/>
              </w:rPr>
            </w:pPr>
            <w:r>
              <w:rPr>
                <w:rFonts w:ascii="Arial" w:cs="Arial" w:eastAsia="Arial" w:hAnsi="Arial"/>
                <w:sz w:val="18"/>
                <w:szCs w:val="18"/>
                <w:color w:val="auto"/>
              </w:rPr>
              <w:t>Deferred Cost of Goods Sold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1,393</w:t>
            </w:r>
          </w:p>
        </w:tc>
        <w:tc>
          <w:tcPr>
            <w:tcW w:w="300" w:type="dxa"/>
            <w:vAlign w:val="bottom"/>
            <w:tcBorders>
              <w:bottom w:val="single" w:sz="8" w:color="DBE5F1"/>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1,742</w:t>
            </w:r>
          </w:p>
        </w:tc>
        <w:tc>
          <w:tcPr>
            <w:tcW w:w="40" w:type="dxa"/>
            <w:vAlign w:val="bottom"/>
            <w:tcBorders>
              <w:right w:val="single" w:sz="8" w:color="808080"/>
            </w:tcBorders>
          </w:tcPr>
          <w:p>
            <w:pPr>
              <w:spacing w:after="0"/>
              <w:rPr>
                <w:sz w:val="19"/>
                <w:szCs w:val="19"/>
                <w:color w:val="auto"/>
              </w:rPr>
            </w:pPr>
          </w:p>
        </w:tc>
      </w:tr>
      <w:tr>
        <w:trPr>
          <w:trHeight w:val="223"/>
        </w:trPr>
        <w:tc>
          <w:tcPr>
            <w:tcW w:w="3640" w:type="dxa"/>
            <w:vAlign w:val="bottom"/>
            <w:tcBorders>
              <w:left w:val="single" w:sz="8" w:color="808080"/>
              <w:bottom w:val="single" w:sz="8" w:color="DBE5F1"/>
            </w:tcBorders>
            <w:shd w:val="clear" w:color="auto" w:fill="DBE5F1"/>
          </w:tcPr>
          <w:p>
            <w:pPr>
              <w:ind w:left="80"/>
              <w:spacing w:after="0" w:line="182" w:lineRule="exact"/>
              <w:rPr>
                <w:sz w:val="20"/>
                <w:szCs w:val="20"/>
                <w:color w:val="auto"/>
              </w:rPr>
            </w:pPr>
            <w:r>
              <w:rPr>
                <w:rFonts w:ascii="Arial" w:cs="Arial" w:eastAsia="Arial" w:hAnsi="Arial"/>
                <w:sz w:val="18"/>
                <w:szCs w:val="18"/>
                <w:color w:val="auto"/>
              </w:rPr>
              <w:t>Deferred Gross Profit</w:t>
            </w:r>
          </w:p>
        </w:tc>
        <w:tc>
          <w:tcPr>
            <w:tcW w:w="260" w:type="dxa"/>
            <w:vAlign w:val="bottom"/>
            <w:tcBorders>
              <w:bottom w:val="single" w:sz="8" w:color="auto"/>
            </w:tcBorders>
            <w:shd w:val="clear" w:color="auto" w:fill="DBE5F1"/>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E5F1"/>
          </w:tcPr>
          <w:p>
            <w:pPr>
              <w:jc w:val="right"/>
              <w:ind w:right="132"/>
              <w:spacing w:after="0" w:line="182" w:lineRule="exact"/>
              <w:rPr>
                <w:sz w:val="20"/>
                <w:szCs w:val="20"/>
                <w:color w:val="auto"/>
              </w:rPr>
            </w:pPr>
            <w:r>
              <w:rPr>
                <w:rFonts w:ascii="Arial" w:cs="Arial" w:eastAsia="Arial" w:hAnsi="Arial"/>
                <w:sz w:val="18"/>
                <w:szCs w:val="18"/>
                <w:color w:val="auto"/>
              </w:rPr>
              <w:t>2,360</w:t>
            </w:r>
          </w:p>
        </w:tc>
        <w:tc>
          <w:tcPr>
            <w:tcW w:w="300" w:type="dxa"/>
            <w:vAlign w:val="bottom"/>
            <w:tcBorders>
              <w:bottom w:val="single" w:sz="8" w:color="DBE5F1"/>
            </w:tcBorders>
            <w:shd w:val="clear" w:color="auto" w:fill="DBE5F1"/>
          </w:tcPr>
          <w:p>
            <w:pPr>
              <w:spacing w:after="0"/>
              <w:rPr>
                <w:sz w:val="19"/>
                <w:szCs w:val="19"/>
                <w:color w:val="auto"/>
              </w:rPr>
            </w:pPr>
          </w:p>
        </w:tc>
        <w:tc>
          <w:tcPr>
            <w:tcW w:w="620" w:type="dxa"/>
            <w:vAlign w:val="bottom"/>
            <w:tcBorders>
              <w:bottom w:val="single" w:sz="8" w:color="auto"/>
            </w:tcBorders>
            <w:shd w:val="clear" w:color="auto" w:fill="DBE5F1"/>
          </w:tcPr>
          <w:p>
            <w:pPr>
              <w:jc w:val="right"/>
              <w:ind w:right="274"/>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E5F1"/>
          </w:tcPr>
          <w:p>
            <w:pPr>
              <w:jc w:val="right"/>
              <w:ind w:right="110"/>
              <w:spacing w:after="0" w:line="182" w:lineRule="exact"/>
              <w:rPr>
                <w:sz w:val="20"/>
                <w:szCs w:val="20"/>
                <w:color w:val="auto"/>
              </w:rPr>
            </w:pPr>
            <w:r>
              <w:rPr>
                <w:rFonts w:ascii="Arial" w:cs="Arial" w:eastAsia="Arial" w:hAnsi="Arial"/>
                <w:sz w:val="18"/>
                <w:szCs w:val="18"/>
                <w:color w:val="auto"/>
              </w:rPr>
              <w:t>2,564</w:t>
            </w:r>
          </w:p>
        </w:tc>
        <w:tc>
          <w:tcPr>
            <w:tcW w:w="40" w:type="dxa"/>
            <w:vAlign w:val="bottom"/>
            <w:tcBorders>
              <w:right w:val="single" w:sz="8" w:color="808080"/>
            </w:tcBorders>
          </w:tcPr>
          <w:p>
            <w:pPr>
              <w:spacing w:after="0"/>
              <w:rPr>
                <w:sz w:val="19"/>
                <w:szCs w:val="19"/>
                <w:color w:val="auto"/>
              </w:rPr>
            </w:pPr>
          </w:p>
        </w:tc>
      </w:tr>
      <w:tr>
        <w:trPr>
          <w:trHeight w:val="20"/>
        </w:trPr>
        <w:tc>
          <w:tcPr>
            <w:tcW w:w="3640" w:type="dxa"/>
            <w:vAlign w:val="bottom"/>
            <w:tcBorders>
              <w:left w:val="single" w:sz="8" w:color="808080"/>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Goodwill and Intangible Assets</w:t>
      </w:r>
    </w:p>
    <w:p>
      <w:pPr>
        <w:spacing w:after="0" w:line="239"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allocated the purchase price of our acquisition of NetStreams, Inc. on the basis of well established valuation techniques performed by qualified experts. Goodwill is measured as the excess of the cost of acquisition over the sum of the amounts assigned to tangible and identifiable intangible assets acquired less liabilities assumed. We intend to perform impairment tests of goodwill and intangible assets with an indefinite useful life, on an annual basis in the fourth fiscal quarter, or sooner if a triggering event occurs suggesting possible impairment of the values of these assets. As of June 30, 2011, $726,000 and $400,000 have been recorded as goodwill and intangible assets with an indefinite useful life, respectively.</w:t>
      </w:r>
    </w:p>
    <w:p>
      <w:pPr>
        <w:spacing w:after="0" w:line="178"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color w:val="auto"/>
        </w:rPr>
        <w:t>In response to changes in industry, technology and competitive circumstances we might be required to exit or dispose of the business acquired through NetStreams, Inc., which could result in an impairment of goodwill and intangible assets.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Long-Lived Assets</w:t>
      </w:r>
    </w:p>
    <w:p>
      <w:pPr>
        <w:spacing w:after="0" w:line="239"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for Income Taxes</w:t>
      </w:r>
    </w:p>
    <w:p>
      <w:pPr>
        <w:spacing w:after="0" w:line="239"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June 30, 2011 is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Lower-of-Cost or Market Adjustments and Reserves for Excess and Obsolete Inventory</w:t>
      </w:r>
    </w:p>
    <w:p>
      <w:pPr>
        <w:spacing w:after="0" w:line="104"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established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Share-Based Payment</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In December 2004, the FASB issued guidelines now contained under FASB ASC Topic 718, </w:t>
      </w:r>
      <w:r>
        <w:rPr>
          <w:rFonts w:ascii="Arial" w:cs="Arial" w:eastAsia="Arial" w:hAnsi="Arial"/>
          <w:sz w:val="21"/>
          <w:szCs w:val="21"/>
          <w:i w:val="1"/>
          <w:iCs w:val="1"/>
          <w:color w:val="auto"/>
        </w:rPr>
        <w:t>Compensation – Stock Compensation</w:t>
      </w:r>
      <w:r>
        <w:rPr>
          <w:rFonts w:ascii="Arial" w:cs="Arial" w:eastAsia="Arial" w:hAnsi="Arial"/>
          <w:sz w:val="21"/>
          <w:szCs w:val="21"/>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 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An evaluation of the effectiveness of our disclosure controls and procedures (as defined in Rules 13a-15(e) and 15d-15(e) of the Exchange Act) as of June 30, 2011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June 30, 2011 to ensure that information required to be disclosed by us in reports we file or submit under the Exchange Act is recorded, processed, summarized and reported as specified in the SEC’s rules and forms.</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There was no change in our internal control over financial reporting during the quarter ended June 30, 2011 that materially affected, or that we believe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following is an update to the status of the legal proceedings and commitments and contingencies reported in our Form 10-K for the year ended December 31, 2010 under Part I, Item 3. Legal Proceedings and Note - 9 Commitments and Contingencies of the Notes to Consolidated Financial Statements (Part II, Item 8), as supplemented in our Form 10-Q for the period ended March 31, 2011 under Part II, Item 1. Legal Proceedings.</w:t>
      </w:r>
    </w:p>
    <w:p>
      <w:pPr>
        <w:spacing w:after="0" w:line="206"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b w:val="1"/>
          <w:bCs w:val="1"/>
          <w:i w:val="1"/>
          <w:iCs w:val="1"/>
          <w:color w:val="auto"/>
        </w:rPr>
        <w:t>Former Officer Indemnification</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Flood</w:t>
      </w:r>
      <w:r>
        <w:rPr>
          <w:rFonts w:ascii="Arial" w:cs="Arial" w:eastAsia="Arial" w:hAnsi="Arial"/>
          <w:sz w:val="22"/>
          <w:szCs w:val="22"/>
          <w:color w:val="auto"/>
        </w:rPr>
        <w:t>: On November 29, 2010, ClearOne filed a motion in the United States District Court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District of Utah seeking a turn-over of $248,000 ClearOne previously paid into the court’s escrow account and for restitution from Flood’s attorneys $373,000 paid to them by ClearOne as compelled by the U.S. District Court’s January 2009 preliminary injunction order which was subsequently vacated by the United States Court of Appeals for the Tenth Circuit on August 30, 2010. ClearOne’s motion for a turn-over of the escrow money and for restitution of the amount paid to Flood’s attorneys remains pending.</w:t>
      </w:r>
    </w:p>
    <w:p>
      <w:pPr>
        <w:spacing w:after="0" w:line="209"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b w:val="1"/>
          <w:bCs w:val="1"/>
          <w:color w:val="auto"/>
        </w:rPr>
        <w:t xml:space="preserve">Strohm: </w:t>
      </w:r>
      <w:r>
        <w:rPr>
          <w:rFonts w:ascii="Arial" w:cs="Arial" w:eastAsia="Arial" w:hAnsi="Arial"/>
          <w:sz w:val="22"/>
          <w:szCs w:val="22"/>
          <w:color w:val="auto"/>
        </w:rPr>
        <w:t>On June 8, 2011, the Utah State court entered a judgment in Strohm’s indemnification case against ClearOne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amount of $2.2 million for fees and expenses incurred in connection with Strohm’s criminal case defending herself and civil case against ClearOne, and interest. ClearOne has paid to Strohm’s counsel, under protest, the outstanding criminal case fees and expenses of $973,000, and the balance of the judgment has been paid to the Third Judicial District Court in Salt Lake City, Utah as a cash bond. Both ClearOne and Strohm’s counsel have appealed the judgment and ClearOne requested that the Utah Supreme Court retain jurisdiction to hear and resolve the appeal. On August 4, 2011, the highest court in the state of Utah, the Utah Supreme Court, decided to retain the appeal on its docket and vacated its prior order transferring the appeal to the Utah Court of Appeals.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22"/>
          <w:szCs w:val="22"/>
          <w:b w:val="1"/>
          <w:bCs w:val="1"/>
          <w:color w:val="auto"/>
        </w:rPr>
        <w:t>CLEARONE COMMUNICATIONS, INC.</w:t>
      </w:r>
    </w:p>
    <w:p>
      <w:pPr>
        <w:spacing w:after="0" w:line="240"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i w:val="1"/>
          <w:iCs w:val="1"/>
          <w:color w:val="auto"/>
        </w:rPr>
        <w:t xml:space="preserve">ARS Special Arbitration. </w:t>
      </w:r>
      <w:r>
        <w:rPr>
          <w:rFonts w:ascii="Arial" w:cs="Arial" w:eastAsia="Arial" w:hAnsi="Arial"/>
          <w:sz w:val="19"/>
          <w:szCs w:val="19"/>
          <w:color w:val="auto"/>
        </w:rPr>
        <w:t>In January 2010, we filed an arbitration proceeding against UBS Financial Services, Inc. (“UBS”)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Financial Industry Regulatory Authority (“FINRA”) pursuant to the Auction Rate Securities (“ARS”) Special Arbitration Procedures established by FINRA for securities firms who entered into settlement agreements with the SEC regarding the firms’ sales of auction rate securities. We also filed a separate FINRA arbitration proceeding against Morgan Stanley &amp; Co., Inc. (“Morgan Stanley”) pursuant to the ARS Special Arbitration Proceedings established for securities firms that entered into settlement agreements with the Office of the New York State Attorney General. At the relevant time we held an aggregate of $12.2 million in ARS from UBS and Morgan Stanley, which turned out to be illiquid. In October 2008, we accepted offers to repurchase our $12.2 million of ARS, at par value, from these two investment banks that sold them to us pursuant to the settlement agreements, but did not waive any claims for consequential damages. In both arbitration proceedings, we are seeking consequential damages as a result of our inability to access funds invested in ARS that UBS and Morgan Stanley sold to us, including losses with respect to a planned strategic business acquisition and related due diligence costs. The arbitration against Morgan Stanley is currently set for hearing in Salt Lake City, Utah beginning in October 2011, and the arbitration against UBS is currently set for hearing in Salt Lake City, Utah in January 2012. We cannot predict the outcome of these proceedings.</w:t>
      </w:r>
    </w:p>
    <w:p>
      <w:pPr>
        <w:spacing w:after="0" w:line="184"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b w:val="1"/>
          <w:bCs w:val="1"/>
          <w:i w:val="1"/>
          <w:iCs w:val="1"/>
          <w:color w:val="auto"/>
        </w:rPr>
        <w:t xml:space="preserve">Theft of Intellectual Property and Related Cases. </w:t>
      </w:r>
      <w:r>
        <w:rPr>
          <w:rFonts w:ascii="Arial" w:cs="Arial" w:eastAsia="Arial" w:hAnsi="Arial"/>
          <w:sz w:val="21"/>
          <w:szCs w:val="21"/>
          <w:color w:val="auto"/>
        </w:rPr>
        <w:t>Oral argument was held on the appeals on May 10, 2011. On June 27, 2011,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Tenth Circuit affirmed in all respects the verdict and related rulings against the WideBand Defendants. On July 8, 2011, the Tenth Circuit affirmed the contempt orders against Donald Bowers and the other contempt defendants. On August 8, 2011, the Tenth Circuit affirmed Biamp’s liability, including the federal district court’s award of exemplary damages based upon the finding that Biamp’s misappropriation was willful and malicious, but made two reductions in the amount of damages. The amount of ClearOne’s judgment against Biamp is estimated to be $3.7 million, not including additional amounts that may be awarded for attorney fees. This amount reflects reductions by the Tenth Circuit Court of Appeals of approximately $1.1 million from the federal district court’s previous judgment of about $4.8 million. On August 9, 2011, the Tenth Circuit denied ClearOne’s appeal requesting additional pre-judgment interest.</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 expect to collect the judgment against Biamp from the approximately $3.7 million cash bond posted by Biamp. As of the issuance date of this filing, we have not collected this judgment and are awaiting any further action by Biamp. As to the balance of the awards against the other defendants, while we intend to vigorously pursue collection of the damage awards, there can be no assurance that we will ultimately collect on all or a portion of these award.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20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22" w:name="page23"/>
    <w:bookmarkEnd w:id="22"/>
    <w:p>
      <w:pPr>
        <w:jc w:val="center"/>
        <w:ind w:right="-15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REMOVED AND RESERVED.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206"/>
        </w:trPr>
        <w:tc>
          <w:tcPr>
            <w:tcW w:w="80" w:type="dxa"/>
            <w:vAlign w:val="bottom"/>
            <w:tcBorders>
              <w:top w:val="single" w:sz="8" w:color="808080"/>
              <w:left w:val="single" w:sz="8" w:color="808080"/>
            </w:tcBorders>
          </w:tcPr>
          <w:p>
            <w:pPr>
              <w:spacing w:after="0"/>
              <w:rPr>
                <w:sz w:val="17"/>
                <w:szCs w:val="17"/>
                <w:color w:val="auto"/>
              </w:rPr>
            </w:pPr>
          </w:p>
        </w:tc>
        <w:tc>
          <w:tcPr>
            <w:tcW w:w="1600" w:type="dxa"/>
            <w:vAlign w:val="bottom"/>
            <w:tcBorders>
              <w:top w:val="single" w:sz="8" w:color="808080"/>
            </w:tcBorders>
            <w:gridSpan w:val="2"/>
          </w:tcPr>
          <w:p>
            <w:pPr>
              <w:spacing w:after="0" w:line="206" w:lineRule="exact"/>
              <w:rPr>
                <w:sz w:val="20"/>
                <w:szCs w:val="20"/>
                <w:color w:val="auto"/>
              </w:rPr>
            </w:pPr>
            <w:r>
              <w:rPr>
                <w:rFonts w:ascii="Arial" w:cs="Arial" w:eastAsia="Arial" w:hAnsi="Arial"/>
                <w:sz w:val="18"/>
                <w:szCs w:val="18"/>
                <w:b w:val="1"/>
                <w:bCs w:val="1"/>
                <w:color w:val="auto"/>
              </w:rPr>
              <w:t>Exhibit No.</w:t>
            </w:r>
          </w:p>
        </w:tc>
        <w:tc>
          <w:tcPr>
            <w:tcW w:w="4880" w:type="dxa"/>
            <w:vAlign w:val="bottom"/>
            <w:tcBorders>
              <w:top w:val="single" w:sz="8" w:color="808080"/>
              <w:right w:val="single" w:sz="8" w:color="808080"/>
            </w:tcBorders>
            <w:gridSpan w:val="3"/>
          </w:tcPr>
          <w:p>
            <w:pPr>
              <w:spacing w:after="0" w:line="206" w:lineRule="exact"/>
              <w:rPr>
                <w:sz w:val="20"/>
                <w:szCs w:val="20"/>
                <w:color w:val="auto"/>
              </w:rPr>
            </w:pPr>
            <w:r>
              <w:rPr>
                <w:rFonts w:ascii="Arial" w:cs="Arial" w:eastAsia="Arial" w:hAnsi="Arial"/>
                <w:sz w:val="18"/>
                <w:szCs w:val="18"/>
                <w:b w:val="1"/>
                <w:bCs w:val="1"/>
                <w:color w:val="auto"/>
              </w:rPr>
              <w:t>Title of Document</w:t>
            </w:r>
          </w:p>
        </w:tc>
      </w:tr>
      <w:tr>
        <w:trPr>
          <w:trHeight w:val="20"/>
        </w:trPr>
        <w:tc>
          <w:tcPr>
            <w:tcW w:w="80" w:type="dxa"/>
            <w:vAlign w:val="bottom"/>
            <w:tcBorders>
              <w:left w:val="single" w:sz="8" w:color="808080"/>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80" w:type="dxa"/>
            <w:vAlign w:val="bottom"/>
            <w:tcBorders>
              <w:right w:val="single" w:sz="8" w:color="808080"/>
            </w:tcBorders>
          </w:tcPr>
          <w:p>
            <w:pPr>
              <w:spacing w:after="0" w:line="20" w:lineRule="exact"/>
              <w:rPr>
                <w:sz w:val="1"/>
                <w:szCs w:val="1"/>
                <w:color w:val="auto"/>
              </w:rPr>
            </w:pPr>
          </w:p>
        </w:tc>
      </w:tr>
      <w:tr>
        <w:trPr>
          <w:trHeight w:val="291"/>
        </w:trPr>
        <w:tc>
          <w:tcPr>
            <w:tcW w:w="80" w:type="dxa"/>
            <w:vAlign w:val="bottom"/>
            <w:tcBorders>
              <w:left w:val="single" w:sz="8" w:color="808080"/>
            </w:tcBorders>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000" w:type="dxa"/>
            <w:vAlign w:val="bottom"/>
            <w:tcBorders>
              <w:right w:val="single" w:sz="8" w:color="808080"/>
            </w:tcBorders>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24"/>
        </w:trPr>
        <w:tc>
          <w:tcPr>
            <w:tcW w:w="960" w:type="dxa"/>
            <w:vAlign w:val="bottom"/>
            <w:tcBorders>
              <w:left w:val="single" w:sz="8" w:color="808080"/>
            </w:tcBorders>
            <w:gridSpan w:val="2"/>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000" w:type="dxa"/>
            <w:vAlign w:val="bottom"/>
            <w:tcBorders>
              <w:right w:val="single" w:sz="8" w:color="808080"/>
            </w:tcBorders>
            <w:gridSpan w:val="2"/>
          </w:tcPr>
          <w:p>
            <w:pPr>
              <w:ind w:left="20"/>
              <w:spacing w:after="0"/>
              <w:rPr>
                <w:sz w:val="20"/>
                <w:szCs w:val="20"/>
                <w:color w:val="auto"/>
              </w:rPr>
            </w:pPr>
            <w:r>
              <w:rPr>
                <w:rFonts w:ascii="Arial" w:cs="Arial" w:eastAsia="Arial" w:hAnsi="Arial"/>
                <w:sz w:val="18"/>
                <w:szCs w:val="18"/>
                <w:color w:val="auto"/>
              </w:rPr>
              <w:t>Certification of Principal Financial Officer</w:t>
            </w:r>
          </w:p>
        </w:tc>
      </w:tr>
      <w:tr>
        <w:trPr>
          <w:trHeight w:val="324"/>
        </w:trPr>
        <w:tc>
          <w:tcPr>
            <w:tcW w:w="960" w:type="dxa"/>
            <w:vAlign w:val="bottom"/>
            <w:tcBorders>
              <w:left w:val="single" w:sz="8" w:color="808080"/>
            </w:tcBorders>
            <w:gridSpan w:val="2"/>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000" w:type="dxa"/>
            <w:vAlign w:val="bottom"/>
            <w:tcBorders>
              <w:right w:val="single" w:sz="8" w:color="808080"/>
            </w:tcBorders>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24"/>
        </w:trPr>
        <w:tc>
          <w:tcPr>
            <w:tcW w:w="960" w:type="dxa"/>
            <w:vAlign w:val="bottom"/>
            <w:tcBorders>
              <w:left w:val="single" w:sz="8" w:color="808080"/>
            </w:tcBorders>
            <w:gridSpan w:val="2"/>
          </w:tcPr>
          <w:p>
            <w:pPr>
              <w:ind w:left="8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000" w:type="dxa"/>
            <w:vAlign w:val="bottom"/>
            <w:tcBorders>
              <w:right w:val="single" w:sz="8" w:color="808080"/>
            </w:tcBorders>
            <w:gridSpan w:val="2"/>
          </w:tcPr>
          <w:p>
            <w:pPr>
              <w:ind w:left="20"/>
              <w:spacing w:after="0"/>
              <w:rPr>
                <w:sz w:val="20"/>
                <w:szCs w:val="20"/>
                <w:color w:val="auto"/>
              </w:rPr>
            </w:pPr>
            <w:r>
              <w:rPr>
                <w:rFonts w:ascii="Arial" w:cs="Arial" w:eastAsia="Arial" w:hAnsi="Arial"/>
                <w:sz w:val="18"/>
                <w:szCs w:val="18"/>
                <w:color w:val="auto"/>
              </w:rPr>
              <w:t>Certification of Principal Financial Officer</w:t>
            </w:r>
          </w:p>
        </w:tc>
      </w:tr>
      <w:tr>
        <w:trPr>
          <w:trHeight w:val="324"/>
        </w:trPr>
        <w:tc>
          <w:tcPr>
            <w:tcW w:w="960" w:type="dxa"/>
            <w:vAlign w:val="bottom"/>
            <w:tcBorders>
              <w:left w:val="single" w:sz="8" w:color="808080"/>
            </w:tcBorders>
            <w:gridSpan w:val="2"/>
          </w:tcPr>
          <w:p>
            <w:pPr>
              <w:ind w:left="80"/>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4880" w:type="dxa"/>
            <w:vAlign w:val="bottom"/>
            <w:tcBorders>
              <w:right w:val="single" w:sz="8" w:color="808080"/>
            </w:tcBorders>
            <w:gridSpan w:val="3"/>
          </w:tcPr>
          <w:p>
            <w:pPr>
              <w:spacing w:after="0"/>
              <w:rPr>
                <w:sz w:val="20"/>
                <w:szCs w:val="20"/>
                <w:color w:val="auto"/>
              </w:rPr>
            </w:pPr>
            <w:r>
              <w:rPr>
                <w:rFonts w:ascii="Arial" w:cs="Arial" w:eastAsia="Arial" w:hAnsi="Arial"/>
                <w:sz w:val="18"/>
                <w:szCs w:val="18"/>
                <w:color w:val="auto"/>
                <w:w w:val="98"/>
              </w:rPr>
              <w:t>Interactive Data Files pursuant to Rule 405 of Regulation S-T*</w:t>
            </w:r>
          </w:p>
        </w:tc>
      </w:tr>
      <w:tr>
        <w:trPr>
          <w:trHeight w:val="64"/>
        </w:trPr>
        <w:tc>
          <w:tcPr>
            <w:tcW w:w="80" w:type="dxa"/>
            <w:vAlign w:val="bottom"/>
            <w:tcBorders>
              <w:left w:val="single" w:sz="8" w:color="808080"/>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480" w:type="dxa"/>
            <w:vAlign w:val="bottom"/>
            <w:tcBorders>
              <w:bottom w:val="single" w:sz="8" w:color="808080"/>
              <w:right w:val="single" w:sz="8" w:color="808080"/>
            </w:tcBorders>
          </w:tcPr>
          <w:p>
            <w:pPr>
              <w:spacing w:after="0"/>
              <w:rPr>
                <w:sz w:val="5"/>
                <w:szCs w:val="5"/>
                <w:color w:val="auto"/>
              </w:rPr>
            </w:pPr>
          </w:p>
        </w:tc>
      </w:tr>
    </w:tbl>
    <w:p>
      <w:pPr>
        <w:spacing w:after="0" w:line="237" w:lineRule="auto"/>
        <w:rPr>
          <w:sz w:val="20"/>
          <w:szCs w:val="20"/>
          <w:color w:val="auto"/>
        </w:rPr>
      </w:pPr>
      <w:r>
        <w:rPr>
          <w:rFonts w:ascii="Arial" w:cs="Arial" w:eastAsia="Arial" w:hAnsi="Arial"/>
          <w:sz w:val="22"/>
          <w:szCs w:val="22"/>
          <w:color w:val="auto"/>
        </w:rPr>
        <w:t>_________________</w:t>
      </w:r>
    </w:p>
    <w:p>
      <w:pPr>
        <w:ind w:right="520" w:firstLine="8"/>
        <w:spacing w:after="0" w:line="237" w:lineRule="auto"/>
        <w:tabs>
          <w:tab w:leader="none" w:pos="16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be filed by an amendment to this Quarterly Reports on Form 10-Q within 30 days in accordance with Rule 405(a)(2) of Regulation S-T.</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0" w:type="dxa"/>
        <w:tblCellMar>
          <w:top w:w="0" w:type="dxa"/>
          <w:left w:w="0" w:type="dxa"/>
          <w:bottom w:w="0" w:type="dxa"/>
          <w:right w:w="0" w:type="dxa"/>
        </w:tblCellMar>
      </w:tblPr>
      <w:tr>
        <w:trPr>
          <w:trHeight w:val="232"/>
        </w:trPr>
        <w:tc>
          <w:tcPr>
            <w:tcW w:w="2960" w:type="dxa"/>
            <w:vAlign w:val="bottom"/>
            <w:tcBorders>
              <w:top w:val="single" w:sz="8" w:color="808080"/>
              <w:left w:val="single" w:sz="8" w:color="808080"/>
            </w:tcBorders>
          </w:tcPr>
          <w:p>
            <w:pPr>
              <w:spacing w:after="0"/>
              <w:rPr>
                <w:sz w:val="20"/>
                <w:szCs w:val="20"/>
                <w:color w:val="auto"/>
              </w:rPr>
            </w:pPr>
          </w:p>
        </w:tc>
        <w:tc>
          <w:tcPr>
            <w:tcW w:w="2320" w:type="dxa"/>
            <w:vAlign w:val="bottom"/>
            <w:tcBorders>
              <w:top w:val="single" w:sz="8" w:color="808080"/>
            </w:tcBorders>
          </w:tcPr>
          <w:p>
            <w:pPr>
              <w:spacing w:after="0"/>
              <w:rPr>
                <w:sz w:val="20"/>
                <w:szCs w:val="20"/>
                <w:color w:val="auto"/>
              </w:rPr>
            </w:pPr>
          </w:p>
        </w:tc>
        <w:tc>
          <w:tcPr>
            <w:tcW w:w="4460" w:type="dxa"/>
            <w:vAlign w:val="bottom"/>
            <w:tcBorders>
              <w:top w:val="single" w:sz="8" w:color="808080"/>
              <w:right w:val="single" w:sz="8" w:color="808080"/>
            </w:tcBorders>
            <w:gridSpan w:val="2"/>
          </w:tcPr>
          <w:p>
            <w:pPr>
              <w:ind w:left="60"/>
              <w:spacing w:after="0"/>
              <w:rPr>
                <w:sz w:val="20"/>
                <w:szCs w:val="20"/>
                <w:color w:val="auto"/>
              </w:rPr>
            </w:pPr>
            <w:r>
              <w:rPr>
                <w:rFonts w:ascii="Arial" w:cs="Arial" w:eastAsia="Arial" w:hAnsi="Arial"/>
                <w:sz w:val="18"/>
                <w:szCs w:val="18"/>
                <w:color w:val="auto"/>
              </w:rPr>
              <w:t>ClearOne Communications, Inc.,</w:t>
            </w:r>
          </w:p>
        </w:tc>
      </w:tr>
      <w:tr>
        <w:trPr>
          <w:trHeight w:val="230"/>
        </w:trPr>
        <w:tc>
          <w:tcPr>
            <w:tcW w:w="2960" w:type="dxa"/>
            <w:vAlign w:val="bottom"/>
            <w:tcBorders>
              <w:left w:val="single" w:sz="8" w:color="808080"/>
            </w:tcBorders>
          </w:tcPr>
          <w:p>
            <w:pPr>
              <w:spacing w:after="0"/>
              <w:rPr>
                <w:sz w:val="20"/>
                <w:szCs w:val="20"/>
                <w:color w:val="auto"/>
              </w:rPr>
            </w:pPr>
          </w:p>
        </w:tc>
        <w:tc>
          <w:tcPr>
            <w:tcW w:w="2320" w:type="dxa"/>
            <w:vAlign w:val="bottom"/>
          </w:tcPr>
          <w:p>
            <w:pPr>
              <w:spacing w:after="0"/>
              <w:rPr>
                <w:sz w:val="20"/>
                <w:szCs w:val="20"/>
                <w:color w:val="auto"/>
              </w:rPr>
            </w:pP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color w:val="auto"/>
              </w:rPr>
              <w:t>(Registrant)</w:t>
            </w:r>
          </w:p>
        </w:tc>
      </w:tr>
      <w:tr>
        <w:trPr>
          <w:trHeight w:val="648"/>
        </w:trPr>
        <w:tc>
          <w:tcPr>
            <w:tcW w:w="29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August 15, 2011</w:t>
            </w:r>
          </w:p>
        </w:tc>
        <w:tc>
          <w:tcPr>
            <w:tcW w:w="2320" w:type="dxa"/>
            <w:vAlign w:val="bottom"/>
          </w:tcPr>
          <w:p>
            <w:pPr>
              <w:ind w:left="1700"/>
              <w:spacing w:after="0"/>
              <w:rPr>
                <w:sz w:val="20"/>
                <w:szCs w:val="20"/>
                <w:color w:val="auto"/>
              </w:rPr>
            </w:pPr>
            <w:r>
              <w:rPr>
                <w:rFonts w:ascii="Arial" w:cs="Arial" w:eastAsia="Arial" w:hAnsi="Arial"/>
                <w:sz w:val="18"/>
                <w:szCs w:val="18"/>
                <w:color w:val="auto"/>
              </w:rPr>
              <w:t>By:</w:t>
            </w: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color w:val="auto"/>
              </w:rPr>
              <w:t>/s/ Zeynep Hakimoglu</w:t>
            </w:r>
          </w:p>
        </w:tc>
      </w:tr>
      <w:tr>
        <w:trPr>
          <w:trHeight w:val="195"/>
        </w:trPr>
        <w:tc>
          <w:tcPr>
            <w:tcW w:w="2960" w:type="dxa"/>
            <w:vAlign w:val="bottom"/>
            <w:tcBorders>
              <w:left w:val="single" w:sz="8" w:color="808080"/>
            </w:tcBorders>
          </w:tcPr>
          <w:p>
            <w:pPr>
              <w:spacing w:after="0"/>
              <w:rPr>
                <w:sz w:val="16"/>
                <w:szCs w:val="16"/>
                <w:color w:val="auto"/>
              </w:rPr>
            </w:pPr>
          </w:p>
        </w:tc>
        <w:tc>
          <w:tcPr>
            <w:tcW w:w="2320" w:type="dxa"/>
            <w:vAlign w:val="bottom"/>
          </w:tcPr>
          <w:p>
            <w:pPr>
              <w:spacing w:after="0"/>
              <w:rPr>
                <w:sz w:val="16"/>
                <w:szCs w:val="16"/>
                <w:color w:val="auto"/>
              </w:rPr>
            </w:pPr>
          </w:p>
        </w:tc>
        <w:tc>
          <w:tcPr>
            <w:tcW w:w="22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Zeynep Hakimoglu</w:t>
            </w:r>
          </w:p>
        </w:tc>
        <w:tc>
          <w:tcPr>
            <w:tcW w:w="2240" w:type="dxa"/>
            <w:vAlign w:val="bottom"/>
            <w:tcBorders>
              <w:right w:val="single" w:sz="8" w:color="808080"/>
            </w:tcBorders>
          </w:tcPr>
          <w:p>
            <w:pPr>
              <w:spacing w:after="0"/>
              <w:rPr>
                <w:sz w:val="16"/>
                <w:szCs w:val="16"/>
                <w:color w:val="auto"/>
              </w:rPr>
            </w:pPr>
          </w:p>
        </w:tc>
      </w:tr>
      <w:tr>
        <w:trPr>
          <w:trHeight w:val="216"/>
        </w:trPr>
        <w:tc>
          <w:tcPr>
            <w:tcW w:w="2960" w:type="dxa"/>
            <w:vAlign w:val="bottom"/>
            <w:tcBorders>
              <w:left w:val="single" w:sz="8" w:color="808080"/>
            </w:tcBorders>
          </w:tcPr>
          <w:p>
            <w:pPr>
              <w:spacing w:after="0"/>
              <w:rPr>
                <w:sz w:val="18"/>
                <w:szCs w:val="18"/>
                <w:color w:val="auto"/>
              </w:rPr>
            </w:pPr>
          </w:p>
        </w:tc>
        <w:tc>
          <w:tcPr>
            <w:tcW w:w="2320" w:type="dxa"/>
            <w:vAlign w:val="bottom"/>
          </w:tcPr>
          <w:p>
            <w:pPr>
              <w:spacing w:after="0"/>
              <w:rPr>
                <w:sz w:val="18"/>
                <w:szCs w:val="18"/>
                <w:color w:val="auto"/>
              </w:rPr>
            </w:pP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2960" w:type="dxa"/>
            <w:vAlign w:val="bottom"/>
            <w:tcBorders>
              <w:left w:val="single" w:sz="8" w:color="808080"/>
            </w:tcBorders>
          </w:tcPr>
          <w:p>
            <w:pPr>
              <w:spacing w:after="0"/>
              <w:rPr>
                <w:sz w:val="20"/>
                <w:szCs w:val="20"/>
                <w:color w:val="auto"/>
              </w:rPr>
            </w:pPr>
          </w:p>
        </w:tc>
        <w:tc>
          <w:tcPr>
            <w:tcW w:w="2320" w:type="dxa"/>
            <w:vAlign w:val="bottom"/>
          </w:tcPr>
          <w:p>
            <w:pPr>
              <w:spacing w:after="0"/>
              <w:rPr>
                <w:sz w:val="20"/>
                <w:szCs w:val="20"/>
                <w:color w:val="auto"/>
              </w:rPr>
            </w:pP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29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August 15, 2011</w:t>
            </w:r>
          </w:p>
        </w:tc>
        <w:tc>
          <w:tcPr>
            <w:tcW w:w="2320" w:type="dxa"/>
            <w:vAlign w:val="bottom"/>
          </w:tcPr>
          <w:p>
            <w:pPr>
              <w:ind w:left="1700"/>
              <w:spacing w:after="0"/>
              <w:rPr>
                <w:sz w:val="20"/>
                <w:szCs w:val="20"/>
                <w:color w:val="auto"/>
              </w:rPr>
            </w:pPr>
            <w:r>
              <w:rPr>
                <w:rFonts w:ascii="Arial" w:cs="Arial" w:eastAsia="Arial" w:hAnsi="Arial"/>
                <w:sz w:val="18"/>
                <w:szCs w:val="18"/>
                <w:color w:val="auto"/>
              </w:rPr>
              <w:t>By:</w:t>
            </w: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color w:val="auto"/>
              </w:rPr>
              <w:t>/s/ Narsi Narayanan</w:t>
            </w:r>
          </w:p>
        </w:tc>
      </w:tr>
      <w:tr>
        <w:trPr>
          <w:trHeight w:val="195"/>
        </w:trPr>
        <w:tc>
          <w:tcPr>
            <w:tcW w:w="2960" w:type="dxa"/>
            <w:vAlign w:val="bottom"/>
            <w:tcBorders>
              <w:left w:val="single" w:sz="8" w:color="808080"/>
            </w:tcBorders>
          </w:tcPr>
          <w:p>
            <w:pPr>
              <w:spacing w:after="0"/>
              <w:rPr>
                <w:sz w:val="16"/>
                <w:szCs w:val="16"/>
                <w:color w:val="auto"/>
              </w:rPr>
            </w:pPr>
          </w:p>
        </w:tc>
        <w:tc>
          <w:tcPr>
            <w:tcW w:w="2320" w:type="dxa"/>
            <w:vAlign w:val="bottom"/>
          </w:tcPr>
          <w:p>
            <w:pPr>
              <w:spacing w:after="0"/>
              <w:rPr>
                <w:sz w:val="16"/>
                <w:szCs w:val="16"/>
                <w:color w:val="auto"/>
              </w:rPr>
            </w:pPr>
          </w:p>
        </w:tc>
        <w:tc>
          <w:tcPr>
            <w:tcW w:w="22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Narsi Narayanan</w:t>
            </w:r>
          </w:p>
        </w:tc>
        <w:tc>
          <w:tcPr>
            <w:tcW w:w="2240" w:type="dxa"/>
            <w:vAlign w:val="bottom"/>
            <w:tcBorders>
              <w:right w:val="single" w:sz="8" w:color="808080"/>
            </w:tcBorders>
          </w:tcPr>
          <w:p>
            <w:pPr>
              <w:spacing w:after="0"/>
              <w:rPr>
                <w:sz w:val="16"/>
                <w:szCs w:val="16"/>
                <w:color w:val="auto"/>
              </w:rPr>
            </w:pPr>
          </w:p>
        </w:tc>
      </w:tr>
      <w:tr>
        <w:trPr>
          <w:trHeight w:val="216"/>
        </w:trPr>
        <w:tc>
          <w:tcPr>
            <w:tcW w:w="2960" w:type="dxa"/>
            <w:vAlign w:val="bottom"/>
            <w:tcBorders>
              <w:left w:val="single" w:sz="8" w:color="808080"/>
            </w:tcBorders>
          </w:tcPr>
          <w:p>
            <w:pPr>
              <w:spacing w:after="0"/>
              <w:rPr>
                <w:sz w:val="18"/>
                <w:szCs w:val="18"/>
                <w:color w:val="auto"/>
              </w:rPr>
            </w:pPr>
          </w:p>
        </w:tc>
        <w:tc>
          <w:tcPr>
            <w:tcW w:w="2320" w:type="dxa"/>
            <w:vAlign w:val="bottom"/>
          </w:tcPr>
          <w:p>
            <w:pPr>
              <w:spacing w:after="0"/>
              <w:rPr>
                <w:sz w:val="18"/>
                <w:szCs w:val="18"/>
                <w:color w:val="auto"/>
              </w:rPr>
            </w:pPr>
          </w:p>
        </w:tc>
        <w:tc>
          <w:tcPr>
            <w:tcW w:w="4460" w:type="dxa"/>
            <w:vAlign w:val="bottom"/>
            <w:tcBorders>
              <w:right w:val="single" w:sz="8" w:color="808080"/>
            </w:tcBorders>
            <w:gridSpan w:val="2"/>
          </w:tcPr>
          <w:p>
            <w:pPr>
              <w:ind w:left="100"/>
              <w:spacing w:after="0"/>
              <w:rPr>
                <w:sz w:val="20"/>
                <w:szCs w:val="20"/>
                <w:color w:val="auto"/>
              </w:rPr>
            </w:pPr>
            <w:r>
              <w:rPr>
                <w:rFonts w:ascii="Arial" w:cs="Arial" w:eastAsia="Arial" w:hAnsi="Arial"/>
                <w:sz w:val="18"/>
                <w:szCs w:val="18"/>
                <w:color w:val="auto"/>
              </w:rPr>
              <w:t>Vice President of Finance</w:t>
            </w:r>
          </w:p>
        </w:tc>
      </w:tr>
      <w:tr>
        <w:trPr>
          <w:trHeight w:val="241"/>
        </w:trPr>
        <w:tc>
          <w:tcPr>
            <w:tcW w:w="2960" w:type="dxa"/>
            <w:vAlign w:val="bottom"/>
            <w:tcBorders>
              <w:left w:val="single" w:sz="8" w:color="808080"/>
              <w:bottom w:val="single" w:sz="8" w:color="808080"/>
            </w:tcBorders>
          </w:tcPr>
          <w:p>
            <w:pPr>
              <w:spacing w:after="0"/>
              <w:rPr>
                <w:sz w:val="20"/>
                <w:szCs w:val="20"/>
                <w:color w:val="auto"/>
              </w:rPr>
            </w:pPr>
          </w:p>
        </w:tc>
        <w:tc>
          <w:tcPr>
            <w:tcW w:w="2320" w:type="dxa"/>
            <w:vAlign w:val="bottom"/>
            <w:tcBorders>
              <w:bottom w:val="single" w:sz="8" w:color="808080"/>
            </w:tcBorders>
          </w:tcPr>
          <w:p>
            <w:pPr>
              <w:spacing w:after="0"/>
              <w:rPr>
                <w:sz w:val="20"/>
                <w:szCs w:val="20"/>
                <w:color w:val="auto"/>
              </w:rPr>
            </w:pPr>
          </w:p>
        </w:tc>
        <w:tc>
          <w:tcPr>
            <w:tcW w:w="4460" w:type="dxa"/>
            <w:vAlign w:val="bottom"/>
            <w:tcBorders>
              <w:bottom w:val="single" w:sz="8" w:color="808080"/>
              <w:right w:val="single" w:sz="8" w:color="808080"/>
            </w:tcBorders>
            <w:gridSpan w:val="2"/>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21</w:t>
      </w:r>
      <w:r>
        <w:rPr>
          <w:rFonts w:ascii="Arial" w:cs="Arial" w:eastAsia="Arial" w:hAnsi="Arial"/>
          <w:sz w:val="22"/>
          <w:szCs w:val="22"/>
          <w:color w:val="auto"/>
        </w:rPr>
        <w:t xml:space="preserve"> |</w:t>
      </w:r>
    </w:p>
    <w:p>
      <w:pPr>
        <w:sectPr>
          <w:pgSz w:w="11900" w:h="16838" w:orient="portrait"/>
          <w:cols w:equalWidth="0" w:num="1">
            <w:col w:w="11280"/>
          </w:cols>
          <w:pgMar w:left="240" w:top="111" w:right="37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Zeynep Hakimoglu, certify that:</w:t>
      </w:r>
    </w:p>
    <w:p>
      <w:pPr>
        <w:spacing w:after="0" w:line="85" w:lineRule="exact"/>
        <w:rPr>
          <w:sz w:val="20"/>
          <w:szCs w:val="20"/>
          <w:color w:val="auto"/>
        </w:rPr>
      </w:pPr>
    </w:p>
    <w:p>
      <w:pPr>
        <w:ind w:left="800" w:hanging="468"/>
        <w:spacing w:after="0"/>
        <w:tabs>
          <w:tab w:leader="none" w:pos="800" w:val="left"/>
        </w:tabs>
        <w:numPr>
          <w:ilvl w:val="0"/>
          <w:numId w:val="11"/>
        </w:numPr>
        <w:rPr>
          <w:rFonts w:ascii="Arial" w:cs="Arial" w:eastAsia="Arial" w:hAnsi="Arial"/>
          <w:sz w:val="20"/>
          <w:szCs w:val="20"/>
          <w:color w:val="auto"/>
        </w:rPr>
      </w:pPr>
      <w:r>
        <w:rPr>
          <w:rFonts w:ascii="Arial" w:cs="Arial" w:eastAsia="Arial" w:hAnsi="Arial"/>
          <w:sz w:val="22"/>
          <w:szCs w:val="22"/>
          <w:color w:val="auto"/>
        </w:rPr>
        <w:t>I have reviewed this quarterly report of ClearOne Communications, Inc. on Form 10-Q;</w:t>
      </w:r>
    </w:p>
    <w:p>
      <w:pPr>
        <w:spacing w:after="0" w:line="84" w:lineRule="exact"/>
        <w:rPr>
          <w:rFonts w:ascii="Arial" w:cs="Arial" w:eastAsia="Arial" w:hAnsi="Arial"/>
          <w:sz w:val="20"/>
          <w:szCs w:val="20"/>
          <w:color w:val="auto"/>
        </w:rPr>
      </w:pPr>
    </w:p>
    <w:p>
      <w:pPr>
        <w:ind w:left="820" w:right="20" w:hanging="488"/>
        <w:spacing w:after="0"/>
        <w:tabs>
          <w:tab w:leader="none" w:pos="793" w:val="left"/>
        </w:tabs>
        <w:numPr>
          <w:ilvl w:val="0"/>
          <w:numId w:val="11"/>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20"/>
          <w:szCs w:val="20"/>
          <w:color w:val="auto"/>
        </w:rPr>
      </w:pPr>
    </w:p>
    <w:p>
      <w:pPr>
        <w:ind w:left="820" w:hanging="488"/>
        <w:spacing w:after="0"/>
        <w:tabs>
          <w:tab w:leader="none" w:pos="793" w:val="left"/>
        </w:tabs>
        <w:numPr>
          <w:ilvl w:val="0"/>
          <w:numId w:val="11"/>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ind w:left="820" w:right="220" w:hanging="488"/>
        <w:spacing w:after="0" w:line="258" w:lineRule="auto"/>
        <w:tabs>
          <w:tab w:leader="none" w:pos="793" w:val="left"/>
        </w:tabs>
        <w:numPr>
          <w:ilvl w:val="0"/>
          <w:numId w:val="11"/>
        </w:numPr>
        <w:rPr>
          <w:rFonts w:ascii="Arial" w:cs="Arial" w:eastAsia="Arial" w:hAnsi="Arial"/>
          <w:sz w:val="19"/>
          <w:szCs w:val="19"/>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820" w:right="40" w:hanging="488"/>
        <w:spacing w:after="0" w:line="297" w:lineRule="auto"/>
        <w:tabs>
          <w:tab w:leader="none" w:pos="793" w:val="left"/>
        </w:tabs>
        <w:numPr>
          <w:ilvl w:val="0"/>
          <w:numId w:val="12"/>
        </w:numPr>
        <w:rPr>
          <w:rFonts w:ascii="Arial" w:cs="Arial" w:eastAsia="Arial" w:hAnsi="Arial"/>
          <w:sz w:val="18"/>
          <w:szCs w:val="18"/>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ind w:left="820" w:right="360" w:hanging="488"/>
        <w:spacing w:after="0" w:line="297" w:lineRule="auto"/>
        <w:tabs>
          <w:tab w:leader="none" w:pos="793" w:val="left"/>
        </w:tabs>
        <w:numPr>
          <w:ilvl w:val="0"/>
          <w:numId w:val="12"/>
        </w:numPr>
        <w:rPr>
          <w:rFonts w:ascii="Arial" w:cs="Arial" w:eastAsia="Arial" w:hAnsi="Arial"/>
          <w:sz w:val="18"/>
          <w:szCs w:val="18"/>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820" w:right="220" w:hanging="488"/>
        <w:spacing w:after="0"/>
        <w:tabs>
          <w:tab w:leader="none" w:pos="793" w:val="left"/>
        </w:tabs>
        <w:numPr>
          <w:ilvl w:val="0"/>
          <w:numId w:val="12"/>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ind w:left="820" w:right="340" w:hanging="488"/>
        <w:spacing w:after="0" w:line="297" w:lineRule="auto"/>
        <w:tabs>
          <w:tab w:leader="none" w:pos="793" w:val="left"/>
        </w:tabs>
        <w:numPr>
          <w:ilvl w:val="0"/>
          <w:numId w:val="12"/>
        </w:numPr>
        <w:rPr>
          <w:rFonts w:ascii="Arial" w:cs="Arial" w:eastAsia="Arial" w:hAnsi="Arial"/>
          <w:sz w:val="18"/>
          <w:szCs w:val="18"/>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 w:lineRule="exact"/>
        <w:rPr>
          <w:sz w:val="20"/>
          <w:szCs w:val="20"/>
          <w:color w:val="auto"/>
        </w:rPr>
      </w:pPr>
    </w:p>
    <w:p>
      <w:pPr>
        <w:ind w:left="820" w:right="160" w:hanging="488"/>
        <w:spacing w:after="0"/>
        <w:tabs>
          <w:tab w:leader="none" w:pos="793" w:val="left"/>
        </w:tabs>
        <w:numPr>
          <w:ilvl w:val="0"/>
          <w:numId w:val="13"/>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sz w:val="20"/>
          <w:szCs w:val="20"/>
          <w:color w:val="auto"/>
        </w:rPr>
      </w:pPr>
    </w:p>
    <w:p>
      <w:pPr>
        <w:ind w:left="820" w:right="140" w:hanging="488"/>
        <w:spacing w:after="0"/>
        <w:tabs>
          <w:tab w:leader="none" w:pos="793" w:val="left"/>
        </w:tabs>
        <w:numPr>
          <w:ilvl w:val="0"/>
          <w:numId w:val="14"/>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820" w:right="600" w:hanging="488"/>
        <w:spacing w:after="0" w:line="251" w:lineRule="auto"/>
        <w:tabs>
          <w:tab w:leader="none" w:pos="793" w:val="left"/>
        </w:tabs>
        <w:numPr>
          <w:ilvl w:val="0"/>
          <w:numId w:val="14"/>
        </w:numPr>
        <w:rPr>
          <w:rFonts w:ascii="Arial" w:cs="Arial" w:eastAsia="Arial" w:hAnsi="Arial"/>
          <w:sz w:val="20"/>
          <w:szCs w:val="20"/>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361950</wp:posOffset>
            </wp:positionV>
            <wp:extent cx="5501005" cy="973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1005" cy="9734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4140" w:val="left"/>
          <w:tab w:leader="none" w:pos="4680" w:val="left"/>
        </w:tabs>
        <w:rPr>
          <w:sz w:val="20"/>
          <w:szCs w:val="20"/>
          <w:color w:val="auto"/>
        </w:rPr>
      </w:pPr>
      <w:r>
        <w:rPr>
          <w:rFonts w:ascii="Arial" w:cs="Arial" w:eastAsia="Arial" w:hAnsi="Arial"/>
          <w:sz w:val="18"/>
          <w:szCs w:val="18"/>
          <w:color w:val="auto"/>
        </w:rPr>
        <w:t>August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Zeynep Hakimoglu</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Narsi Narayanan, certify that:</w:t>
      </w:r>
    </w:p>
    <w:p>
      <w:pPr>
        <w:spacing w:after="0" w:line="85" w:lineRule="exact"/>
        <w:rPr>
          <w:sz w:val="20"/>
          <w:szCs w:val="20"/>
          <w:color w:val="auto"/>
        </w:rPr>
      </w:pPr>
    </w:p>
    <w:p>
      <w:pPr>
        <w:ind w:left="800" w:hanging="468"/>
        <w:spacing w:after="0"/>
        <w:tabs>
          <w:tab w:leader="none" w:pos="800" w:val="left"/>
        </w:tabs>
        <w:numPr>
          <w:ilvl w:val="0"/>
          <w:numId w:val="15"/>
        </w:numPr>
        <w:rPr>
          <w:rFonts w:ascii="Arial" w:cs="Arial" w:eastAsia="Arial" w:hAnsi="Arial"/>
          <w:sz w:val="20"/>
          <w:szCs w:val="20"/>
          <w:color w:val="auto"/>
        </w:rPr>
      </w:pPr>
      <w:r>
        <w:rPr>
          <w:rFonts w:ascii="Arial" w:cs="Arial" w:eastAsia="Arial" w:hAnsi="Arial"/>
          <w:sz w:val="22"/>
          <w:szCs w:val="22"/>
          <w:color w:val="auto"/>
        </w:rPr>
        <w:t>I have reviewed this quarterly report of ClearOne Communications, Inc. on Form 10-Q;</w:t>
      </w:r>
    </w:p>
    <w:p>
      <w:pPr>
        <w:spacing w:after="0" w:line="84" w:lineRule="exact"/>
        <w:rPr>
          <w:rFonts w:ascii="Arial" w:cs="Arial" w:eastAsia="Arial" w:hAnsi="Arial"/>
          <w:sz w:val="20"/>
          <w:szCs w:val="20"/>
          <w:color w:val="auto"/>
        </w:rPr>
      </w:pPr>
    </w:p>
    <w:p>
      <w:pPr>
        <w:ind w:left="820" w:right="20" w:hanging="488"/>
        <w:spacing w:after="0"/>
        <w:tabs>
          <w:tab w:leader="none" w:pos="793" w:val="left"/>
        </w:tabs>
        <w:numPr>
          <w:ilvl w:val="0"/>
          <w:numId w:val="15"/>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20"/>
          <w:szCs w:val="20"/>
          <w:color w:val="auto"/>
        </w:rPr>
      </w:pPr>
    </w:p>
    <w:p>
      <w:pPr>
        <w:ind w:left="820" w:hanging="488"/>
        <w:spacing w:after="0"/>
        <w:tabs>
          <w:tab w:leader="none" w:pos="793" w:val="left"/>
        </w:tabs>
        <w:numPr>
          <w:ilvl w:val="0"/>
          <w:numId w:val="15"/>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ind w:left="820" w:right="220" w:hanging="488"/>
        <w:spacing w:after="0" w:line="258" w:lineRule="auto"/>
        <w:tabs>
          <w:tab w:leader="none" w:pos="793" w:val="left"/>
        </w:tabs>
        <w:numPr>
          <w:ilvl w:val="0"/>
          <w:numId w:val="15"/>
        </w:numPr>
        <w:rPr>
          <w:rFonts w:ascii="Arial" w:cs="Arial" w:eastAsia="Arial" w:hAnsi="Arial"/>
          <w:sz w:val="19"/>
          <w:szCs w:val="19"/>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820" w:right="40" w:hanging="488"/>
        <w:spacing w:after="0" w:line="297" w:lineRule="auto"/>
        <w:tabs>
          <w:tab w:leader="none" w:pos="793" w:val="left"/>
        </w:tabs>
        <w:numPr>
          <w:ilvl w:val="0"/>
          <w:numId w:val="16"/>
        </w:numPr>
        <w:rPr>
          <w:rFonts w:ascii="Arial" w:cs="Arial" w:eastAsia="Arial" w:hAnsi="Arial"/>
          <w:sz w:val="18"/>
          <w:szCs w:val="18"/>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ind w:left="820" w:right="360" w:hanging="488"/>
        <w:spacing w:after="0" w:line="297" w:lineRule="auto"/>
        <w:tabs>
          <w:tab w:leader="none" w:pos="793" w:val="left"/>
        </w:tabs>
        <w:numPr>
          <w:ilvl w:val="0"/>
          <w:numId w:val="16"/>
        </w:numPr>
        <w:rPr>
          <w:rFonts w:ascii="Arial" w:cs="Arial" w:eastAsia="Arial" w:hAnsi="Arial"/>
          <w:sz w:val="18"/>
          <w:szCs w:val="18"/>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820" w:right="220" w:hanging="488"/>
        <w:spacing w:after="0"/>
        <w:tabs>
          <w:tab w:leader="none" w:pos="793" w:val="left"/>
        </w:tabs>
        <w:numPr>
          <w:ilvl w:val="0"/>
          <w:numId w:val="16"/>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ind w:left="820" w:right="340" w:hanging="488"/>
        <w:spacing w:after="0" w:line="297" w:lineRule="auto"/>
        <w:tabs>
          <w:tab w:leader="none" w:pos="793" w:val="left"/>
        </w:tabs>
        <w:numPr>
          <w:ilvl w:val="0"/>
          <w:numId w:val="16"/>
        </w:numPr>
        <w:rPr>
          <w:rFonts w:ascii="Arial" w:cs="Arial" w:eastAsia="Arial" w:hAnsi="Arial"/>
          <w:sz w:val="18"/>
          <w:szCs w:val="18"/>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 w:lineRule="exact"/>
        <w:rPr>
          <w:sz w:val="20"/>
          <w:szCs w:val="20"/>
          <w:color w:val="auto"/>
        </w:rPr>
      </w:pPr>
    </w:p>
    <w:p>
      <w:pPr>
        <w:ind w:left="820" w:right="160" w:hanging="488"/>
        <w:spacing w:after="0"/>
        <w:tabs>
          <w:tab w:leader="none" w:pos="793" w:val="left"/>
        </w:tabs>
        <w:numPr>
          <w:ilvl w:val="0"/>
          <w:numId w:val="17"/>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sz w:val="20"/>
          <w:szCs w:val="20"/>
          <w:color w:val="auto"/>
        </w:rPr>
      </w:pPr>
    </w:p>
    <w:p>
      <w:pPr>
        <w:ind w:left="820" w:right="140" w:hanging="488"/>
        <w:spacing w:after="0"/>
        <w:tabs>
          <w:tab w:leader="none" w:pos="793" w:val="left"/>
        </w:tabs>
        <w:numPr>
          <w:ilvl w:val="0"/>
          <w:numId w:val="18"/>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820" w:right="600" w:hanging="488"/>
        <w:spacing w:after="0" w:line="251" w:lineRule="auto"/>
        <w:tabs>
          <w:tab w:leader="none" w:pos="793" w:val="left"/>
        </w:tabs>
        <w:numPr>
          <w:ilvl w:val="0"/>
          <w:numId w:val="18"/>
        </w:numPr>
        <w:rPr>
          <w:rFonts w:ascii="Arial" w:cs="Arial" w:eastAsia="Arial" w:hAnsi="Arial"/>
          <w:sz w:val="20"/>
          <w:szCs w:val="20"/>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361950</wp:posOffset>
            </wp:positionV>
            <wp:extent cx="5501005" cy="973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1005" cy="9734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4140" w:val="left"/>
          <w:tab w:leader="none" w:pos="4680" w:val="left"/>
        </w:tabs>
        <w:rPr>
          <w:sz w:val="20"/>
          <w:szCs w:val="20"/>
          <w:color w:val="auto"/>
        </w:rPr>
      </w:pPr>
      <w:r>
        <w:rPr>
          <w:rFonts w:ascii="Arial" w:cs="Arial" w:eastAsia="Arial" w:hAnsi="Arial"/>
          <w:sz w:val="18"/>
          <w:szCs w:val="18"/>
          <w:color w:val="auto"/>
        </w:rPr>
        <w:t>August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Narsi Narayanan</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of Finance</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I, Zeynep Hakimoglu, certify, to my best knowledge and belief, pursuant to 18 U.S.C. Section 1350, as adopted pursuant to Section 906 of the Sarbanes-Oxley Act of 2002, that the Quarterly Report of ClearOne Communications, Inc. on Form 10-Q for the quarter ended June 30, 2011,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614045</wp:posOffset>
            </wp:positionV>
            <wp:extent cx="5501005" cy="973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1005" cy="97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4140" w:val="left"/>
          <w:tab w:leader="none" w:pos="4680" w:val="left"/>
        </w:tabs>
        <w:rPr>
          <w:sz w:val="20"/>
          <w:szCs w:val="20"/>
          <w:color w:val="auto"/>
        </w:rPr>
      </w:pPr>
      <w:r>
        <w:rPr>
          <w:rFonts w:ascii="Arial" w:cs="Arial" w:eastAsia="Arial" w:hAnsi="Arial"/>
          <w:sz w:val="18"/>
          <w:szCs w:val="18"/>
          <w:color w:val="auto"/>
        </w:rPr>
        <w:t>August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Zeynep Hakimoglu</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 Narsi Narayanan, certify, to my best knowledge and belief, pursuant to 18 U.S.C. Section 1350, as adopted pursuant to Section 906 of the Sarbanes-Oxley Act of 2002, that the Quarterly Report of ClearOne Communications, Inc. on Form 10-Q for the quarter ended June 30, 2011,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614045</wp:posOffset>
            </wp:positionV>
            <wp:extent cx="5501005" cy="973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1005" cy="97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4140" w:val="left"/>
          <w:tab w:leader="none" w:pos="4680" w:val="left"/>
        </w:tabs>
        <w:rPr>
          <w:sz w:val="20"/>
          <w:szCs w:val="20"/>
          <w:color w:val="auto"/>
        </w:rPr>
      </w:pPr>
      <w:r>
        <w:rPr>
          <w:rFonts w:ascii="Arial" w:cs="Arial" w:eastAsia="Arial" w:hAnsi="Arial"/>
          <w:sz w:val="18"/>
          <w:szCs w:val="18"/>
          <w:color w:val="auto"/>
        </w:rPr>
        <w:t>August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Narsi Narayanan</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of Finance</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840"/>
    </w:lvl>
  </w:abstractNum>
  <w:abstractNum w:abstractNumId="3">
    <w:nsid w:val="1F16E9E8"/>
    <w:multiLevelType w:val="hybridMultilevel"/>
    <w:lvl w:ilvl="0">
      <w:lvlJc w:val="left"/>
      <w:lvlText w:val="(%1)"/>
      <w:numFmt w:val="decimal"/>
      <w:start w:val="253"/>
    </w:lvl>
  </w:abstractNum>
  <w:abstractNum w:abstractNumId="4">
    <w:nsid w:val="1190CDE7"/>
    <w:multiLevelType w:val="hybridMultilevel"/>
    <w:lvl w:ilvl="0">
      <w:lvlJc w:val="left"/>
      <w:lvlText w:val="(%1)"/>
      <w:numFmt w:val="decimal"/>
      <w:start w:val="553"/>
    </w:lvl>
  </w:abstractNum>
  <w:abstractNum w:abstractNumId="5">
    <w:nsid w:val="66EF438D"/>
    <w:multiLevelType w:val="hybridMultilevel"/>
    <w:lvl w:ilvl="0">
      <w:lvlJc w:val="left"/>
      <w:lvlText w:val="%1"/>
      <w:numFmt w:val="decimal"/>
      <w:start w:val="35"/>
    </w:lvl>
  </w:abstractNum>
  <w:abstractNum w:abstractNumId="6">
    <w:nsid w:val="140E0F76"/>
    <w:multiLevelType w:val="hybridMultilevel"/>
    <w:lvl w:ilvl="0">
      <w:lvlJc w:val="left"/>
      <w:lvlText w:val="%1"/>
      <w:numFmt w:val="decimal"/>
      <w:start w:val="496"/>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2019-12-10T09:08:35Z</dcterms:created>
  <dcterms:modified xsi:type="dcterms:W3CDTF">2019-12-10T09:08:35Z</dcterms:modified>
</cp:coreProperties>
</file>