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12b-25</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760" w:type="dxa"/>
            <w:vAlign w:val="bottom"/>
            <w:gridSpan w:val="2"/>
          </w:tcPr>
          <w:p>
            <w:pPr>
              <w:ind w:left="780"/>
              <w:spacing w:after="0"/>
              <w:rPr>
                <w:sz w:val="20"/>
                <w:szCs w:val="20"/>
                <w:color w:val="auto"/>
              </w:rPr>
            </w:pPr>
            <w:r>
              <w:rPr>
                <w:rFonts w:ascii="Arial" w:cs="Arial" w:eastAsia="Arial" w:hAnsi="Arial"/>
                <w:sz w:val="18"/>
                <w:szCs w:val="18"/>
                <w:b w:val="1"/>
                <w:bCs w:val="1"/>
                <w:color w:val="auto"/>
              </w:rPr>
              <w:t>NOTIFICATION OF LATE FILING</w:t>
            </w:r>
          </w:p>
        </w:tc>
        <w:tc>
          <w:tcPr>
            <w:tcW w:w="170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432"/>
        </w:trPr>
        <w:tc>
          <w:tcPr>
            <w:tcW w:w="1400" w:type="dxa"/>
            <w:vAlign w:val="bottom"/>
          </w:tcPr>
          <w:p>
            <w:pPr>
              <w:spacing w:after="0"/>
              <w:rPr>
                <w:sz w:val="20"/>
                <w:szCs w:val="20"/>
                <w:color w:val="auto"/>
              </w:rPr>
            </w:pPr>
            <w:r>
              <w:rPr>
                <w:rFonts w:ascii="Arial" w:cs="Arial" w:eastAsia="Arial" w:hAnsi="Arial"/>
                <w:sz w:val="18"/>
                <w:szCs w:val="18"/>
                <w:color w:val="auto"/>
              </w:rPr>
              <w:t>(CHECK ONE):</w:t>
            </w:r>
          </w:p>
        </w:tc>
        <w:tc>
          <w:tcPr>
            <w:tcW w:w="2020" w:type="dxa"/>
            <w:vAlign w:val="bottom"/>
            <w:gridSpan w:val="2"/>
          </w:tcPr>
          <w:p>
            <w:pPr>
              <w:ind w:left="180"/>
              <w:spacing w:after="0"/>
              <w:rPr>
                <w:sz w:val="20"/>
                <w:szCs w:val="20"/>
                <w:color w:val="auto"/>
              </w:rPr>
            </w:pPr>
            <w:r>
              <w:rPr>
                <w:rFonts w:ascii="Arial" w:cs="Arial" w:eastAsia="Arial" w:hAnsi="Arial"/>
                <w:sz w:val="18"/>
                <w:szCs w:val="18"/>
                <w:color w:val="auto"/>
              </w:rPr>
              <w:t>[] Form 10-K</w:t>
            </w:r>
          </w:p>
        </w:tc>
        <w:tc>
          <w:tcPr>
            <w:tcW w:w="1560" w:type="dxa"/>
            <w:vAlign w:val="bottom"/>
          </w:tcPr>
          <w:p>
            <w:pPr>
              <w:ind w:left="80"/>
              <w:spacing w:after="0"/>
              <w:rPr>
                <w:sz w:val="20"/>
                <w:szCs w:val="20"/>
                <w:color w:val="auto"/>
              </w:rPr>
            </w:pPr>
            <w:r>
              <w:rPr>
                <w:rFonts w:ascii="Arial" w:cs="Arial" w:eastAsia="Arial" w:hAnsi="Arial"/>
                <w:sz w:val="18"/>
                <w:szCs w:val="18"/>
                <w:color w:val="auto"/>
              </w:rPr>
              <w:t>[ ] Form 20-F</w:t>
            </w:r>
          </w:p>
        </w:tc>
        <w:tc>
          <w:tcPr>
            <w:tcW w:w="2200" w:type="dxa"/>
            <w:vAlign w:val="bottom"/>
          </w:tcPr>
          <w:p>
            <w:pPr>
              <w:ind w:left="440"/>
              <w:spacing w:after="0"/>
              <w:rPr>
                <w:sz w:val="20"/>
                <w:szCs w:val="20"/>
                <w:color w:val="auto"/>
              </w:rPr>
            </w:pPr>
            <w:r>
              <w:rPr>
                <w:rFonts w:ascii="Arial" w:cs="Arial" w:eastAsia="Arial" w:hAnsi="Arial"/>
                <w:sz w:val="18"/>
                <w:szCs w:val="18"/>
                <w:color w:val="auto"/>
              </w:rPr>
              <w:t>[ ] Form 11-K</w:t>
            </w:r>
          </w:p>
        </w:tc>
        <w:tc>
          <w:tcPr>
            <w:tcW w:w="1700" w:type="dxa"/>
            <w:vAlign w:val="bottom"/>
          </w:tcPr>
          <w:p>
            <w:pPr>
              <w:ind w:left="140"/>
              <w:spacing w:after="0"/>
              <w:rPr>
                <w:sz w:val="20"/>
                <w:szCs w:val="20"/>
                <w:color w:val="auto"/>
              </w:rPr>
            </w:pPr>
            <w:r>
              <w:rPr>
                <w:rFonts w:ascii="Arial" w:cs="Arial" w:eastAsia="Arial" w:hAnsi="Arial"/>
                <w:sz w:val="18"/>
                <w:szCs w:val="18"/>
                <w:color w:val="auto"/>
              </w:rPr>
              <w:t>[X] Form 10-Q</w:t>
            </w:r>
          </w:p>
        </w:tc>
        <w:tc>
          <w:tcPr>
            <w:tcW w:w="2360" w:type="dxa"/>
            <w:vAlign w:val="bottom"/>
          </w:tcPr>
          <w:p>
            <w:pPr>
              <w:ind w:left="460"/>
              <w:spacing w:after="0"/>
              <w:rPr>
                <w:sz w:val="20"/>
                <w:szCs w:val="20"/>
                <w:color w:val="auto"/>
              </w:rPr>
            </w:pPr>
            <w:r>
              <w:rPr>
                <w:rFonts w:ascii="Arial" w:cs="Arial" w:eastAsia="Arial" w:hAnsi="Arial"/>
                <w:sz w:val="18"/>
                <w:szCs w:val="18"/>
                <w:color w:val="auto"/>
              </w:rPr>
              <w:t>[ ] Form N-SAR</w:t>
            </w:r>
          </w:p>
        </w:tc>
      </w:tr>
      <w:tr>
        <w:trPr>
          <w:trHeight w:val="446"/>
        </w:trPr>
        <w:tc>
          <w:tcPr>
            <w:tcW w:w="2140" w:type="dxa"/>
            <w:vAlign w:val="bottom"/>
            <w:gridSpan w:val="2"/>
          </w:tcPr>
          <w:p>
            <w:pPr>
              <w:ind w:left="380"/>
              <w:spacing w:after="0"/>
              <w:rPr>
                <w:sz w:val="20"/>
                <w:szCs w:val="20"/>
                <w:color w:val="auto"/>
              </w:rPr>
            </w:pPr>
            <w:r>
              <w:rPr>
                <w:rFonts w:ascii="Arial" w:cs="Arial" w:eastAsia="Arial" w:hAnsi="Arial"/>
                <w:sz w:val="18"/>
                <w:szCs w:val="18"/>
                <w:color w:val="auto"/>
              </w:rPr>
              <w:t>For Period Ended:</w:t>
            </w:r>
          </w:p>
        </w:tc>
        <w:tc>
          <w:tcPr>
            <w:tcW w:w="12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7"/>
              </w:rPr>
              <w:t>March 31, 2020</w:t>
            </w:r>
          </w:p>
        </w:tc>
        <w:tc>
          <w:tcPr>
            <w:tcW w:w="15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r>
    </w:tbl>
    <w:p>
      <w:pPr>
        <w:spacing w:after="0" w:line="202" w:lineRule="exact"/>
        <w:rPr>
          <w:sz w:val="24"/>
          <w:szCs w:val="24"/>
          <w:color w:val="auto"/>
        </w:rPr>
      </w:pPr>
    </w:p>
    <w:p>
      <w:pPr>
        <w:ind w:left="1920" w:hanging="144"/>
        <w:spacing w:after="0"/>
        <w:tabs>
          <w:tab w:leader="none" w:pos="1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Transition Report on Form 10-K</w:t>
      </w:r>
    </w:p>
    <w:p>
      <w:pPr>
        <w:spacing w:after="0" w:line="23" w:lineRule="exact"/>
        <w:rPr>
          <w:rFonts w:ascii="Arial" w:cs="Arial" w:eastAsia="Arial" w:hAnsi="Arial"/>
          <w:sz w:val="18"/>
          <w:szCs w:val="18"/>
          <w:color w:val="auto"/>
        </w:rPr>
      </w:pPr>
    </w:p>
    <w:p>
      <w:pPr>
        <w:ind w:left="1920" w:hanging="144"/>
        <w:spacing w:after="0"/>
        <w:tabs>
          <w:tab w:leader="none" w:pos="1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Transition Report on Form 20-F</w:t>
      </w:r>
    </w:p>
    <w:p>
      <w:pPr>
        <w:spacing w:after="0" w:line="9" w:lineRule="exact"/>
        <w:rPr>
          <w:rFonts w:ascii="Arial" w:cs="Arial" w:eastAsia="Arial" w:hAnsi="Arial"/>
          <w:sz w:val="18"/>
          <w:szCs w:val="18"/>
          <w:color w:val="auto"/>
        </w:rPr>
      </w:pPr>
    </w:p>
    <w:p>
      <w:pPr>
        <w:ind w:left="1920" w:hanging="144"/>
        <w:spacing w:after="0"/>
        <w:tabs>
          <w:tab w:leader="none" w:pos="1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Transition Report on Form 11-K</w:t>
      </w:r>
    </w:p>
    <w:p>
      <w:pPr>
        <w:spacing w:after="0" w:line="9" w:lineRule="exact"/>
        <w:rPr>
          <w:rFonts w:ascii="Arial" w:cs="Arial" w:eastAsia="Arial" w:hAnsi="Arial"/>
          <w:sz w:val="18"/>
          <w:szCs w:val="18"/>
          <w:color w:val="auto"/>
        </w:rPr>
      </w:pPr>
    </w:p>
    <w:p>
      <w:pPr>
        <w:ind w:left="1920" w:hanging="144"/>
        <w:spacing w:after="0"/>
        <w:tabs>
          <w:tab w:leader="none" w:pos="1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Transition Report on Form 10-Q</w:t>
      </w:r>
    </w:p>
    <w:p>
      <w:pPr>
        <w:spacing w:after="0" w:line="9" w:lineRule="exact"/>
        <w:rPr>
          <w:rFonts w:ascii="Arial" w:cs="Arial" w:eastAsia="Arial" w:hAnsi="Arial"/>
          <w:sz w:val="18"/>
          <w:szCs w:val="18"/>
          <w:color w:val="auto"/>
        </w:rPr>
      </w:pPr>
    </w:p>
    <w:p>
      <w:pPr>
        <w:ind w:left="1780" w:right="6700" w:hanging="4"/>
        <w:spacing w:after="0" w:line="323" w:lineRule="auto"/>
        <w:tabs>
          <w:tab w:leader="none" w:pos="1930" w:val="left"/>
        </w:tabs>
        <w:numPr>
          <w:ilvl w:val="0"/>
          <w:numId w:val="1"/>
        </w:numPr>
        <w:rPr>
          <w:rFonts w:ascii="Arial" w:cs="Arial" w:eastAsia="Arial" w:hAnsi="Arial"/>
          <w:sz w:val="16"/>
          <w:szCs w:val="16"/>
          <w:color w:val="auto"/>
        </w:rPr>
      </w:pPr>
      <w:r>
        <w:rPr>
          <w:rFonts w:ascii="Arial" w:cs="Arial" w:eastAsia="Arial" w:hAnsi="Arial"/>
          <w:sz w:val="16"/>
          <w:szCs w:val="16"/>
          <w:color w:val="auto"/>
        </w:rPr>
        <w:t>] Transition Report on Form N-SAR For the Transaction Period Ended:</w:t>
      </w:r>
    </w:p>
    <w:p>
      <w:pPr>
        <w:spacing w:after="0" w:line="134" w:lineRule="exact"/>
        <w:rPr>
          <w:sz w:val="24"/>
          <w:szCs w:val="24"/>
          <w:color w:val="auto"/>
        </w:rPr>
      </w:pPr>
    </w:p>
    <w:p>
      <w:pPr>
        <w:jc w:val="center"/>
        <w:spacing w:after="0" w:line="275" w:lineRule="auto"/>
        <w:rPr>
          <w:sz w:val="20"/>
          <w:szCs w:val="20"/>
          <w:color w:val="auto"/>
        </w:rPr>
      </w:pPr>
      <w:r>
        <w:rPr>
          <w:rFonts w:ascii="Arial" w:cs="Arial" w:eastAsia="Arial" w:hAnsi="Arial"/>
          <w:sz w:val="18"/>
          <w:szCs w:val="18"/>
          <w:b w:val="1"/>
          <w:bCs w:val="1"/>
          <w:i w:val="1"/>
          <w:iCs w:val="1"/>
          <w:color w:val="auto"/>
        </w:rPr>
        <w:t xml:space="preserve">READ INSTRUCTION (ON BACK PAGE) BEFORE PREPARING FORM. PLEASE PRINT OR TYPE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NOTHING IN THIS FORM SHALL BE CONSTRUED TO IMPLY THAT THE COMMISSION HAS VERIFIED ANY INFORMATION CONTAINED HEREIN.</w:t>
      </w:r>
    </w:p>
    <w:p>
      <w:pPr>
        <w:spacing w:after="0" w:line="394" w:lineRule="exact"/>
        <w:rPr>
          <w:sz w:val="24"/>
          <w:szCs w:val="24"/>
          <w:color w:val="auto"/>
        </w:rPr>
      </w:pPr>
    </w:p>
    <w:p>
      <w:pPr>
        <w:spacing w:after="0"/>
        <w:rPr>
          <w:sz w:val="20"/>
          <w:szCs w:val="20"/>
          <w:color w:val="auto"/>
        </w:rPr>
      </w:pPr>
      <w:r>
        <w:rPr>
          <w:rFonts w:ascii="Arial" w:cs="Arial" w:eastAsia="Arial" w:hAnsi="Arial"/>
          <w:sz w:val="18"/>
          <w:szCs w:val="18"/>
          <w:color w:val="auto"/>
        </w:rPr>
        <w:t>If the notification relates to a portion of the filing checked above, identify the Item(s) to which the notification relates:</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PART I - REGISTRANT INFORMATION</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ClearOne,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spacing w:after="0"/>
        <w:rPr>
          <w:sz w:val="20"/>
          <w:szCs w:val="20"/>
          <w:color w:val="auto"/>
        </w:rPr>
      </w:pPr>
      <w:r>
        <w:rPr>
          <w:rFonts w:ascii="Arial" w:cs="Arial" w:eastAsia="Arial" w:hAnsi="Arial"/>
          <w:sz w:val="18"/>
          <w:szCs w:val="18"/>
          <w:color w:val="auto"/>
        </w:rPr>
        <w:t>Full Name of Registrant</w:t>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ClearOne Communications,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spacing w:after="0"/>
        <w:rPr>
          <w:sz w:val="20"/>
          <w:szCs w:val="20"/>
          <w:color w:val="auto"/>
        </w:rPr>
      </w:pPr>
      <w:r>
        <w:rPr>
          <w:rFonts w:ascii="Arial" w:cs="Arial" w:eastAsia="Arial" w:hAnsi="Arial"/>
          <w:sz w:val="18"/>
          <w:szCs w:val="18"/>
          <w:color w:val="auto"/>
        </w:rPr>
        <w:t>Former Name if Applicable</w:t>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5225 Wiley Post Way, Suite 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spacing w:after="0"/>
        <w:rPr>
          <w:sz w:val="20"/>
          <w:szCs w:val="20"/>
          <w:color w:val="auto"/>
        </w:rPr>
      </w:pPr>
      <w:r>
        <w:rPr>
          <w:rFonts w:ascii="Arial" w:cs="Arial" w:eastAsia="Arial" w:hAnsi="Arial"/>
          <w:sz w:val="18"/>
          <w:szCs w:val="18"/>
          <w:color w:val="auto"/>
        </w:rPr>
        <w:t>Address of Principal Executive Office (Street and Number)</w:t>
      </w:r>
    </w:p>
    <w:p>
      <w:pPr>
        <w:spacing w:after="0" w:line="22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Salt Lake City, Utah 84116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spacing w:after="0"/>
        <w:rPr>
          <w:sz w:val="20"/>
          <w:szCs w:val="20"/>
          <w:color w:val="auto"/>
        </w:rPr>
      </w:pPr>
      <w:r>
        <w:rPr>
          <w:rFonts w:ascii="Arial" w:cs="Arial" w:eastAsia="Arial" w:hAnsi="Arial"/>
          <w:sz w:val="18"/>
          <w:szCs w:val="18"/>
          <w:color w:val="auto"/>
        </w:rPr>
        <w:t>City, State and Zip Code</w:t>
      </w:r>
    </w:p>
    <w:p>
      <w:pPr>
        <w:spacing w:after="0" w:line="251" w:lineRule="exact"/>
        <w:rPr>
          <w:sz w:val="24"/>
          <w:szCs w:val="24"/>
          <w:color w:val="auto"/>
        </w:rPr>
      </w:pPr>
    </w:p>
    <w:p>
      <w:pPr>
        <w:jc w:val="center"/>
        <w:spacing w:after="0"/>
        <w:rPr>
          <w:sz w:val="20"/>
          <w:szCs w:val="20"/>
          <w:color w:val="auto"/>
        </w:rPr>
      </w:pPr>
      <w:r>
        <w:rPr>
          <w:rFonts w:ascii="Arial" w:cs="Arial" w:eastAsia="Arial" w:hAnsi="Arial"/>
          <w:sz w:val="18"/>
          <w:szCs w:val="18"/>
          <w:color w:val="FFFFFF"/>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PART II - RULES 12b-25(b) AND (c)</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[X] (a) The reasons described in reasonable detail in Part III of this form could not be eliminated without unreasonable effort or expense;</w:t>
      </w:r>
    </w:p>
    <w:p>
      <w:pPr>
        <w:spacing w:after="0" w:line="23" w:lineRule="exact"/>
        <w:rPr>
          <w:sz w:val="20"/>
          <w:szCs w:val="20"/>
          <w:color w:val="auto"/>
        </w:rPr>
      </w:pPr>
    </w:p>
    <w:p>
      <w:pPr>
        <w:jc w:val="right"/>
        <w:ind w:left="620" w:hanging="565"/>
        <w:spacing w:after="0" w:line="281" w:lineRule="auto"/>
        <w:tabs>
          <w:tab w:leader="none" w:pos="364" w:val="left"/>
        </w:tabs>
        <w:numPr>
          <w:ilvl w:val="0"/>
          <w:numId w:val="2"/>
        </w:numPr>
        <w:rPr>
          <w:rFonts w:ascii="Arial" w:cs="Arial" w:eastAsia="Arial" w:hAnsi="Arial"/>
          <w:sz w:val="16"/>
          <w:szCs w:val="16"/>
          <w:color w:val="auto"/>
        </w:rPr>
      </w:pPr>
      <w:r>
        <w:rPr>
          <w:rFonts w:ascii="Arial" w:cs="Arial" w:eastAsia="Arial" w:hAnsi="Arial"/>
          <w:sz w:val="16"/>
          <w:szCs w:val="16"/>
          <w:color w:val="auto"/>
        </w:rPr>
        <w:t>(b) The subject annual report, semi-annual report, transition report on Form 10-K, Form 20-F, 11-K or Form N-SAR, or portion thereof, will be filed on or before the fifteenth calendar day following the prescribed due date; or the subject quarterly report or transition report on Form 10-Q, or</w:t>
      </w:r>
    </w:p>
    <w:p>
      <w:pPr>
        <w:spacing w:after="0" w:line="1" w:lineRule="exact"/>
        <w:rPr>
          <w:sz w:val="20"/>
          <w:szCs w:val="20"/>
          <w:color w:val="auto"/>
        </w:rPr>
      </w:pPr>
    </w:p>
    <w:p>
      <w:pPr>
        <w:ind w:left="100" w:right="3200" w:firstLine="520"/>
        <w:spacing w:after="0" w:line="323" w:lineRule="auto"/>
        <w:rPr>
          <w:sz w:val="20"/>
          <w:szCs w:val="20"/>
          <w:color w:val="auto"/>
        </w:rPr>
      </w:pPr>
      <w:r>
        <w:rPr>
          <w:rFonts w:ascii="Arial" w:cs="Arial" w:eastAsia="Arial" w:hAnsi="Arial"/>
          <w:sz w:val="16"/>
          <w:szCs w:val="16"/>
          <w:color w:val="auto"/>
        </w:rPr>
        <w:t>portion thereof will be filed on or before the fifth calendar day following the prescribed due date; and [ ] (c) The accountant’s statement or other exhibit required by Rule 12b-25(c) has been attached if applicable.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 - NARRATIVE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State below in reasonable detail the reasons why Forms 10-K, 20-F, 11-K, 10-Q, N-SAR, or the transition report or portion thereof, could not be filed within the prescribed time period.</w:t>
      </w:r>
    </w:p>
    <w:p>
      <w:pPr>
        <w:spacing w:after="0" w:line="170" w:lineRule="exact"/>
        <w:rPr>
          <w:sz w:val="20"/>
          <w:szCs w:val="20"/>
          <w:color w:val="auto"/>
        </w:rPr>
      </w:pPr>
    </w:p>
    <w:p>
      <w:pPr>
        <w:jc w:val="both"/>
        <w:ind w:right="260"/>
        <w:spacing w:after="0" w:line="311" w:lineRule="auto"/>
        <w:rPr>
          <w:sz w:val="20"/>
          <w:szCs w:val="20"/>
          <w:color w:val="auto"/>
        </w:rPr>
      </w:pPr>
      <w:r>
        <w:rPr>
          <w:rFonts w:ascii="Arial" w:cs="Arial" w:eastAsia="Arial" w:hAnsi="Arial"/>
          <w:sz w:val="16"/>
          <w:szCs w:val="16"/>
          <w:color w:val="auto"/>
        </w:rPr>
        <w:t>The Registrant is unable to complete the required compilation, dissemination, and review of all information required for filing its Form 10-Q Quarterly Report for the quarter ended March 31, 2020 within the prescribed time period without undue hardship and expense. It is anticipated that the Form 10-Q Quarterly Report, will be filed on or before the 5th calendar day following the prescribed due date of the Registrant’s Form 10-Q.</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 -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Name and telephone number of person to contact in regard to this notification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Narsi Narayanan</w:t>
            </w:r>
          </w:p>
        </w:tc>
        <w:tc>
          <w:tcPr>
            <w:tcW w:w="3600" w:type="dxa"/>
            <w:vAlign w:val="bottom"/>
          </w:tcPr>
          <w:p>
            <w:pPr>
              <w:jc w:val="right"/>
              <w:ind w:right="1570"/>
              <w:spacing w:after="0"/>
              <w:rPr>
                <w:sz w:val="20"/>
                <w:szCs w:val="20"/>
                <w:color w:val="auto"/>
              </w:rPr>
            </w:pPr>
            <w:r>
              <w:rPr>
                <w:rFonts w:ascii="Arial" w:cs="Arial" w:eastAsia="Arial" w:hAnsi="Arial"/>
                <w:sz w:val="18"/>
                <w:szCs w:val="18"/>
                <w:color w:val="auto"/>
              </w:rPr>
              <w:t>801</w:t>
            </w:r>
          </w:p>
        </w:tc>
        <w:tc>
          <w:tcPr>
            <w:tcW w:w="200" w:type="dxa"/>
            <w:vAlign w:val="bottom"/>
          </w:tcPr>
          <w:p>
            <w:pPr>
              <w:spacing w:after="0"/>
              <w:rPr>
                <w:sz w:val="20"/>
                <w:szCs w:val="20"/>
                <w:color w:val="auto"/>
              </w:rPr>
            </w:pPr>
          </w:p>
        </w:tc>
        <w:tc>
          <w:tcPr>
            <w:tcW w:w="3600" w:type="dxa"/>
            <w:vAlign w:val="bottom"/>
          </w:tcPr>
          <w:p>
            <w:pPr>
              <w:jc w:val="right"/>
              <w:ind w:right="1370"/>
              <w:spacing w:after="0"/>
              <w:rPr>
                <w:sz w:val="20"/>
                <w:szCs w:val="20"/>
                <w:color w:val="auto"/>
              </w:rPr>
            </w:pPr>
            <w:r>
              <w:rPr>
                <w:rFonts w:ascii="Arial" w:cs="Arial" w:eastAsia="Arial" w:hAnsi="Arial"/>
                <w:sz w:val="18"/>
                <w:szCs w:val="18"/>
                <w:color w:val="auto"/>
              </w:rPr>
              <w:t>975-7200</w:t>
            </w:r>
          </w:p>
        </w:tc>
      </w:tr>
      <w:tr>
        <w:trPr>
          <w:trHeight w:val="224"/>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(Name)</w:t>
            </w: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(Area Code)</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(Telephone Number)</w:t>
            </w:r>
          </w:p>
        </w:tc>
      </w:tr>
    </w:tbl>
    <w:p>
      <w:pPr>
        <w:spacing w:after="0" w:line="187" w:lineRule="exact"/>
        <w:rPr>
          <w:sz w:val="20"/>
          <w:szCs w:val="20"/>
          <w:color w:val="auto"/>
        </w:rPr>
      </w:pPr>
    </w:p>
    <w:p>
      <w:pPr>
        <w:jc w:val="both"/>
        <w:ind w:left="260" w:right="40" w:hanging="252"/>
        <w:spacing w:after="0" w:line="263" w:lineRule="auto"/>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w:t>
      </w:r>
    </w:p>
    <w:p>
      <w:pPr>
        <w:spacing w:after="0" w:line="184" w:lineRule="exact"/>
        <w:rPr>
          <w:sz w:val="20"/>
          <w:szCs w:val="20"/>
          <w:color w:val="auto"/>
        </w:rPr>
      </w:pPr>
    </w:p>
    <w:p>
      <w:pPr>
        <w:jc w:val="right"/>
        <w:spacing w:after="0"/>
        <w:tabs>
          <w:tab w:leader="none" w:pos="460" w:val="left"/>
        </w:tabs>
        <w:rPr>
          <w:sz w:val="20"/>
          <w:szCs w:val="20"/>
          <w:color w:val="auto"/>
        </w:rPr>
      </w:pPr>
      <w:r>
        <w:rPr>
          <w:rFonts w:ascii="Arial" w:cs="Arial" w:eastAsia="Arial" w:hAnsi="Arial"/>
          <w:sz w:val="18"/>
          <w:szCs w:val="18"/>
          <w:color w:val="auto"/>
        </w:rPr>
        <w:t>[X] Yes</w:t>
      </w:r>
      <w:r>
        <w:rPr>
          <w:sz w:val="20"/>
          <w:szCs w:val="20"/>
          <w:color w:val="auto"/>
        </w:rPr>
        <w:tab/>
      </w:r>
      <w:r>
        <w:rPr>
          <w:rFonts w:ascii="Arial" w:cs="Arial" w:eastAsia="Arial" w:hAnsi="Arial"/>
          <w:sz w:val="18"/>
          <w:szCs w:val="18"/>
          <w:color w:val="auto"/>
        </w:rPr>
        <w:t>[ ] No</w:t>
      </w:r>
    </w:p>
    <w:p>
      <w:pPr>
        <w:spacing w:after="0" w:line="225" w:lineRule="exact"/>
        <w:rPr>
          <w:sz w:val="20"/>
          <w:szCs w:val="20"/>
          <w:color w:val="auto"/>
        </w:rPr>
      </w:pPr>
    </w:p>
    <w:p>
      <w:pPr>
        <w:ind w:left="260" w:right="40" w:hanging="252"/>
        <w:spacing w:after="0" w:line="277" w:lineRule="auto"/>
        <w:tabs>
          <w:tab w:leader="none" w:pos="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 it anticipated that any significant change in results of operations from the corresponding period for the last fiscal year will be reflected by the earnings statements to be included in the subject report or portion thereof?</w:t>
      </w:r>
    </w:p>
    <w:p>
      <w:pPr>
        <w:spacing w:after="0" w:line="170" w:lineRule="exact"/>
        <w:rPr>
          <w:sz w:val="20"/>
          <w:szCs w:val="20"/>
          <w:color w:val="auto"/>
        </w:rPr>
      </w:pPr>
    </w:p>
    <w:p>
      <w:pPr>
        <w:jc w:val="right"/>
        <w:spacing w:after="0"/>
        <w:tabs>
          <w:tab w:leader="none" w:pos="460" w:val="left"/>
        </w:tabs>
        <w:rPr>
          <w:sz w:val="20"/>
          <w:szCs w:val="20"/>
          <w:color w:val="auto"/>
        </w:rPr>
      </w:pPr>
      <w:r>
        <w:rPr>
          <w:rFonts w:ascii="Arial" w:cs="Arial" w:eastAsia="Arial" w:hAnsi="Arial"/>
          <w:sz w:val="18"/>
          <w:szCs w:val="18"/>
          <w:color w:val="auto"/>
        </w:rPr>
        <w:t>[X] Yes</w:t>
      </w:r>
      <w:r>
        <w:rPr>
          <w:sz w:val="20"/>
          <w:szCs w:val="20"/>
          <w:color w:val="auto"/>
        </w:rPr>
        <w:tab/>
      </w:r>
      <w:r>
        <w:rPr>
          <w:rFonts w:ascii="Arial" w:cs="Arial" w:eastAsia="Arial" w:hAnsi="Arial"/>
          <w:sz w:val="18"/>
          <w:szCs w:val="18"/>
          <w:color w:val="auto"/>
        </w:rPr>
        <w:t>[ ] No</w:t>
      </w:r>
    </w:p>
    <w:p>
      <w:pPr>
        <w:spacing w:after="0" w:line="225" w:lineRule="exact"/>
        <w:rPr>
          <w:sz w:val="20"/>
          <w:szCs w:val="20"/>
          <w:color w:val="auto"/>
        </w:rPr>
      </w:pPr>
    </w:p>
    <w:p>
      <w:pPr>
        <w:ind w:left="60" w:right="20"/>
        <w:spacing w:after="0" w:line="277" w:lineRule="auto"/>
        <w:rPr>
          <w:sz w:val="20"/>
          <w:szCs w:val="20"/>
          <w:color w:val="auto"/>
        </w:rPr>
      </w:pPr>
      <w:r>
        <w:rPr>
          <w:rFonts w:ascii="Arial" w:cs="Arial" w:eastAsia="Arial" w:hAnsi="Arial"/>
          <w:sz w:val="18"/>
          <w:szCs w:val="18"/>
          <w:color w:val="auto"/>
        </w:rPr>
        <w:t>If so, attach an explanation of the anticipated change, both narratively and quantitatively, and, if appropriate, state the reasons why a reasonable estimate of the results cannot be made.</w:t>
      </w:r>
    </w:p>
    <w:p>
      <w:pPr>
        <w:spacing w:after="0" w:line="170" w:lineRule="exact"/>
        <w:rPr>
          <w:sz w:val="20"/>
          <w:szCs w:val="20"/>
          <w:color w:val="auto"/>
        </w:rPr>
      </w:pPr>
    </w:p>
    <w:p>
      <w:pPr>
        <w:jc w:val="both"/>
        <w:ind w:firstLine="495"/>
        <w:spacing w:after="0" w:line="286" w:lineRule="auto"/>
        <w:rPr>
          <w:sz w:val="20"/>
          <w:szCs w:val="20"/>
          <w:color w:val="auto"/>
        </w:rPr>
      </w:pPr>
      <w:r>
        <w:rPr>
          <w:rFonts w:ascii="Arial" w:cs="Arial" w:eastAsia="Arial" w:hAnsi="Arial"/>
          <w:sz w:val="17"/>
          <w:szCs w:val="17"/>
          <w:color w:val="auto"/>
        </w:rPr>
        <w:t>The Company reported revenue of approximately $6.3 million and a net (loss) of $2.3 million for the quarter ended March 31, 2019. The Company expects to report revenues for the quarter ended March 31, 2020 at materially lower amounts than reported for the quarter ended March 31, 2019. The Company is also expected to report a net (loss) of approximately $1.8 million for the quarter ended March 31, 2020.</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FFFFFF"/>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ClearOne,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(Name of Registrant as Specified in Charter)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has caused this notification to be signed on its behalf by the undersigned hereunto duly authorized.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Date May 15, 2020</w:t>
            </w:r>
          </w:p>
        </w:tc>
        <w:tc>
          <w:tcPr>
            <w:tcW w:w="7720" w:type="dxa"/>
            <w:vAlign w:val="bottom"/>
            <w:gridSpan w:val="2"/>
          </w:tcPr>
          <w:p>
            <w:pPr>
              <w:ind w:left="21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Zeynep Hakimoglu</w:t>
            </w:r>
          </w:p>
        </w:tc>
      </w:tr>
      <w:tr>
        <w:trPr>
          <w:trHeight w:val="224"/>
        </w:trPr>
        <w:tc>
          <w:tcPr>
            <w:tcW w:w="35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5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Zeynep Hakimoglu, Chief Executive Officer</w:t>
            </w:r>
          </w:p>
        </w:tc>
      </w:tr>
    </w:tbl>
    <w:p>
      <w:pPr>
        <w:spacing w:after="0" w:line="183" w:lineRule="exact"/>
        <w:rPr>
          <w:sz w:val="20"/>
          <w:szCs w:val="20"/>
          <w:color w:val="auto"/>
        </w:rPr>
      </w:pPr>
    </w:p>
    <w:p>
      <w:pPr>
        <w:jc w:val="both"/>
        <w:ind w:right="20"/>
        <w:spacing w:after="0" w:line="314" w:lineRule="auto"/>
        <w:rPr>
          <w:sz w:val="20"/>
          <w:szCs w:val="20"/>
          <w:color w:val="auto"/>
        </w:rPr>
      </w:pPr>
      <w:r>
        <w:rPr>
          <w:rFonts w:ascii="Arial" w:cs="Arial" w:eastAsia="Arial" w:hAnsi="Arial"/>
          <w:sz w:val="16"/>
          <w:szCs w:val="16"/>
          <w:b w:val="1"/>
          <w:bCs w:val="1"/>
          <w:color w:val="auto"/>
        </w:rPr>
        <w:t xml:space="preserve">INSTRUCTION: </w:t>
      </w:r>
      <w:r>
        <w:rPr>
          <w:rFonts w:ascii="Arial" w:cs="Arial" w:eastAsia="Arial" w:hAnsi="Arial"/>
          <w:sz w:val="16"/>
          <w:szCs w:val="16"/>
          <w:color w:val="auto"/>
        </w:rPr>
        <w:t>The form may be signed by an executive officer of the registrant or by any other duly authorized representative. The name and title of</w:t>
      </w:r>
      <w:r>
        <w:rPr>
          <w:rFonts w:ascii="Arial" w:cs="Arial" w:eastAsia="Arial" w:hAnsi="Arial"/>
          <w:sz w:val="16"/>
          <w:szCs w:val="16"/>
          <w:b w:val="1"/>
          <w:bCs w:val="1"/>
          <w:color w:val="auto"/>
        </w:rPr>
        <w:t xml:space="preserve"> </w:t>
      </w:r>
      <w:r>
        <w:rPr>
          <w:rFonts w:ascii="Arial" w:cs="Arial" w:eastAsia="Arial" w:hAnsi="Arial"/>
          <w:sz w:val="16"/>
          <w:szCs w:val="16"/>
          <w:color w:val="auto"/>
        </w:rPr>
        <w:t>the person signing the form shall be typed or printed beneath the signature. If the statement is signed on behalf of the registrant by an authorized representative (other than an executive officer), evidence of the representative’s authority to sign on behalf of the registrant shall be filed with the form.</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ATTENTION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INTENTIONAL MISSTATEMENTS OR OMISSIONS OF FACT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CONSTITUTE FEDERAL CRIMINAL VIOLATIONS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18 U.S.C. 1001)</w:t>
      </w:r>
    </w:p>
    <w:sectPr>
      <w:pgSz w:w="11900" w:h="16838" w:orient="portrait"/>
      <w:cols w:equalWidth="0" w:num="1">
        <w:col w:w="11240"/>
      </w:cols>
      <w:pgMar w:left="32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upperLetter"/>
      <w:start w:val="24"/>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2020-05-15T15:41:35Z</dcterms:created>
  <dcterms:modified xsi:type="dcterms:W3CDTF">2020-05-15T15:41:35Z</dcterms:modified>
</cp:coreProperties>
</file>