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right="1980" w:firstLine="8"/>
        <w:spacing w:after="0" w:line="261"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2010</w:t>
      </w: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right="2040" w:firstLine="8"/>
        <w:spacing w:after="0" w:line="261"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 xml:space="preserve"> For the transition period _______ to _______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60" w:type="dxa"/>
            <w:vAlign w:val="bottom"/>
            <w:tcBorders>
              <w:bottom w:val="single" w:sz="8" w:color="auto"/>
            </w:tcBorders>
            <w:gridSpan w:val="3"/>
          </w:tcPr>
          <w:p>
            <w:pPr>
              <w:ind w:left="2740"/>
              <w:spacing w:after="0"/>
              <w:rPr>
                <w:sz w:val="20"/>
                <w:szCs w:val="20"/>
                <w:color w:val="auto"/>
              </w:rPr>
            </w:pPr>
            <w:r>
              <w:rPr>
                <w:rFonts w:ascii="Arial" w:cs="Arial" w:eastAsia="Arial" w:hAnsi="Arial"/>
                <w:sz w:val="18"/>
                <w:szCs w:val="18"/>
                <w:b w:val="1"/>
                <w:bCs w:val="1"/>
                <w:color w:val="auto"/>
              </w:rPr>
              <w:t>Utah</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20" w:type="dxa"/>
            <w:vAlign w:val="bottom"/>
          </w:tcPr>
          <w:p>
            <w:pPr>
              <w:spacing w:after="0"/>
              <w:rPr>
                <w:sz w:val="20"/>
                <w:szCs w:val="20"/>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340" w:type="dxa"/>
            <w:vAlign w:val="bottom"/>
          </w:tcPr>
          <w:p>
            <w:pPr>
              <w:jc w:val="right"/>
              <w:spacing w:after="0"/>
              <w:rPr>
                <w:sz w:val="20"/>
                <w:szCs w:val="20"/>
                <w:color w:val="auto"/>
              </w:rPr>
            </w:pPr>
            <w:r>
              <w:rPr>
                <w:rFonts w:ascii="Arial" w:cs="Arial" w:eastAsia="Arial" w:hAnsi="Arial"/>
                <w:sz w:val="18"/>
                <w:szCs w:val="18"/>
                <w:color w:val="auto"/>
              </w:rPr>
              <w:t>(I.R.S. employer identification number)</w:t>
            </w:r>
          </w:p>
        </w:tc>
      </w:tr>
      <w:tr>
        <w:trPr>
          <w:trHeight w:val="452"/>
        </w:trPr>
        <w:tc>
          <w:tcPr>
            <w:tcW w:w="8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5225 Wiley Post Way, Suite 500, Salt Lake City, Utah</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84116</w:t>
            </w:r>
          </w:p>
        </w:tc>
      </w:tr>
      <w:tr>
        <w:trPr>
          <w:trHeight w:val="230"/>
        </w:trPr>
        <w:tc>
          <w:tcPr>
            <w:tcW w:w="8080" w:type="dxa"/>
            <w:vAlign w:val="bottom"/>
            <w:gridSpan w:val="4"/>
          </w:tcPr>
          <w:p>
            <w:pPr>
              <w:spacing w:after="0"/>
              <w:rPr>
                <w:sz w:val="20"/>
                <w:szCs w:val="20"/>
                <w:color w:val="auto"/>
              </w:rPr>
            </w:pPr>
            <w:r>
              <w:rPr>
                <w:rFonts w:ascii="Arial" w:cs="Arial" w:eastAsia="Arial" w:hAnsi="Arial"/>
                <w:sz w:val="18"/>
                <w:szCs w:val="18"/>
                <w:color w:val="auto"/>
              </w:rPr>
              <w:t>(Address of principal executive offices)</w:t>
            </w:r>
          </w:p>
        </w:tc>
        <w:tc>
          <w:tcPr>
            <w:tcW w:w="3340" w:type="dxa"/>
            <w:vAlign w:val="bottom"/>
          </w:tcPr>
          <w:p>
            <w:pPr>
              <w:jc w:val="right"/>
              <w:spacing w:after="0"/>
              <w:rPr>
                <w:sz w:val="20"/>
                <w:szCs w:val="20"/>
                <w:color w:val="auto"/>
              </w:rPr>
            </w:pPr>
            <w:r>
              <w:rPr>
                <w:rFonts w:ascii="Arial" w:cs="Arial" w:eastAsia="Arial" w:hAnsi="Arial"/>
                <w:sz w:val="18"/>
                <w:szCs w:val="18"/>
                <w:color w:val="auto"/>
              </w:rPr>
              <w:t>(Zip Code)</w:t>
            </w:r>
          </w:p>
        </w:tc>
      </w:tr>
      <w:tr>
        <w:trPr>
          <w:trHeight w:val="404"/>
        </w:trPr>
        <w:tc>
          <w:tcPr>
            <w:tcW w:w="6280" w:type="dxa"/>
            <w:vAlign w:val="bottom"/>
            <w:gridSpan w:val="3"/>
          </w:tcPr>
          <w:p>
            <w:pPr>
              <w:jc w:val="right"/>
              <w:spacing w:after="0"/>
              <w:rPr>
                <w:sz w:val="20"/>
                <w:szCs w:val="20"/>
                <w:color w:val="auto"/>
              </w:rPr>
            </w:pPr>
            <w:r>
              <w:rPr>
                <w:rFonts w:ascii="Arial" w:cs="Arial" w:eastAsia="Arial" w:hAnsi="Arial"/>
                <w:sz w:val="18"/>
                <w:szCs w:val="18"/>
                <w:b w:val="1"/>
                <w:bCs w:val="1"/>
                <w:color w:val="auto"/>
              </w:rPr>
              <w:t>(801) 975-7200</w:t>
            </w:r>
          </w:p>
        </w:tc>
        <w:tc>
          <w:tcPr>
            <w:tcW w:w="18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60" w:type="dxa"/>
            <w:vAlign w:val="bottom"/>
            <w:gridSpan w:val="3"/>
          </w:tcPr>
          <w:p>
            <w:pPr>
              <w:ind w:left="3760"/>
              <w:spacing w:after="0"/>
              <w:rPr>
                <w:sz w:val="20"/>
                <w:szCs w:val="20"/>
                <w:color w:val="auto"/>
              </w:rPr>
            </w:pPr>
            <w:r>
              <w:rPr>
                <w:rFonts w:ascii="Arial" w:cs="Arial" w:eastAsia="Arial" w:hAnsi="Arial"/>
                <w:sz w:val="18"/>
                <w:szCs w:val="18"/>
                <w:color w:val="auto"/>
              </w:rPr>
              <w:t>(Registrant’s telephone number, including area code)</w:t>
            </w:r>
          </w:p>
        </w:tc>
        <w:tc>
          <w:tcPr>
            <w:tcW w:w="3340" w:type="dxa"/>
            <w:vAlign w:val="bottom"/>
          </w:tcPr>
          <w:p>
            <w:pPr>
              <w:spacing w:after="0"/>
              <w:rPr>
                <w:sz w:val="20"/>
                <w:szCs w:val="20"/>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[x]No[ ]</w:t>
      </w:r>
    </w:p>
    <w:p>
      <w:pPr>
        <w:spacing w:after="0" w:line="208"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ectPr>
          <w:pgSz w:w="11900" w:h="16838" w:orient="portrait"/>
          <w:cols w:equalWidth="0" w:num="1">
            <w:col w:w="11420"/>
          </w:cols>
          <w:pgMar w:left="240" w:top="553"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Larger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3">
            <w:col w:w="7220" w:space="720"/>
            <w:col w:w="2080" w:space="140"/>
            <w:col w:w="1260"/>
          </w:cols>
          <w:pgMar w:left="240" w:top="553"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8,929,350 shares issued and outstanding as of August 12,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0"/>
        <w:spacing w:after="0"/>
        <w:tabs>
          <w:tab w:leader="none" w:pos="10680" w:val="left"/>
        </w:tabs>
        <w:rPr>
          <w:sz w:val="20"/>
          <w:szCs w:val="20"/>
          <w:color w:val="auto"/>
        </w:rPr>
      </w:pPr>
      <w:r>
        <w:rPr>
          <w:rFonts w:ascii="Arial" w:cs="Arial" w:eastAsia="Arial" w:hAnsi="Arial"/>
          <w:sz w:val="18"/>
          <w:szCs w:val="18"/>
          <w:b w:val="1"/>
          <w:bCs w:val="1"/>
          <w:color w:val="auto"/>
        </w:rPr>
        <w:t>Item Number</w:t>
      </w:r>
      <w:r>
        <w:rPr>
          <w:sz w:val="20"/>
          <w:szCs w:val="20"/>
          <w:color w:val="auto"/>
        </w:rPr>
        <w:tab/>
      </w:r>
      <w:r>
        <w:rPr>
          <w:rFonts w:ascii="Arial" w:cs="Arial" w:eastAsia="Arial" w:hAnsi="Arial"/>
          <w:sz w:val="15"/>
          <w:szCs w:val="15"/>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391" w:lineRule="auto"/>
        <w:rPr>
          <w:sz w:val="20"/>
          <w:szCs w:val="20"/>
          <w:color w:val="auto"/>
        </w:rPr>
      </w:pPr>
      <w:r>
        <w:rPr>
          <w:rFonts w:ascii="Arial" w:cs="Arial" w:eastAsia="Arial" w:hAnsi="Arial"/>
          <w:sz w:val="18"/>
          <w:szCs w:val="18"/>
          <w:color w:val="auto"/>
        </w:rPr>
        <w:t xml:space="preserve">Item 2 Item 3 Item 4T </w:t>
      </w: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57785</wp:posOffset>
            </wp:positionV>
            <wp:extent cx="724662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2010 and December 31, 2009</w:t>
              </w:r>
            </w:hyperlink>
          </w:p>
        </w:tc>
        <w:tc>
          <w:tcPr>
            <w:tcW w:w="1300" w:type="dxa"/>
            <w:vAlign w:val="bottom"/>
          </w:tcPr>
          <w:p>
            <w:pPr>
              <w:jc w:val="center"/>
              <w:ind w:left="1030"/>
              <w:spacing w:after="0"/>
              <w:rPr>
                <w:sz w:val="20"/>
                <w:szCs w:val="20"/>
                <w:color w:val="auto"/>
              </w:rPr>
            </w:pPr>
            <w:r>
              <w:rPr>
                <w:rFonts w:ascii="Arial" w:cs="Arial" w:eastAsia="Arial" w:hAnsi="Arial"/>
                <w:sz w:val="18"/>
                <w:szCs w:val="18"/>
                <w:color w:val="auto"/>
                <w:w w:val="99"/>
              </w:rPr>
              <w:t>1</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six months ended June 30, 2010 and 2009</w:t>
              </w:r>
            </w:hyperlink>
          </w:p>
        </w:tc>
        <w:tc>
          <w:tcPr>
            <w:tcW w:w="1300" w:type="dxa"/>
            <w:vAlign w:val="bottom"/>
          </w:tcPr>
          <w:p>
            <w:pPr>
              <w:jc w:val="center"/>
              <w:ind w:left="1030"/>
              <w:spacing w:after="0"/>
              <w:rPr>
                <w:sz w:val="20"/>
                <w:szCs w:val="20"/>
                <w:color w:val="auto"/>
              </w:rPr>
            </w:pPr>
            <w:r>
              <w:rPr>
                <w:rFonts w:ascii="Arial" w:cs="Arial" w:eastAsia="Arial" w:hAnsi="Arial"/>
                <w:sz w:val="18"/>
                <w:szCs w:val="18"/>
                <w:color w:val="auto"/>
                <w:w w:val="99"/>
              </w:rPr>
              <w:t>2</w:t>
            </w:r>
          </w:p>
        </w:tc>
      </w:tr>
      <w:tr>
        <w:trPr>
          <w:trHeight w:val="331"/>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Cash Flows for six months ended June 30, 2010 and 2009</w:t>
              </w:r>
            </w:hyperlink>
          </w:p>
        </w:tc>
        <w:tc>
          <w:tcPr>
            <w:tcW w:w="90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jc w:val="center"/>
              <w:ind w:left="1030"/>
              <w:spacing w:after="0"/>
              <w:rPr>
                <w:sz w:val="20"/>
                <w:szCs w:val="20"/>
                <w:color w:val="auto"/>
              </w:rPr>
            </w:pPr>
            <w:r>
              <w:rPr>
                <w:rFonts w:ascii="Arial" w:cs="Arial" w:eastAsia="Arial" w:hAnsi="Arial"/>
                <w:sz w:val="18"/>
                <w:szCs w:val="18"/>
                <w:color w:val="auto"/>
                <w:w w:val="99"/>
              </w:rPr>
              <w:t>3</w:t>
            </w:r>
          </w:p>
        </w:tc>
      </w:tr>
      <w:tr>
        <w:trPr>
          <w:trHeight w:val="331"/>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4200" w:type="dxa"/>
            <w:vAlign w:val="bottom"/>
            <w:gridSpan w:val="6"/>
          </w:tcPr>
          <w:p>
            <w:pPr>
              <w:spacing w:after="0"/>
              <w:rPr>
                <w:sz w:val="24"/>
                <w:szCs w:val="24"/>
                <w:color w:val="auto"/>
              </w:rPr>
            </w:pPr>
          </w:p>
        </w:tc>
        <w:tc>
          <w:tcPr>
            <w:tcW w:w="130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r>
      <w:tr>
        <w:trPr>
          <w:trHeight w:val="331"/>
        </w:trPr>
        <w:tc>
          <w:tcPr>
            <w:tcW w:w="40" w:type="dxa"/>
            <w:vAlign w:val="bottom"/>
          </w:tcPr>
          <w:p>
            <w:pPr>
              <w:spacing w:after="0"/>
              <w:rPr>
                <w:sz w:val="24"/>
                <w:szCs w:val="24"/>
                <w:color w:val="auto"/>
              </w:rPr>
            </w:pPr>
          </w:p>
        </w:tc>
        <w:tc>
          <w:tcPr>
            <w:tcW w:w="64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2060" w:type="dxa"/>
            <w:vAlign w:val="bottom"/>
            <w:gridSpan w:val="3"/>
          </w:tcPr>
          <w:p>
            <w:pPr>
              <w:spacing w:after="0"/>
              <w:rPr>
                <w:sz w:val="24"/>
                <w:szCs w:val="24"/>
                <w:color w:val="auto"/>
              </w:rPr>
            </w:pPr>
          </w:p>
        </w:tc>
        <w:tc>
          <w:tcPr>
            <w:tcW w:w="1300" w:type="dxa"/>
            <w:vAlign w:val="bottom"/>
          </w:tcPr>
          <w:p>
            <w:pPr>
              <w:jc w:val="center"/>
              <w:ind w:left="1030"/>
              <w:spacing w:after="0"/>
              <w:rPr>
                <w:sz w:val="20"/>
                <w:szCs w:val="20"/>
                <w:color w:val="auto"/>
              </w:rPr>
            </w:pPr>
            <w:r>
              <w:rPr>
                <w:rFonts w:ascii="Arial" w:cs="Arial" w:eastAsia="Arial" w:hAnsi="Arial"/>
                <w:sz w:val="18"/>
                <w:szCs w:val="18"/>
                <w:color w:val="auto"/>
                <w:w w:val="99"/>
              </w:rPr>
              <w:t>8</w:t>
            </w:r>
          </w:p>
        </w:tc>
      </w:tr>
      <w:tr>
        <w:trPr>
          <w:trHeight w:val="331"/>
        </w:trPr>
        <w:tc>
          <w:tcPr>
            <w:tcW w:w="40" w:type="dxa"/>
            <w:vAlign w:val="bottom"/>
          </w:tcPr>
          <w:p>
            <w:pPr>
              <w:spacing w:after="0"/>
              <w:rPr>
                <w:sz w:val="24"/>
                <w:szCs w:val="24"/>
                <w:color w:val="auto"/>
              </w:rPr>
            </w:pPr>
          </w:p>
        </w:tc>
        <w:tc>
          <w:tcPr>
            <w:tcW w:w="43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Quantitative and Qualitative Disclosures About Market Risk</w:t>
              </w:r>
            </w:hyperlink>
          </w:p>
        </w:tc>
        <w:tc>
          <w:tcPr>
            <w:tcW w:w="4160" w:type="dxa"/>
            <w:vAlign w:val="bottom"/>
            <w:gridSpan w:val="5"/>
          </w:tcPr>
          <w:p>
            <w:pPr>
              <w:spacing w:after="0"/>
              <w:rPr>
                <w:sz w:val="24"/>
                <w:szCs w:val="24"/>
                <w:color w:val="auto"/>
              </w:rPr>
            </w:pPr>
          </w:p>
        </w:tc>
        <w:tc>
          <w:tcPr>
            <w:tcW w:w="1300" w:type="dxa"/>
            <w:vAlign w:val="bottom"/>
          </w:tcPr>
          <w:p>
            <w:pPr>
              <w:jc w:val="center"/>
              <w:ind w:left="1030"/>
              <w:spacing w:after="0"/>
              <w:rPr>
                <w:sz w:val="20"/>
                <w:szCs w:val="20"/>
                <w:color w:val="auto"/>
              </w:rPr>
            </w:pPr>
            <w:r>
              <w:rPr>
                <w:rFonts w:ascii="Arial" w:cs="Arial" w:eastAsia="Arial" w:hAnsi="Arial"/>
                <w:sz w:val="18"/>
                <w:szCs w:val="18"/>
                <w:color w:val="auto"/>
                <w:w w:val="89"/>
              </w:rPr>
              <w:t>15</w:t>
            </w:r>
          </w:p>
        </w:tc>
      </w:tr>
      <w:tr>
        <w:trPr>
          <w:trHeight w:val="331"/>
        </w:trPr>
        <w:tc>
          <w:tcPr>
            <w:tcW w:w="40" w:type="dxa"/>
            <w:vAlign w:val="bottom"/>
          </w:tcPr>
          <w:p>
            <w:pPr>
              <w:spacing w:after="0"/>
              <w:rPr>
                <w:sz w:val="24"/>
                <w:szCs w:val="24"/>
                <w:color w:val="auto"/>
              </w:rPr>
            </w:pPr>
          </w:p>
        </w:tc>
        <w:tc>
          <w:tcPr>
            <w:tcW w:w="8520" w:type="dxa"/>
            <w:vAlign w:val="bottom"/>
            <w:gridSpan w:val="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1300" w:type="dxa"/>
            <w:vAlign w:val="bottom"/>
          </w:tcPr>
          <w:p>
            <w:pPr>
              <w:jc w:val="center"/>
              <w:ind w:left="1030"/>
              <w:spacing w:after="0"/>
              <w:rPr>
                <w:sz w:val="20"/>
                <w:szCs w:val="20"/>
                <w:color w:val="auto"/>
              </w:rPr>
            </w:pPr>
            <w:r>
              <w:rPr>
                <w:rFonts w:ascii="Arial" w:cs="Arial" w:eastAsia="Arial" w:hAnsi="Arial"/>
                <w:sz w:val="18"/>
                <w:szCs w:val="18"/>
                <w:color w:val="auto"/>
                <w:w w:val="89"/>
              </w:rPr>
              <w:t>15</w:t>
            </w:r>
          </w:p>
        </w:tc>
      </w:tr>
      <w:tr>
        <w:trPr>
          <w:trHeight w:val="20"/>
        </w:trPr>
        <w:tc>
          <w:tcPr>
            <w:tcW w:w="4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676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72"/>
        </w:trPr>
        <w:tc>
          <w:tcPr>
            <w:tcW w:w="8560" w:type="dxa"/>
            <w:vAlign w:val="bottom"/>
            <w:gridSpan w:val="10"/>
          </w:tcPr>
          <w:p>
            <w:pPr>
              <w:spacing w:after="0"/>
              <w:rPr>
                <w:sz w:val="20"/>
                <w:szCs w:val="20"/>
                <w:color w:val="auto"/>
              </w:rPr>
            </w:pPr>
            <w:r>
              <w:rPr>
                <w:rFonts w:ascii="Arial" w:cs="Arial" w:eastAsia="Arial" w:hAnsi="Arial"/>
                <w:sz w:val="18"/>
                <w:szCs w:val="18"/>
                <w:b w:val="1"/>
                <w:bCs w:val="1"/>
                <w:color w:val="auto"/>
              </w:rPr>
              <w:t>OTHER INFORMATION</w:t>
            </w: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-1294130</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-848360</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-402590</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660" w:space="600"/>
            <w:col w:w="10160"/>
          </w:cols>
          <w:pgMar w:left="240" w:top="486" w:right="2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1260" w:type="dxa"/>
            <w:vAlign w:val="bottom"/>
            <w:shd w:val="clear" w:color="auto" w:fill="FFC080"/>
          </w:tcPr>
          <w:p>
            <w:pPr>
              <w:spacing w:after="0"/>
              <w:rPr>
                <w:sz w:val="20"/>
                <w:szCs w:val="20"/>
                <w:color w:val="auto"/>
              </w:rPr>
            </w:pPr>
            <w:r>
              <w:rPr>
                <w:rFonts w:ascii="Arial" w:cs="Arial" w:eastAsia="Arial" w:hAnsi="Arial"/>
                <w:sz w:val="18"/>
                <w:szCs w:val="18"/>
                <w:color w:val="auto"/>
              </w:rPr>
              <w:t>Item 1</w:t>
            </w:r>
          </w:p>
        </w:tc>
        <w:tc>
          <w:tcPr>
            <w:tcW w:w="7020" w:type="dxa"/>
            <w:vAlign w:val="bottom"/>
            <w:gridSpan w:val="8"/>
            <w:shd w:val="clear" w:color="auto" w:fill="FFC08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3140" w:type="dxa"/>
            <w:vAlign w:val="bottom"/>
            <w:shd w:val="clear" w:color="auto" w:fill="FFC080"/>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Borders>
              <w:top w:val="single" w:sz="8" w:color="FFC080"/>
            </w:tcBorders>
            <w:shd w:val="clear" w:color="auto" w:fill="FFC080"/>
          </w:tcPr>
          <w:p>
            <w:pPr>
              <w:spacing w:after="0"/>
              <w:rPr>
                <w:sz w:val="7"/>
                <w:szCs w:val="7"/>
                <w:color w:val="auto"/>
              </w:rPr>
            </w:pPr>
          </w:p>
        </w:tc>
        <w:tc>
          <w:tcPr>
            <w:tcW w:w="60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0000EE"/>
            </w:tcBorders>
            <w:shd w:val="clear" w:color="auto" w:fill="FFC080"/>
          </w:tcPr>
          <w:p>
            <w:pPr>
              <w:spacing w:after="0"/>
              <w:rPr>
                <w:sz w:val="7"/>
                <w:szCs w:val="7"/>
                <w:color w:val="auto"/>
              </w:rPr>
            </w:pPr>
          </w:p>
        </w:tc>
        <w:tc>
          <w:tcPr>
            <w:tcW w:w="400" w:type="dxa"/>
            <w:vAlign w:val="bottom"/>
            <w:tcBorders>
              <w:top w:val="single" w:sz="8" w:color="0000EE"/>
            </w:tcBorders>
            <w:shd w:val="clear" w:color="auto" w:fill="FFC080"/>
          </w:tcPr>
          <w:p>
            <w:pPr>
              <w:spacing w:after="0"/>
              <w:rPr>
                <w:sz w:val="7"/>
                <w:szCs w:val="7"/>
                <w:color w:val="auto"/>
              </w:rPr>
            </w:pPr>
          </w:p>
        </w:tc>
        <w:tc>
          <w:tcPr>
            <w:tcW w:w="2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FFC080"/>
            </w:tcBorders>
            <w:shd w:val="clear" w:color="auto" w:fill="FFC080"/>
          </w:tcPr>
          <w:p>
            <w:pPr>
              <w:spacing w:after="0"/>
              <w:rPr>
                <w:sz w:val="7"/>
                <w:szCs w:val="7"/>
                <w:color w:val="auto"/>
              </w:rPr>
            </w:pPr>
          </w:p>
        </w:tc>
        <w:tc>
          <w:tcPr>
            <w:tcW w:w="620" w:type="dxa"/>
            <w:vAlign w:val="bottom"/>
            <w:tcBorders>
              <w:top w:val="single" w:sz="8" w:color="FFC080"/>
            </w:tcBorders>
            <w:shd w:val="clear" w:color="auto" w:fill="FFC080"/>
          </w:tcPr>
          <w:p>
            <w:pPr>
              <w:spacing w:after="0"/>
              <w:rPr>
                <w:sz w:val="7"/>
                <w:szCs w:val="7"/>
                <w:color w:val="auto"/>
              </w:rPr>
            </w:pPr>
          </w:p>
        </w:tc>
        <w:tc>
          <w:tcPr>
            <w:tcW w:w="2020" w:type="dxa"/>
            <w:vAlign w:val="bottom"/>
            <w:tcBorders>
              <w:top w:val="single" w:sz="8" w:color="FFC080"/>
            </w:tcBorders>
            <w:shd w:val="clear" w:color="auto" w:fill="FFC080"/>
          </w:tcPr>
          <w:p>
            <w:pPr>
              <w:spacing w:after="0"/>
              <w:rPr>
                <w:sz w:val="7"/>
                <w:szCs w:val="7"/>
                <w:color w:val="auto"/>
              </w:rPr>
            </w:pPr>
          </w:p>
        </w:tc>
        <w:tc>
          <w:tcPr>
            <w:tcW w:w="2680" w:type="dxa"/>
            <w:vAlign w:val="bottom"/>
            <w:tcBorders>
              <w:top w:val="single" w:sz="8" w:color="FFC080"/>
            </w:tcBorders>
            <w:shd w:val="clear" w:color="auto" w:fill="FFC080"/>
          </w:tcPr>
          <w:p>
            <w:pPr>
              <w:spacing w:after="0"/>
              <w:rPr>
                <w:sz w:val="7"/>
                <w:szCs w:val="7"/>
                <w:color w:val="auto"/>
              </w:rPr>
            </w:pPr>
          </w:p>
        </w:tc>
        <w:tc>
          <w:tcPr>
            <w:tcW w:w="3140" w:type="dxa"/>
            <w:vAlign w:val="bottom"/>
            <w:tcBorders>
              <w:top w:val="single" w:sz="8" w:color="FFC080"/>
            </w:tcBorders>
            <w:shd w:val="clear" w:color="auto" w:fill="FFC080"/>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702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314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FFC080"/>
          </w:tcPr>
          <w:p>
            <w:pPr>
              <w:spacing w:after="0"/>
              <w:rPr>
                <w:sz w:val="20"/>
                <w:szCs w:val="20"/>
                <w:color w:val="auto"/>
              </w:rPr>
            </w:pPr>
            <w:r>
              <w:rPr>
                <w:rFonts w:ascii="Arial" w:cs="Arial" w:eastAsia="Arial" w:hAnsi="Arial"/>
                <w:sz w:val="18"/>
                <w:szCs w:val="18"/>
                <w:color w:val="auto"/>
              </w:rPr>
              <w:t>Item 2</w:t>
            </w:r>
          </w:p>
        </w:tc>
        <w:tc>
          <w:tcPr>
            <w:tcW w:w="7020" w:type="dxa"/>
            <w:vAlign w:val="bottom"/>
            <w:gridSpan w:val="8"/>
            <w:shd w:val="clear" w:color="auto" w:fill="FFC08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3140" w:type="dxa"/>
            <w:vAlign w:val="bottom"/>
            <w:shd w:val="clear" w:color="auto" w:fill="FFC080"/>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Borders>
              <w:top w:val="single" w:sz="8" w:color="FFC080"/>
            </w:tcBorders>
            <w:shd w:val="clear" w:color="auto" w:fill="FFC080"/>
          </w:tcPr>
          <w:p>
            <w:pPr>
              <w:spacing w:after="0"/>
              <w:rPr>
                <w:sz w:val="7"/>
                <w:szCs w:val="7"/>
                <w:color w:val="auto"/>
              </w:rPr>
            </w:pPr>
          </w:p>
        </w:tc>
        <w:tc>
          <w:tcPr>
            <w:tcW w:w="60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0000EE"/>
            </w:tcBorders>
            <w:shd w:val="clear" w:color="auto" w:fill="FFC080"/>
          </w:tcPr>
          <w:p>
            <w:pPr>
              <w:spacing w:after="0"/>
              <w:rPr>
                <w:sz w:val="7"/>
                <w:szCs w:val="7"/>
                <w:color w:val="auto"/>
              </w:rPr>
            </w:pPr>
          </w:p>
        </w:tc>
        <w:tc>
          <w:tcPr>
            <w:tcW w:w="400" w:type="dxa"/>
            <w:vAlign w:val="bottom"/>
            <w:tcBorders>
              <w:top w:val="single" w:sz="8" w:color="0000EE"/>
            </w:tcBorders>
            <w:shd w:val="clear" w:color="auto" w:fill="FFC080"/>
          </w:tcPr>
          <w:p>
            <w:pPr>
              <w:spacing w:after="0"/>
              <w:rPr>
                <w:sz w:val="7"/>
                <w:szCs w:val="7"/>
                <w:color w:val="auto"/>
              </w:rPr>
            </w:pPr>
          </w:p>
        </w:tc>
        <w:tc>
          <w:tcPr>
            <w:tcW w:w="2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0000EE"/>
            </w:tcBorders>
            <w:shd w:val="clear" w:color="auto" w:fill="FFC080"/>
          </w:tcPr>
          <w:p>
            <w:pPr>
              <w:spacing w:after="0"/>
              <w:rPr>
                <w:sz w:val="7"/>
                <w:szCs w:val="7"/>
                <w:color w:val="auto"/>
              </w:rPr>
            </w:pPr>
          </w:p>
        </w:tc>
        <w:tc>
          <w:tcPr>
            <w:tcW w:w="620" w:type="dxa"/>
            <w:vAlign w:val="bottom"/>
            <w:tcBorders>
              <w:top w:val="single" w:sz="8" w:color="0000EE"/>
            </w:tcBorders>
            <w:shd w:val="clear" w:color="auto" w:fill="FFC080"/>
          </w:tcPr>
          <w:p>
            <w:pPr>
              <w:spacing w:after="0"/>
              <w:rPr>
                <w:sz w:val="7"/>
                <w:szCs w:val="7"/>
                <w:color w:val="auto"/>
              </w:rPr>
            </w:pPr>
          </w:p>
        </w:tc>
        <w:tc>
          <w:tcPr>
            <w:tcW w:w="2020" w:type="dxa"/>
            <w:vAlign w:val="bottom"/>
            <w:tcBorders>
              <w:top w:val="single" w:sz="8" w:color="0000EE"/>
            </w:tcBorders>
            <w:shd w:val="clear" w:color="auto" w:fill="FFC080"/>
          </w:tcPr>
          <w:p>
            <w:pPr>
              <w:spacing w:after="0"/>
              <w:rPr>
                <w:sz w:val="7"/>
                <w:szCs w:val="7"/>
                <w:color w:val="auto"/>
              </w:rPr>
            </w:pPr>
          </w:p>
        </w:tc>
        <w:tc>
          <w:tcPr>
            <w:tcW w:w="2680" w:type="dxa"/>
            <w:vAlign w:val="bottom"/>
            <w:tcBorders>
              <w:top w:val="single" w:sz="8" w:color="FFC080"/>
            </w:tcBorders>
            <w:shd w:val="clear" w:color="auto" w:fill="FFC080"/>
          </w:tcPr>
          <w:p>
            <w:pPr>
              <w:spacing w:after="0"/>
              <w:rPr>
                <w:sz w:val="7"/>
                <w:szCs w:val="7"/>
                <w:color w:val="auto"/>
              </w:rPr>
            </w:pPr>
          </w:p>
        </w:tc>
        <w:tc>
          <w:tcPr>
            <w:tcW w:w="3140" w:type="dxa"/>
            <w:vAlign w:val="bottom"/>
            <w:tcBorders>
              <w:top w:val="single" w:sz="8" w:color="FFC080"/>
            </w:tcBorders>
            <w:shd w:val="clear" w:color="auto" w:fill="FFC080"/>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702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Defaults Upon Senior Securities</w:t>
              </w:r>
            </w:hyperlink>
          </w:p>
        </w:tc>
        <w:tc>
          <w:tcPr>
            <w:tcW w:w="314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20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FFC080"/>
          </w:tcPr>
          <w:p>
            <w:pPr>
              <w:spacing w:after="0"/>
              <w:rPr>
                <w:sz w:val="20"/>
                <w:szCs w:val="20"/>
                <w:color w:val="auto"/>
              </w:rPr>
            </w:pPr>
            <w:r>
              <w:rPr>
                <w:rFonts w:ascii="Arial" w:cs="Arial" w:eastAsia="Arial" w:hAnsi="Arial"/>
                <w:sz w:val="18"/>
                <w:szCs w:val="18"/>
                <w:color w:val="auto"/>
              </w:rPr>
              <w:t>Item 4</w:t>
            </w:r>
          </w:p>
        </w:tc>
        <w:tc>
          <w:tcPr>
            <w:tcW w:w="7020" w:type="dxa"/>
            <w:vAlign w:val="bottom"/>
            <w:gridSpan w:val="8"/>
            <w:shd w:val="clear" w:color="auto" w:fill="FFC08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Removed and Reserved</w:t>
              </w:r>
            </w:hyperlink>
          </w:p>
        </w:tc>
        <w:tc>
          <w:tcPr>
            <w:tcW w:w="3140" w:type="dxa"/>
            <w:vAlign w:val="bottom"/>
            <w:shd w:val="clear" w:color="auto" w:fill="FFC080"/>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Borders>
              <w:top w:val="single" w:sz="8" w:color="FFC080"/>
            </w:tcBorders>
            <w:shd w:val="clear" w:color="auto" w:fill="FFC080"/>
          </w:tcPr>
          <w:p>
            <w:pPr>
              <w:spacing w:after="0"/>
              <w:rPr>
                <w:sz w:val="7"/>
                <w:szCs w:val="7"/>
                <w:color w:val="auto"/>
              </w:rPr>
            </w:pPr>
          </w:p>
        </w:tc>
        <w:tc>
          <w:tcPr>
            <w:tcW w:w="60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0000EE"/>
            </w:tcBorders>
            <w:shd w:val="clear" w:color="auto" w:fill="FFC080"/>
          </w:tcPr>
          <w:p>
            <w:pPr>
              <w:spacing w:after="0"/>
              <w:rPr>
                <w:sz w:val="7"/>
                <w:szCs w:val="7"/>
                <w:color w:val="auto"/>
              </w:rPr>
            </w:pPr>
          </w:p>
        </w:tc>
        <w:tc>
          <w:tcPr>
            <w:tcW w:w="400" w:type="dxa"/>
            <w:vAlign w:val="bottom"/>
            <w:tcBorders>
              <w:top w:val="single" w:sz="8" w:color="0000EE"/>
            </w:tcBorders>
            <w:shd w:val="clear" w:color="auto" w:fill="FFC080"/>
          </w:tcPr>
          <w:p>
            <w:pPr>
              <w:spacing w:after="0"/>
              <w:rPr>
                <w:sz w:val="7"/>
                <w:szCs w:val="7"/>
                <w:color w:val="auto"/>
              </w:rPr>
            </w:pPr>
          </w:p>
        </w:tc>
        <w:tc>
          <w:tcPr>
            <w:tcW w:w="2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0000EE"/>
            </w:tcBorders>
            <w:shd w:val="clear" w:color="auto" w:fill="FFC080"/>
          </w:tcPr>
          <w:p>
            <w:pPr>
              <w:spacing w:after="0"/>
              <w:rPr>
                <w:sz w:val="7"/>
                <w:szCs w:val="7"/>
                <w:color w:val="auto"/>
              </w:rPr>
            </w:pPr>
          </w:p>
        </w:tc>
        <w:tc>
          <w:tcPr>
            <w:tcW w:w="620" w:type="dxa"/>
            <w:vAlign w:val="bottom"/>
            <w:tcBorders>
              <w:top w:val="single" w:sz="8" w:color="FFC080"/>
            </w:tcBorders>
            <w:shd w:val="clear" w:color="auto" w:fill="FFC080"/>
          </w:tcPr>
          <w:p>
            <w:pPr>
              <w:spacing w:after="0"/>
              <w:rPr>
                <w:sz w:val="7"/>
                <w:szCs w:val="7"/>
                <w:color w:val="auto"/>
              </w:rPr>
            </w:pPr>
          </w:p>
        </w:tc>
        <w:tc>
          <w:tcPr>
            <w:tcW w:w="2020" w:type="dxa"/>
            <w:vAlign w:val="bottom"/>
            <w:tcBorders>
              <w:top w:val="single" w:sz="8" w:color="FFC080"/>
            </w:tcBorders>
            <w:shd w:val="clear" w:color="auto" w:fill="FFC080"/>
          </w:tcPr>
          <w:p>
            <w:pPr>
              <w:spacing w:after="0"/>
              <w:rPr>
                <w:sz w:val="7"/>
                <w:szCs w:val="7"/>
                <w:color w:val="auto"/>
              </w:rPr>
            </w:pPr>
          </w:p>
        </w:tc>
        <w:tc>
          <w:tcPr>
            <w:tcW w:w="2680" w:type="dxa"/>
            <w:vAlign w:val="bottom"/>
            <w:tcBorders>
              <w:top w:val="single" w:sz="8" w:color="FFC080"/>
            </w:tcBorders>
            <w:shd w:val="clear" w:color="auto" w:fill="FFC080"/>
          </w:tcPr>
          <w:p>
            <w:pPr>
              <w:spacing w:after="0"/>
              <w:rPr>
                <w:sz w:val="7"/>
                <w:szCs w:val="7"/>
                <w:color w:val="auto"/>
              </w:rPr>
            </w:pPr>
          </w:p>
        </w:tc>
        <w:tc>
          <w:tcPr>
            <w:tcW w:w="3140" w:type="dxa"/>
            <w:vAlign w:val="bottom"/>
            <w:tcBorders>
              <w:top w:val="single" w:sz="8" w:color="FFC080"/>
            </w:tcBorders>
            <w:shd w:val="clear" w:color="auto" w:fill="FFC080"/>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702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314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FFC080"/>
          </w:tcPr>
          <w:p>
            <w:pPr>
              <w:spacing w:after="0"/>
              <w:rPr>
                <w:sz w:val="20"/>
                <w:szCs w:val="20"/>
                <w:color w:val="auto"/>
              </w:rPr>
            </w:pPr>
            <w:r>
              <w:rPr>
                <w:rFonts w:ascii="Arial" w:cs="Arial" w:eastAsia="Arial" w:hAnsi="Arial"/>
                <w:sz w:val="18"/>
                <w:szCs w:val="18"/>
                <w:color w:val="auto"/>
              </w:rPr>
              <w:t>Item 6</w:t>
            </w:r>
          </w:p>
        </w:tc>
        <w:tc>
          <w:tcPr>
            <w:tcW w:w="7020" w:type="dxa"/>
            <w:vAlign w:val="bottom"/>
            <w:gridSpan w:val="8"/>
            <w:shd w:val="clear" w:color="auto" w:fill="FFC08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3140" w:type="dxa"/>
            <w:vAlign w:val="bottom"/>
            <w:vMerge w:val="restart"/>
            <w:shd w:val="clear" w:color="auto" w:fill="FFC080"/>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Borders>
              <w:top w:val="single" w:sz="8" w:color="FFC080"/>
            </w:tcBorders>
            <w:shd w:val="clear" w:color="auto" w:fill="FFC080"/>
          </w:tcPr>
          <w:p>
            <w:pPr>
              <w:spacing w:after="0"/>
              <w:rPr>
                <w:sz w:val="7"/>
                <w:szCs w:val="7"/>
                <w:color w:val="auto"/>
              </w:rPr>
            </w:pPr>
          </w:p>
        </w:tc>
        <w:tc>
          <w:tcPr>
            <w:tcW w:w="60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FFC080"/>
            </w:tcBorders>
            <w:shd w:val="clear" w:color="auto" w:fill="FFC080"/>
          </w:tcPr>
          <w:p>
            <w:pPr>
              <w:spacing w:after="0"/>
              <w:rPr>
                <w:sz w:val="7"/>
                <w:szCs w:val="7"/>
                <w:color w:val="auto"/>
              </w:rPr>
            </w:pPr>
          </w:p>
        </w:tc>
        <w:tc>
          <w:tcPr>
            <w:tcW w:w="400" w:type="dxa"/>
            <w:vAlign w:val="bottom"/>
            <w:tcBorders>
              <w:top w:val="single" w:sz="8" w:color="FFC080"/>
            </w:tcBorders>
            <w:shd w:val="clear" w:color="auto" w:fill="FFC080"/>
          </w:tcPr>
          <w:p>
            <w:pPr>
              <w:spacing w:after="0"/>
              <w:rPr>
                <w:sz w:val="7"/>
                <w:szCs w:val="7"/>
                <w:color w:val="auto"/>
              </w:rPr>
            </w:pPr>
          </w:p>
        </w:tc>
        <w:tc>
          <w:tcPr>
            <w:tcW w:w="20" w:type="dxa"/>
            <w:vAlign w:val="bottom"/>
            <w:tcBorders>
              <w:top w:val="single" w:sz="8" w:color="FFC080"/>
            </w:tcBorders>
            <w:shd w:val="clear" w:color="auto" w:fill="FFC080"/>
          </w:tcPr>
          <w:p>
            <w:pPr>
              <w:spacing w:after="0"/>
              <w:rPr>
                <w:sz w:val="7"/>
                <w:szCs w:val="7"/>
                <w:color w:val="auto"/>
              </w:rPr>
            </w:pPr>
          </w:p>
        </w:tc>
        <w:tc>
          <w:tcPr>
            <w:tcW w:w="380" w:type="dxa"/>
            <w:vAlign w:val="bottom"/>
            <w:tcBorders>
              <w:top w:val="single" w:sz="8" w:color="FFC080"/>
            </w:tcBorders>
            <w:shd w:val="clear" w:color="auto" w:fill="FFC080"/>
          </w:tcPr>
          <w:p>
            <w:pPr>
              <w:spacing w:after="0"/>
              <w:rPr>
                <w:sz w:val="7"/>
                <w:szCs w:val="7"/>
                <w:color w:val="auto"/>
              </w:rPr>
            </w:pPr>
          </w:p>
        </w:tc>
        <w:tc>
          <w:tcPr>
            <w:tcW w:w="620" w:type="dxa"/>
            <w:vAlign w:val="bottom"/>
            <w:tcBorders>
              <w:top w:val="single" w:sz="8" w:color="FFC080"/>
            </w:tcBorders>
            <w:shd w:val="clear" w:color="auto" w:fill="FFC080"/>
          </w:tcPr>
          <w:p>
            <w:pPr>
              <w:spacing w:after="0"/>
              <w:rPr>
                <w:sz w:val="7"/>
                <w:szCs w:val="7"/>
                <w:color w:val="auto"/>
              </w:rPr>
            </w:pPr>
          </w:p>
        </w:tc>
        <w:tc>
          <w:tcPr>
            <w:tcW w:w="2020" w:type="dxa"/>
            <w:vAlign w:val="bottom"/>
            <w:tcBorders>
              <w:top w:val="single" w:sz="8" w:color="FFC080"/>
            </w:tcBorders>
            <w:shd w:val="clear" w:color="auto" w:fill="FFC080"/>
          </w:tcPr>
          <w:p>
            <w:pPr>
              <w:spacing w:after="0"/>
              <w:rPr>
                <w:sz w:val="7"/>
                <w:szCs w:val="7"/>
                <w:color w:val="auto"/>
              </w:rPr>
            </w:pPr>
          </w:p>
        </w:tc>
        <w:tc>
          <w:tcPr>
            <w:tcW w:w="2680" w:type="dxa"/>
            <w:vAlign w:val="bottom"/>
            <w:tcBorders>
              <w:top w:val="single" w:sz="8" w:color="FFC080"/>
            </w:tcBorders>
            <w:shd w:val="clear" w:color="auto" w:fill="FFC080"/>
          </w:tcPr>
          <w:p>
            <w:pPr>
              <w:spacing w:after="0"/>
              <w:rPr>
                <w:sz w:val="7"/>
                <w:szCs w:val="7"/>
                <w:color w:val="auto"/>
              </w:rPr>
            </w:pPr>
          </w:p>
        </w:tc>
        <w:tc>
          <w:tcPr>
            <w:tcW w:w="3140" w:type="dxa"/>
            <w:vAlign w:val="bottom"/>
            <w:tcBorders>
              <w:top w:val="single" w:sz="8" w:color="FFC080"/>
            </w:tcBorders>
            <w:vMerge w:val="continue"/>
            <w:shd w:val="clear" w:color="auto" w:fill="FFC080"/>
          </w:tcPr>
          <w:p>
            <w:pPr>
              <w:spacing w:after="0"/>
              <w:rPr>
                <w:sz w:val="7"/>
                <w:szCs w:val="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Signatures</w:t>
              </w:r>
            </w:hyperlink>
          </w:p>
        </w:tc>
        <w:tc>
          <w:tcPr>
            <w:tcW w:w="8160" w:type="dxa"/>
            <w:vAlign w:val="bottom"/>
            <w:vMerge w:val="restart"/>
          </w:tcPr>
          <w:p>
            <w:pPr>
              <w:jc w:val="right"/>
              <w:ind w:right="2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95"/>
        </w:trPr>
        <w:tc>
          <w:tcPr>
            <w:tcW w:w="820" w:type="dxa"/>
            <w:vAlign w:val="bottom"/>
            <w:tcBorders>
              <w:top w:val="single" w:sz="8" w:color="0000EE"/>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81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8"/>
        </w:trPr>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160" w:type="dxa"/>
            <w:vAlign w:val="bottom"/>
          </w:tcPr>
          <w:p>
            <w:pPr>
              <w:jc w:val="right"/>
              <w:ind w:right="559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645"/>
        </w:trPr>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2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6"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Unaudited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As of</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50"/>
              <w:spacing w:after="0" w:line="198" w:lineRule="exact"/>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June 30, 2010</w:t>
            </w:r>
          </w:p>
        </w:tc>
        <w:tc>
          <w:tcPr>
            <w:tcW w:w="8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3820"/>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FC080"/>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10,906</w:t>
            </w:r>
          </w:p>
        </w:tc>
        <w:tc>
          <w:tcPr>
            <w:tcW w:w="340" w:type="dxa"/>
            <w:vAlign w:val="bottom"/>
            <w:gridSpan w:val="2"/>
            <w:shd w:val="clear" w:color="auto" w:fill="FFC080"/>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$191 and $103, respectively</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8,429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FC080"/>
          </w:tcPr>
          <w:p>
            <w:pPr>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6,176</w:t>
            </w:r>
          </w:p>
        </w:tc>
        <w:tc>
          <w:tcPr>
            <w:tcW w:w="8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FC080"/>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556</w:t>
            </w:r>
          </w:p>
        </w:tc>
        <w:tc>
          <w:tcPr>
            <w:tcW w:w="8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4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FFC080"/>
          </w:tcPr>
          <w:p>
            <w:pPr>
              <w:spacing w:after="0"/>
              <w:rPr>
                <w:sz w:val="18"/>
                <w:szCs w:val="18"/>
                <w:color w:val="auto"/>
              </w:rPr>
            </w:pPr>
          </w:p>
        </w:tc>
        <w:tc>
          <w:tcPr>
            <w:tcW w:w="140" w:type="dxa"/>
            <w:vAlign w:val="bottom"/>
            <w:tcBorders>
              <w:top w:val="single" w:sz="8" w:color="auto"/>
            </w:tcBorders>
            <w:shd w:val="clear" w:color="auto" w:fill="FFC080"/>
          </w:tcPr>
          <w:p>
            <w:pPr>
              <w:spacing w:after="0"/>
              <w:rPr>
                <w:sz w:val="18"/>
                <w:szCs w:val="18"/>
                <w:color w:val="auto"/>
              </w:rPr>
            </w:pPr>
          </w:p>
        </w:tc>
        <w:tc>
          <w:tcPr>
            <w:tcW w:w="102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60" w:type="dxa"/>
            <w:vAlign w:val="bottom"/>
            <w:tcBorders>
              <w:top w:val="single" w:sz="8" w:color="auto"/>
            </w:tcBorders>
            <w:shd w:val="clear" w:color="auto" w:fill="FFC080"/>
          </w:tcPr>
          <w:p>
            <w:pPr>
              <w:spacing w:after="0"/>
              <w:rPr>
                <w:sz w:val="18"/>
                <w:szCs w:val="18"/>
                <w:color w:val="auto"/>
              </w:rPr>
            </w:pPr>
          </w:p>
        </w:tc>
        <w:tc>
          <w:tcPr>
            <w:tcW w:w="1220" w:type="dxa"/>
            <w:vAlign w:val="bottom"/>
            <w:tcBorders>
              <w:top w:val="single" w:sz="8" w:color="auto"/>
            </w:tcBorders>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Long-term inventory</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FC080"/>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3,195</w:t>
            </w:r>
          </w:p>
        </w:tc>
        <w:tc>
          <w:tcPr>
            <w:tcW w:w="8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Intangibles</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FC080"/>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FC080"/>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4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41,310</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41,575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0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2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20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FC080"/>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FFC080"/>
          </w:tcPr>
          <w:p>
            <w:pPr>
              <w:spacing w:after="0"/>
              <w:rPr>
                <w:sz w:val="18"/>
                <w:szCs w:val="18"/>
                <w:color w:val="auto"/>
              </w:rPr>
            </w:pPr>
          </w:p>
        </w:tc>
        <w:tc>
          <w:tcPr>
            <w:tcW w:w="10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2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FC080"/>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2,066</w:t>
            </w:r>
          </w:p>
        </w:tc>
        <w:tc>
          <w:tcPr>
            <w:tcW w:w="8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FC080"/>
          </w:tcPr>
          <w:p>
            <w:pPr>
              <w:spacing w:after="0"/>
              <w:rPr>
                <w:sz w:val="20"/>
                <w:szCs w:val="20"/>
                <w:color w:val="auto"/>
              </w:rPr>
            </w:pPr>
            <w:r>
              <w:rPr>
                <w:rFonts w:ascii="Arial" w:cs="Arial" w:eastAsia="Arial" w:hAnsi="Arial"/>
                <w:sz w:val="18"/>
                <w:szCs w:val="18"/>
                <w:color w:val="auto"/>
              </w:rPr>
              <w:t>Deferred product revenue</w:t>
            </w:r>
          </w:p>
        </w:tc>
        <w:tc>
          <w:tcPr>
            <w:tcW w:w="14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5,033</w:t>
            </w:r>
          </w:p>
        </w:tc>
        <w:tc>
          <w:tcPr>
            <w:tcW w:w="8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4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9,691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10,779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FFC080"/>
          </w:tcPr>
          <w:p>
            <w:pPr>
              <w:spacing w:after="0"/>
              <w:rPr>
                <w:sz w:val="18"/>
                <w:szCs w:val="18"/>
                <w:color w:val="auto"/>
              </w:rPr>
            </w:pPr>
          </w:p>
        </w:tc>
        <w:tc>
          <w:tcPr>
            <w:tcW w:w="140" w:type="dxa"/>
            <w:vAlign w:val="bottom"/>
            <w:tcBorders>
              <w:top w:val="single" w:sz="8" w:color="auto"/>
            </w:tcBorders>
            <w:shd w:val="clear" w:color="auto" w:fill="FFC080"/>
          </w:tcPr>
          <w:p>
            <w:pPr>
              <w:spacing w:after="0"/>
              <w:rPr>
                <w:sz w:val="18"/>
                <w:szCs w:val="18"/>
                <w:color w:val="auto"/>
              </w:rPr>
            </w:pPr>
          </w:p>
        </w:tc>
        <w:tc>
          <w:tcPr>
            <w:tcW w:w="102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60" w:type="dxa"/>
            <w:vAlign w:val="bottom"/>
            <w:tcBorders>
              <w:top w:val="single" w:sz="8" w:color="auto"/>
            </w:tcBorders>
            <w:shd w:val="clear" w:color="auto" w:fill="FFC080"/>
          </w:tcPr>
          <w:p>
            <w:pPr>
              <w:spacing w:after="0"/>
              <w:rPr>
                <w:sz w:val="18"/>
                <w:szCs w:val="18"/>
                <w:color w:val="auto"/>
              </w:rPr>
            </w:pPr>
          </w:p>
        </w:tc>
        <w:tc>
          <w:tcPr>
            <w:tcW w:w="1220" w:type="dxa"/>
            <w:vAlign w:val="bottom"/>
            <w:tcBorders>
              <w:top w:val="single" w:sz="8" w:color="auto"/>
            </w:tcBorders>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FC080"/>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4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11,482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FFC080"/>
          </w:tcPr>
          <w:p>
            <w:pPr>
              <w:spacing w:after="0"/>
              <w:rPr>
                <w:sz w:val="18"/>
                <w:szCs w:val="18"/>
                <w:color w:val="auto"/>
              </w:rPr>
            </w:pPr>
          </w:p>
        </w:tc>
        <w:tc>
          <w:tcPr>
            <w:tcW w:w="140" w:type="dxa"/>
            <w:vAlign w:val="bottom"/>
            <w:tcBorders>
              <w:top w:val="single" w:sz="8" w:color="auto"/>
            </w:tcBorders>
            <w:shd w:val="clear" w:color="auto" w:fill="FFC080"/>
          </w:tcPr>
          <w:p>
            <w:pPr>
              <w:spacing w:after="0"/>
              <w:rPr>
                <w:sz w:val="18"/>
                <w:szCs w:val="18"/>
                <w:color w:val="auto"/>
              </w:rPr>
            </w:pPr>
          </w:p>
        </w:tc>
        <w:tc>
          <w:tcPr>
            <w:tcW w:w="102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60" w:type="dxa"/>
            <w:vAlign w:val="bottom"/>
            <w:tcBorders>
              <w:top w:val="single" w:sz="8" w:color="auto"/>
            </w:tcBorders>
            <w:shd w:val="clear" w:color="auto" w:fill="FFC080"/>
          </w:tcPr>
          <w:p>
            <w:pPr>
              <w:spacing w:after="0"/>
              <w:rPr>
                <w:sz w:val="18"/>
                <w:szCs w:val="18"/>
                <w:color w:val="auto"/>
              </w:rPr>
            </w:pPr>
          </w:p>
        </w:tc>
        <w:tc>
          <w:tcPr>
            <w:tcW w:w="1220" w:type="dxa"/>
            <w:vAlign w:val="bottom"/>
            <w:tcBorders>
              <w:top w:val="single" w:sz="8" w:color="auto"/>
            </w:tcBorders>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FFC080"/>
          </w:tcPr>
          <w:p>
            <w:pPr>
              <w:spacing w:after="0" w:line="201" w:lineRule="exact"/>
              <w:rPr>
                <w:sz w:val="20"/>
                <w:szCs w:val="20"/>
                <w:color w:val="auto"/>
              </w:rPr>
            </w:pPr>
            <w:r>
              <w:rPr>
                <w:rFonts w:ascii="Arial" w:cs="Arial" w:eastAsia="Arial" w:hAnsi="Arial"/>
                <w:sz w:val="18"/>
                <w:szCs w:val="18"/>
                <w:color w:val="auto"/>
                <w:w w:val="96"/>
              </w:rPr>
              <w:t>Common stock, par value $0.001, 50,000,000 shares authorized, 8,929,314 and 8,929,134 shares issued and</w:t>
            </w:r>
          </w:p>
        </w:tc>
        <w:tc>
          <w:tcPr>
            <w:tcW w:w="140" w:type="dxa"/>
            <w:vAlign w:val="bottom"/>
            <w:shd w:val="clear" w:color="auto" w:fill="FFC080"/>
          </w:tcPr>
          <w:p>
            <w:pPr>
              <w:spacing w:after="0"/>
              <w:rPr>
                <w:sz w:val="17"/>
                <w:szCs w:val="17"/>
                <w:color w:val="auto"/>
              </w:rPr>
            </w:pPr>
          </w:p>
        </w:tc>
        <w:tc>
          <w:tcPr>
            <w:tcW w:w="102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122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FFC080"/>
          </w:tcPr>
          <w:p>
            <w:pPr>
              <w:ind w:left="160"/>
              <w:spacing w:after="0"/>
              <w:rPr>
                <w:sz w:val="20"/>
                <w:szCs w:val="20"/>
                <w:color w:val="auto"/>
              </w:rPr>
            </w:pPr>
            <w:r>
              <w:rPr>
                <w:rFonts w:ascii="Arial" w:cs="Arial" w:eastAsia="Arial" w:hAnsi="Arial"/>
                <w:sz w:val="18"/>
                <w:szCs w:val="18"/>
                <w:color w:val="auto"/>
              </w:rPr>
              <w:t>outstanding, respectively</w:t>
            </w:r>
          </w:p>
        </w:tc>
        <w:tc>
          <w:tcPr>
            <w:tcW w:w="140" w:type="dxa"/>
            <w:vAlign w:val="bottom"/>
            <w:shd w:val="clear" w:color="auto" w:fill="FFC080"/>
          </w:tcPr>
          <w:p>
            <w:pPr>
              <w:spacing w:after="0"/>
              <w:rPr>
                <w:sz w:val="20"/>
                <w:szCs w:val="20"/>
                <w:color w:val="auto"/>
              </w:rPr>
            </w:pPr>
          </w:p>
        </w:tc>
        <w:tc>
          <w:tcPr>
            <w:tcW w:w="11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FFC080"/>
          </w:tcPr>
          <w:p>
            <w:pPr>
              <w:spacing w:after="0"/>
              <w:rPr>
                <w:sz w:val="20"/>
                <w:szCs w:val="20"/>
                <w:color w:val="auto"/>
              </w:rPr>
            </w:pPr>
          </w:p>
        </w:tc>
        <w:tc>
          <w:tcPr>
            <w:tcW w:w="260" w:type="dxa"/>
            <w:vAlign w:val="bottom"/>
            <w:shd w:val="clear" w:color="auto" w:fill="FFC080"/>
          </w:tcPr>
          <w:p>
            <w:pPr>
              <w:spacing w:after="0"/>
              <w:rPr>
                <w:sz w:val="20"/>
                <w:szCs w:val="20"/>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38,970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FC080"/>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(9,151)</w:t>
            </w:r>
          </w:p>
        </w:tc>
        <w:tc>
          <w:tcPr>
            <w:tcW w:w="8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4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Total shareholders' equity</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29,828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29,098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shd w:val="clear" w:color="auto" w:fill="FFC080"/>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41,310</w:t>
            </w:r>
          </w:p>
        </w:tc>
        <w:tc>
          <w:tcPr>
            <w:tcW w:w="340" w:type="dxa"/>
            <w:vAlign w:val="bottom"/>
            <w:gridSpan w:val="2"/>
            <w:shd w:val="clear" w:color="auto" w:fill="FFC080"/>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41,575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FFC080"/>
            </w:tcBorders>
            <w:shd w:val="clear" w:color="auto" w:fill="FFC08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FC080"/>
            </w:tcBorders>
            <w:shd w:val="clear" w:color="auto" w:fill="FFC08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20"/>
                <w:szCs w:val="20"/>
                <w:color w:val="auto"/>
              </w:rPr>
            </w:pPr>
          </w:p>
        </w:tc>
        <w:tc>
          <w:tcPr>
            <w:tcW w:w="23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2010</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June 30, 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FFC080"/>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shd w:val="clear" w:color="auto" w:fill="FFC080"/>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9,937</w:t>
            </w:r>
          </w:p>
        </w:tc>
        <w:tc>
          <w:tcPr>
            <w:tcW w:w="340" w:type="dxa"/>
            <w:vAlign w:val="bottom"/>
            <w:gridSpan w:val="2"/>
            <w:shd w:val="clear" w:color="auto" w:fill="FFC080"/>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7,060</w:t>
            </w:r>
          </w:p>
        </w:tc>
        <w:tc>
          <w:tcPr>
            <w:tcW w:w="260" w:type="dxa"/>
            <w:vAlign w:val="bottom"/>
            <w:shd w:val="clear" w:color="auto" w:fill="FFC080"/>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18,293</w:t>
            </w:r>
          </w:p>
        </w:tc>
        <w:tc>
          <w:tcPr>
            <w:tcW w:w="320" w:type="dxa"/>
            <w:vAlign w:val="bottom"/>
            <w:gridSpan w:val="2"/>
            <w:shd w:val="clear" w:color="auto" w:fill="FFC080"/>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goods sold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7,437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shd w:val="clear" w:color="auto" w:fill="FFC080"/>
          </w:tcPr>
          <w:p>
            <w:pPr>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FFC080"/>
          </w:tcPr>
          <w:p>
            <w:pPr>
              <w:spacing w:after="0"/>
              <w:rPr>
                <w:sz w:val="19"/>
                <w:szCs w:val="19"/>
                <w:color w:val="auto"/>
              </w:rPr>
            </w:pPr>
          </w:p>
        </w:tc>
        <w:tc>
          <w:tcPr>
            <w:tcW w:w="260" w:type="dxa"/>
            <w:vAlign w:val="bottom"/>
            <w:shd w:val="clear" w:color="auto" w:fill="FFC080"/>
          </w:tcPr>
          <w:p>
            <w:pPr>
              <w:spacing w:after="0"/>
              <w:rPr>
                <w:sz w:val="19"/>
                <w:szCs w:val="19"/>
                <w:color w:val="auto"/>
              </w:rPr>
            </w:pPr>
          </w:p>
        </w:tc>
        <w:tc>
          <w:tcPr>
            <w:tcW w:w="9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5,661</w:t>
            </w:r>
          </w:p>
        </w:tc>
        <w:tc>
          <w:tcPr>
            <w:tcW w:w="140" w:type="dxa"/>
            <w:vAlign w:val="bottom"/>
            <w:shd w:val="clear" w:color="auto" w:fill="FFC080"/>
          </w:tcPr>
          <w:p>
            <w:pPr>
              <w:spacing w:after="0"/>
              <w:rPr>
                <w:sz w:val="19"/>
                <w:szCs w:val="19"/>
                <w:color w:val="auto"/>
              </w:rPr>
            </w:pPr>
          </w:p>
        </w:tc>
        <w:tc>
          <w:tcPr>
            <w:tcW w:w="100" w:type="dxa"/>
            <w:vAlign w:val="bottom"/>
            <w:shd w:val="clear" w:color="auto" w:fill="FFC080"/>
          </w:tcPr>
          <w:p>
            <w:pPr>
              <w:spacing w:after="0"/>
              <w:rPr>
                <w:sz w:val="19"/>
                <w:szCs w:val="19"/>
                <w:color w:val="auto"/>
              </w:rPr>
            </w:pPr>
          </w:p>
        </w:tc>
        <w:tc>
          <w:tcPr>
            <w:tcW w:w="240" w:type="dxa"/>
            <w:vAlign w:val="bottom"/>
            <w:shd w:val="clear" w:color="auto" w:fill="FFC080"/>
          </w:tcPr>
          <w:p>
            <w:pPr>
              <w:spacing w:after="0"/>
              <w:rPr>
                <w:sz w:val="19"/>
                <w:szCs w:val="19"/>
                <w:color w:val="auto"/>
              </w:rPr>
            </w:pPr>
          </w:p>
        </w:tc>
        <w:tc>
          <w:tcPr>
            <w:tcW w:w="9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3,174</w:t>
            </w:r>
          </w:p>
        </w:tc>
        <w:tc>
          <w:tcPr>
            <w:tcW w:w="200" w:type="dxa"/>
            <w:vAlign w:val="bottom"/>
            <w:shd w:val="clear" w:color="auto" w:fill="FFC080"/>
          </w:tcPr>
          <w:p>
            <w:pPr>
              <w:spacing w:after="0"/>
              <w:rPr>
                <w:sz w:val="19"/>
                <w:szCs w:val="19"/>
                <w:color w:val="auto"/>
              </w:rPr>
            </w:pPr>
          </w:p>
        </w:tc>
        <w:tc>
          <w:tcPr>
            <w:tcW w:w="260" w:type="dxa"/>
            <w:vAlign w:val="bottom"/>
            <w:shd w:val="clear" w:color="auto" w:fill="FFC080"/>
          </w:tcPr>
          <w:p>
            <w:pPr>
              <w:spacing w:after="0"/>
              <w:rPr>
                <w:sz w:val="19"/>
                <w:szCs w:val="19"/>
                <w:color w:val="auto"/>
              </w:rPr>
            </w:pPr>
          </w:p>
        </w:tc>
        <w:tc>
          <w:tcPr>
            <w:tcW w:w="10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10,856</w:t>
            </w:r>
          </w:p>
        </w:tc>
        <w:tc>
          <w:tcPr>
            <w:tcW w:w="80" w:type="dxa"/>
            <w:vAlign w:val="bottom"/>
            <w:shd w:val="clear" w:color="auto" w:fill="FFC080"/>
          </w:tcPr>
          <w:p>
            <w:pPr>
              <w:spacing w:after="0"/>
              <w:rPr>
                <w:sz w:val="19"/>
                <w:szCs w:val="19"/>
                <w:color w:val="auto"/>
              </w:rPr>
            </w:pPr>
          </w:p>
        </w:tc>
        <w:tc>
          <w:tcPr>
            <w:tcW w:w="240" w:type="dxa"/>
            <w:vAlign w:val="bottom"/>
            <w:shd w:val="clear" w:color="auto" w:fill="FFC080"/>
          </w:tcPr>
          <w:p>
            <w:pPr>
              <w:spacing w:after="0"/>
              <w:rPr>
                <w:sz w:val="19"/>
                <w:szCs w:val="19"/>
                <w:color w:val="auto"/>
              </w:rPr>
            </w:pPr>
          </w:p>
        </w:tc>
        <w:tc>
          <w:tcPr>
            <w:tcW w:w="10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7,227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Borders>
              <w:top w:val="single" w:sz="8" w:color="FFC080"/>
            </w:tcBorders>
          </w:tcPr>
          <w:p>
            <w:pPr>
              <w:spacing w:after="0"/>
              <w:rPr>
                <w:sz w:val="18"/>
                <w:szCs w:val="18"/>
                <w:color w:val="auto"/>
              </w:rPr>
            </w:pPr>
          </w:p>
        </w:tc>
        <w:tc>
          <w:tcPr>
            <w:tcW w:w="1420" w:type="dxa"/>
            <w:vAlign w:val="bottom"/>
            <w:tcBorders>
              <w:top w:val="single" w:sz="8" w:color="FFC080"/>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100" w:type="dxa"/>
            <w:vAlign w:val="bottom"/>
            <w:tcBorders>
              <w:top w:val="single" w:sz="8" w:color="FFC080"/>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FFC080"/>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80" w:type="dxa"/>
            <w:vAlign w:val="bottom"/>
            <w:tcBorders>
              <w:top w:val="single" w:sz="8" w:color="FFC080"/>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FFC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FFC080"/>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90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900" w:type="dxa"/>
            <w:vAlign w:val="bottom"/>
            <w:shd w:val="clear" w:color="auto" w:fill="FFC080"/>
          </w:tcPr>
          <w:p>
            <w:pPr>
              <w:spacing w:after="0"/>
              <w:rPr>
                <w:sz w:val="18"/>
                <w:szCs w:val="18"/>
                <w:color w:val="auto"/>
              </w:rPr>
            </w:pPr>
          </w:p>
        </w:tc>
        <w:tc>
          <w:tcPr>
            <w:tcW w:w="20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8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9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Sales and marketing</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1,929</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4,085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FFC080"/>
          </w:tcPr>
          <w:p>
            <w:pPr>
              <w:spacing w:after="0"/>
              <w:rPr>
                <w:sz w:val="20"/>
                <w:szCs w:val="20"/>
                <w:color w:val="auto"/>
              </w:rPr>
            </w:pPr>
            <w:r>
              <w:rPr>
                <w:rFonts w:ascii="Arial" w:cs="Arial" w:eastAsia="Arial" w:hAnsi="Arial"/>
                <w:sz w:val="18"/>
                <w:szCs w:val="18"/>
                <w:color w:val="auto"/>
              </w:rPr>
              <w:t>Research and product development</w:t>
            </w:r>
          </w:p>
        </w:tc>
        <w:tc>
          <w:tcPr>
            <w:tcW w:w="142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04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110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2,111</w:t>
            </w:r>
          </w:p>
        </w:tc>
        <w:tc>
          <w:tcPr>
            <w:tcW w:w="260" w:type="dxa"/>
            <w:vAlign w:val="bottom"/>
            <w:shd w:val="clear" w:color="auto" w:fill="FFC080"/>
          </w:tcPr>
          <w:p>
            <w:pPr>
              <w:spacing w:after="0"/>
              <w:rPr>
                <w:sz w:val="18"/>
                <w:szCs w:val="18"/>
                <w:color w:val="auto"/>
              </w:rPr>
            </w:pPr>
          </w:p>
        </w:tc>
        <w:tc>
          <w:tcPr>
            <w:tcW w:w="10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3,648</w:t>
            </w:r>
          </w:p>
        </w:tc>
        <w:tc>
          <w:tcPr>
            <w:tcW w:w="8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10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1,180</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FFC080"/>
          </w:tcPr>
          <w:p>
            <w:pPr>
              <w:spacing w:after="0"/>
              <w:rPr>
                <w:sz w:val="20"/>
                <w:szCs w:val="20"/>
                <w:color w:val="auto"/>
              </w:rPr>
            </w:pPr>
            <w:r>
              <w:rPr>
                <w:rFonts w:ascii="Arial" w:cs="Arial" w:eastAsia="Arial" w:hAnsi="Arial"/>
                <w:sz w:val="18"/>
                <w:szCs w:val="18"/>
                <w:color w:val="auto"/>
              </w:rPr>
              <w:t>Insurance settlement</w:t>
            </w:r>
          </w:p>
        </w:tc>
        <w:tc>
          <w:tcPr>
            <w:tcW w:w="142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9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110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(1,100)</w:t>
            </w:r>
          </w:p>
        </w:tc>
        <w:tc>
          <w:tcPr>
            <w:tcW w:w="260" w:type="dxa"/>
            <w:vAlign w:val="bottom"/>
            <w:shd w:val="clear" w:color="auto" w:fill="FFC080"/>
          </w:tcPr>
          <w:p>
            <w:pPr>
              <w:spacing w:after="0"/>
              <w:rPr>
                <w:sz w:val="18"/>
                <w:szCs w:val="18"/>
                <w:color w:val="auto"/>
              </w:rPr>
            </w:pPr>
          </w:p>
        </w:tc>
        <w:tc>
          <w:tcPr>
            <w:tcW w:w="10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100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shd w:val="clear" w:color="auto" w:fill="FFC080"/>
          </w:tcPr>
          <w:p>
            <w:pPr>
              <w:spacing w:after="0"/>
              <w:rPr>
                <w:sz w:val="2"/>
                <w:szCs w:val="2"/>
                <w:color w:val="auto"/>
              </w:rPr>
            </w:pPr>
          </w:p>
        </w:tc>
        <w:tc>
          <w:tcPr>
            <w:tcW w:w="1420" w:type="dxa"/>
            <w:vAlign w:val="bottom"/>
            <w:shd w:val="clear" w:color="auto" w:fill="FFC08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FC08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9,879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FFC080"/>
          </w:tcPr>
          <w:p>
            <w:pPr>
              <w:spacing w:after="0"/>
              <w:rPr>
                <w:sz w:val="18"/>
                <w:szCs w:val="18"/>
                <w:color w:val="auto"/>
              </w:rPr>
            </w:pPr>
          </w:p>
        </w:tc>
        <w:tc>
          <w:tcPr>
            <w:tcW w:w="1420" w:type="dxa"/>
            <w:vAlign w:val="bottom"/>
            <w:shd w:val="clear" w:color="auto" w:fill="FFC080"/>
          </w:tcPr>
          <w:p>
            <w:pPr>
              <w:spacing w:after="0"/>
              <w:rPr>
                <w:sz w:val="18"/>
                <w:szCs w:val="18"/>
                <w:color w:val="auto"/>
              </w:rPr>
            </w:pPr>
          </w:p>
        </w:tc>
        <w:tc>
          <w:tcPr>
            <w:tcW w:w="260" w:type="dxa"/>
            <w:vAlign w:val="bottom"/>
            <w:tcBorders>
              <w:top w:val="single" w:sz="8" w:color="auto"/>
            </w:tcBorders>
            <w:shd w:val="clear" w:color="auto" w:fill="FFC080"/>
          </w:tcPr>
          <w:p>
            <w:pPr>
              <w:spacing w:after="0"/>
              <w:rPr>
                <w:sz w:val="18"/>
                <w:szCs w:val="18"/>
                <w:color w:val="auto"/>
              </w:rPr>
            </w:pPr>
          </w:p>
        </w:tc>
        <w:tc>
          <w:tcPr>
            <w:tcW w:w="90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240" w:type="dxa"/>
            <w:vAlign w:val="bottom"/>
            <w:tcBorders>
              <w:top w:val="single" w:sz="8" w:color="auto"/>
            </w:tcBorders>
            <w:shd w:val="clear" w:color="auto" w:fill="FFC080"/>
          </w:tcPr>
          <w:p>
            <w:pPr>
              <w:spacing w:after="0"/>
              <w:rPr>
                <w:sz w:val="18"/>
                <w:szCs w:val="18"/>
                <w:color w:val="auto"/>
              </w:rPr>
            </w:pPr>
          </w:p>
        </w:tc>
        <w:tc>
          <w:tcPr>
            <w:tcW w:w="900" w:type="dxa"/>
            <w:vAlign w:val="bottom"/>
            <w:tcBorders>
              <w:top w:val="single" w:sz="8" w:color="auto"/>
            </w:tcBorders>
            <w:shd w:val="clear" w:color="auto" w:fill="FFC080"/>
          </w:tcPr>
          <w:p>
            <w:pPr>
              <w:spacing w:after="0"/>
              <w:rPr>
                <w:sz w:val="18"/>
                <w:szCs w:val="18"/>
                <w:color w:val="auto"/>
              </w:rPr>
            </w:pPr>
          </w:p>
        </w:tc>
        <w:tc>
          <w:tcPr>
            <w:tcW w:w="200" w:type="dxa"/>
            <w:vAlign w:val="bottom"/>
            <w:shd w:val="clear" w:color="auto" w:fill="FFC080"/>
          </w:tcPr>
          <w:p>
            <w:pPr>
              <w:spacing w:after="0"/>
              <w:rPr>
                <w:sz w:val="18"/>
                <w:szCs w:val="18"/>
                <w:color w:val="auto"/>
              </w:rPr>
            </w:pPr>
          </w:p>
        </w:tc>
        <w:tc>
          <w:tcPr>
            <w:tcW w:w="260" w:type="dxa"/>
            <w:vAlign w:val="bottom"/>
            <w:tcBorders>
              <w:top w:val="single" w:sz="8" w:color="auto"/>
            </w:tcBorders>
            <w:shd w:val="clear" w:color="auto" w:fill="FFC080"/>
          </w:tcPr>
          <w:p>
            <w:pPr>
              <w:spacing w:after="0"/>
              <w:rPr>
                <w:sz w:val="18"/>
                <w:szCs w:val="18"/>
                <w:color w:val="auto"/>
              </w:rPr>
            </w:pPr>
          </w:p>
        </w:tc>
        <w:tc>
          <w:tcPr>
            <w:tcW w:w="88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40" w:type="dxa"/>
            <w:vAlign w:val="bottom"/>
            <w:tcBorders>
              <w:top w:val="single" w:sz="8" w:color="auto"/>
            </w:tcBorders>
            <w:shd w:val="clear" w:color="auto" w:fill="FFC080"/>
          </w:tcPr>
          <w:p>
            <w:pPr>
              <w:spacing w:after="0"/>
              <w:rPr>
                <w:sz w:val="18"/>
                <w:szCs w:val="18"/>
                <w:color w:val="auto"/>
              </w:rPr>
            </w:pPr>
          </w:p>
        </w:tc>
        <w:tc>
          <w:tcPr>
            <w:tcW w:w="900" w:type="dxa"/>
            <w:vAlign w:val="bottom"/>
            <w:tcBorders>
              <w:top w:val="single" w:sz="8" w:color="auto"/>
            </w:tcBorders>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(946)</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FFC080"/>
          </w:tcPr>
          <w:p>
            <w:pPr>
              <w:spacing w:after="0"/>
              <w:rPr>
                <w:sz w:val="18"/>
                <w:szCs w:val="18"/>
                <w:color w:val="auto"/>
              </w:rPr>
            </w:pPr>
          </w:p>
        </w:tc>
        <w:tc>
          <w:tcPr>
            <w:tcW w:w="142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90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900" w:type="dxa"/>
            <w:vAlign w:val="bottom"/>
            <w:shd w:val="clear" w:color="auto" w:fill="FFC080"/>
          </w:tcPr>
          <w:p>
            <w:pPr>
              <w:spacing w:after="0"/>
              <w:rPr>
                <w:sz w:val="18"/>
                <w:szCs w:val="18"/>
                <w:color w:val="auto"/>
              </w:rPr>
            </w:pPr>
          </w:p>
        </w:tc>
        <w:tc>
          <w:tcPr>
            <w:tcW w:w="20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8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9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FFC080"/>
            </w:tcBorders>
            <w:shd w:val="clear" w:color="auto" w:fill="FFC080"/>
          </w:tcPr>
          <w:p>
            <w:pPr>
              <w:spacing w:after="0"/>
              <w:rPr>
                <w:sz w:val="19"/>
                <w:szCs w:val="19"/>
                <w:color w:val="auto"/>
              </w:rPr>
            </w:pPr>
          </w:p>
        </w:tc>
        <w:tc>
          <w:tcPr>
            <w:tcW w:w="1420" w:type="dxa"/>
            <w:vAlign w:val="bottom"/>
            <w:tcBorders>
              <w:bottom w:val="single" w:sz="8" w:color="FFC080"/>
            </w:tcBorders>
            <w:shd w:val="clear" w:color="auto" w:fill="FFC080"/>
          </w:tcPr>
          <w:p>
            <w:pPr>
              <w:spacing w:after="0"/>
              <w:rPr>
                <w:sz w:val="19"/>
                <w:szCs w:val="19"/>
                <w:color w:val="auto"/>
              </w:rPr>
            </w:pPr>
          </w:p>
        </w:tc>
        <w:tc>
          <w:tcPr>
            <w:tcW w:w="260" w:type="dxa"/>
            <w:vAlign w:val="bottom"/>
            <w:tcBorders>
              <w:bottom w:val="single" w:sz="8" w:color="auto"/>
            </w:tcBorders>
            <w:shd w:val="clear" w:color="auto" w:fill="FFC080"/>
          </w:tcPr>
          <w:p>
            <w:pPr>
              <w:spacing w:after="0"/>
              <w:rPr>
                <w:sz w:val="19"/>
                <w:szCs w:val="19"/>
                <w:color w:val="auto"/>
              </w:rPr>
            </w:pPr>
          </w:p>
        </w:tc>
        <w:tc>
          <w:tcPr>
            <w:tcW w:w="900" w:type="dxa"/>
            <w:vAlign w:val="bottom"/>
            <w:tcBorders>
              <w:bottom w:val="single" w:sz="8" w:color="auto"/>
            </w:tcBorders>
            <w:shd w:val="clear" w:color="auto" w:fill="FFC080"/>
          </w:tcPr>
          <w:p>
            <w:pPr>
              <w:spacing w:after="0"/>
              <w:rPr>
                <w:sz w:val="19"/>
                <w:szCs w:val="19"/>
                <w:color w:val="auto"/>
              </w:rPr>
            </w:pPr>
          </w:p>
        </w:tc>
        <w:tc>
          <w:tcPr>
            <w:tcW w:w="140" w:type="dxa"/>
            <w:vAlign w:val="bottom"/>
            <w:tcBorders>
              <w:bottom w:val="single" w:sz="8" w:color="FFC080"/>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240" w:type="dxa"/>
            <w:vAlign w:val="bottom"/>
            <w:tcBorders>
              <w:bottom w:val="single" w:sz="8" w:color="auto"/>
            </w:tcBorders>
            <w:shd w:val="clear" w:color="auto" w:fill="FFC080"/>
          </w:tcPr>
          <w:p>
            <w:pPr>
              <w:spacing w:after="0"/>
              <w:rPr>
                <w:sz w:val="19"/>
                <w:szCs w:val="19"/>
                <w:color w:val="auto"/>
              </w:rPr>
            </w:pPr>
          </w:p>
        </w:tc>
        <w:tc>
          <w:tcPr>
            <w:tcW w:w="900" w:type="dxa"/>
            <w:vAlign w:val="bottom"/>
            <w:tcBorders>
              <w:bottom w:val="single" w:sz="8" w:color="auto"/>
            </w:tcBorders>
            <w:shd w:val="clear" w:color="auto" w:fill="FFC080"/>
          </w:tcPr>
          <w:p>
            <w:pPr>
              <w:spacing w:after="0"/>
              <w:rPr>
                <w:sz w:val="19"/>
                <w:szCs w:val="19"/>
                <w:color w:val="auto"/>
              </w:rPr>
            </w:pPr>
          </w:p>
        </w:tc>
        <w:tc>
          <w:tcPr>
            <w:tcW w:w="200" w:type="dxa"/>
            <w:vAlign w:val="bottom"/>
            <w:tcBorders>
              <w:bottom w:val="single" w:sz="8" w:color="FFC080"/>
            </w:tcBorders>
            <w:shd w:val="clear" w:color="auto" w:fill="FFC080"/>
          </w:tcPr>
          <w:p>
            <w:pPr>
              <w:spacing w:after="0"/>
              <w:rPr>
                <w:sz w:val="19"/>
                <w:szCs w:val="19"/>
                <w:color w:val="auto"/>
              </w:rPr>
            </w:pPr>
          </w:p>
        </w:tc>
        <w:tc>
          <w:tcPr>
            <w:tcW w:w="260" w:type="dxa"/>
            <w:vAlign w:val="bottom"/>
            <w:tcBorders>
              <w:bottom w:val="single" w:sz="8" w:color="auto"/>
            </w:tcBorders>
            <w:shd w:val="clear" w:color="auto" w:fill="FFC080"/>
          </w:tcPr>
          <w:p>
            <w:pPr>
              <w:spacing w:after="0"/>
              <w:rPr>
                <w:sz w:val="19"/>
                <w:szCs w:val="19"/>
                <w:color w:val="auto"/>
              </w:rPr>
            </w:pPr>
          </w:p>
        </w:tc>
        <w:tc>
          <w:tcPr>
            <w:tcW w:w="880" w:type="dxa"/>
            <w:vAlign w:val="bottom"/>
            <w:tcBorders>
              <w:bottom w:val="single" w:sz="8" w:color="auto"/>
            </w:tcBorders>
            <w:shd w:val="clear" w:color="auto" w:fill="FFC080"/>
          </w:tcPr>
          <w:p>
            <w:pPr>
              <w:spacing w:after="0"/>
              <w:rPr>
                <w:sz w:val="19"/>
                <w:szCs w:val="19"/>
                <w:color w:val="auto"/>
              </w:rPr>
            </w:pPr>
          </w:p>
        </w:tc>
        <w:tc>
          <w:tcPr>
            <w:tcW w:w="140" w:type="dxa"/>
            <w:vAlign w:val="bottom"/>
            <w:tcBorders>
              <w:bottom w:val="single" w:sz="8" w:color="FFC080"/>
            </w:tcBorders>
            <w:shd w:val="clear" w:color="auto" w:fill="FFC080"/>
          </w:tcPr>
          <w:p>
            <w:pPr>
              <w:spacing w:after="0"/>
              <w:rPr>
                <w:sz w:val="19"/>
                <w:szCs w:val="19"/>
                <w:color w:val="auto"/>
              </w:rPr>
            </w:pPr>
          </w:p>
        </w:tc>
        <w:tc>
          <w:tcPr>
            <w:tcW w:w="80" w:type="dxa"/>
            <w:vAlign w:val="bottom"/>
            <w:tcBorders>
              <w:bottom w:val="single" w:sz="8" w:color="FFC080"/>
            </w:tcBorders>
            <w:shd w:val="clear" w:color="auto" w:fill="FFC080"/>
          </w:tcPr>
          <w:p>
            <w:pPr>
              <w:spacing w:after="0"/>
              <w:rPr>
                <w:sz w:val="19"/>
                <w:szCs w:val="19"/>
                <w:color w:val="auto"/>
              </w:rPr>
            </w:pPr>
          </w:p>
        </w:tc>
        <w:tc>
          <w:tcPr>
            <w:tcW w:w="240" w:type="dxa"/>
            <w:vAlign w:val="bottom"/>
            <w:tcBorders>
              <w:bottom w:val="single" w:sz="8" w:color="auto"/>
            </w:tcBorders>
            <w:shd w:val="clear" w:color="auto" w:fill="FFC080"/>
          </w:tcPr>
          <w:p>
            <w:pPr>
              <w:spacing w:after="0"/>
              <w:rPr>
                <w:sz w:val="19"/>
                <w:szCs w:val="19"/>
                <w:color w:val="auto"/>
              </w:rPr>
            </w:pPr>
          </w:p>
        </w:tc>
        <w:tc>
          <w:tcPr>
            <w:tcW w:w="900" w:type="dxa"/>
            <w:vAlign w:val="bottom"/>
            <w:tcBorders>
              <w:bottom w:val="single" w:sz="8" w:color="auto"/>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(721)</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FFC080"/>
          </w:tcPr>
          <w:p>
            <w:pPr>
              <w:spacing w:after="0"/>
              <w:rPr>
                <w:sz w:val="20"/>
                <w:szCs w:val="20"/>
                <w:color w:val="auto"/>
              </w:rPr>
            </w:pPr>
            <w:r>
              <w:rPr>
                <w:rFonts w:ascii="Arial" w:cs="Arial" w:eastAsia="Arial" w:hAnsi="Arial"/>
                <w:sz w:val="18"/>
                <w:szCs w:val="18"/>
                <w:color w:val="auto"/>
              </w:rPr>
              <w:t>(Provision for) benefit from income taxes</w:t>
            </w:r>
          </w:p>
        </w:tc>
        <w:tc>
          <w:tcPr>
            <w:tcW w:w="142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04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110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FFC080"/>
          </w:tcPr>
          <w:p>
            <w:pPr>
              <w:spacing w:after="0"/>
              <w:rPr>
                <w:sz w:val="18"/>
                <w:szCs w:val="18"/>
                <w:color w:val="auto"/>
              </w:rPr>
            </w:pPr>
          </w:p>
        </w:tc>
        <w:tc>
          <w:tcPr>
            <w:tcW w:w="102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10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shd w:val="clear" w:color="auto" w:fill="FFC080"/>
          </w:tcPr>
          <w:p>
            <w:pPr>
              <w:spacing w:after="0"/>
              <w:rPr>
                <w:sz w:val="2"/>
                <w:szCs w:val="2"/>
                <w:color w:val="auto"/>
              </w:rPr>
            </w:pPr>
          </w:p>
        </w:tc>
        <w:tc>
          <w:tcPr>
            <w:tcW w:w="1420" w:type="dxa"/>
            <w:vAlign w:val="bottom"/>
            <w:shd w:val="clear" w:color="auto" w:fill="FFC08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FC08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income (loss)</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570</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FFC080"/>
          </w:tcPr>
          <w:p>
            <w:pPr>
              <w:spacing w:after="0"/>
              <w:rPr>
                <w:sz w:val="18"/>
                <w:szCs w:val="18"/>
                <w:color w:val="auto"/>
              </w:rPr>
            </w:pPr>
          </w:p>
        </w:tc>
        <w:tc>
          <w:tcPr>
            <w:tcW w:w="142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90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900" w:type="dxa"/>
            <w:vAlign w:val="bottom"/>
            <w:shd w:val="clear" w:color="auto" w:fill="FFC080"/>
          </w:tcPr>
          <w:p>
            <w:pPr>
              <w:spacing w:after="0"/>
              <w:rPr>
                <w:sz w:val="18"/>
                <w:szCs w:val="18"/>
                <w:color w:val="auto"/>
              </w:rPr>
            </w:pPr>
          </w:p>
        </w:tc>
        <w:tc>
          <w:tcPr>
            <w:tcW w:w="20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8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9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FFC080"/>
          </w:tcPr>
          <w:p>
            <w:pPr>
              <w:spacing w:after="0"/>
              <w:rPr>
                <w:sz w:val="20"/>
                <w:szCs w:val="20"/>
                <w:color w:val="auto"/>
              </w:rPr>
            </w:pPr>
            <w:r>
              <w:rPr>
                <w:rFonts w:ascii="Arial" w:cs="Arial" w:eastAsia="Arial" w:hAnsi="Arial"/>
                <w:sz w:val="18"/>
                <w:szCs w:val="18"/>
                <w:color w:val="auto"/>
              </w:rPr>
              <w:t>Diluted earnings (loss) per common share</w:t>
            </w:r>
          </w:p>
        </w:tc>
        <w:tc>
          <w:tcPr>
            <w:tcW w:w="1680" w:type="dxa"/>
            <w:vAlign w:val="bottom"/>
            <w:gridSpan w:val="2"/>
            <w:shd w:val="clear" w:color="auto" w:fill="FFC080"/>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FFC080"/>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FFC080"/>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FFC080"/>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FFC080"/>
          </w:tcPr>
          <w:p>
            <w:pPr>
              <w:spacing w:after="0"/>
              <w:rPr>
                <w:sz w:val="20"/>
                <w:szCs w:val="20"/>
                <w:color w:val="auto"/>
              </w:rPr>
            </w:pPr>
            <w:r>
              <w:rPr>
                <w:rFonts w:ascii="Arial" w:cs="Arial" w:eastAsia="Arial" w:hAnsi="Arial"/>
                <w:sz w:val="18"/>
                <w:szCs w:val="18"/>
                <w:color w:val="auto"/>
              </w:rPr>
              <w:t>Basic weighted average shares outstanding</w:t>
            </w:r>
          </w:p>
        </w:tc>
        <w:tc>
          <w:tcPr>
            <w:tcW w:w="142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04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8,929,281</w:t>
            </w:r>
          </w:p>
        </w:tc>
        <w:tc>
          <w:tcPr>
            <w:tcW w:w="10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9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8,928,546</w:t>
            </w:r>
          </w:p>
        </w:tc>
        <w:tc>
          <w:tcPr>
            <w:tcW w:w="20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0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8,929,277</w:t>
            </w:r>
          </w:p>
        </w:tc>
        <w:tc>
          <w:tcPr>
            <w:tcW w:w="8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10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8,921,313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9,045,866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9,047,260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9,045,718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9,039,863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62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400" w:type="dxa"/>
            <w:vAlign w:val="bottom"/>
          </w:tcPr>
          <w:p>
            <w:pPr>
              <w:jc w:val="center"/>
              <w:ind w:left="1490"/>
              <w:spacing w:after="0"/>
              <w:rPr>
                <w:sz w:val="20"/>
                <w:szCs w:val="20"/>
                <w:color w:val="auto"/>
              </w:rPr>
            </w:pPr>
            <w:r>
              <w:rPr>
                <w:rFonts w:ascii="Arial" w:cs="Arial" w:eastAsia="Arial" w:hAnsi="Arial"/>
                <w:sz w:val="18"/>
                <w:szCs w:val="18"/>
                <w:b w:val="1"/>
                <w:bCs w:val="1"/>
                <w:color w:val="auto"/>
              </w:rPr>
              <w:t>CLEARONE COMMUNICATIONS, INC. AND SUBSIDIARIES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(Unaudited – Dollars in thousands)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June 30,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spacing w:after="0"/>
              <w:rPr>
                <w:sz w:val="20"/>
                <w:szCs w:val="20"/>
                <w:color w:val="auto"/>
              </w:rPr>
            </w:pPr>
            <w:r>
              <w:rPr>
                <w:rFonts w:ascii="Arial" w:cs="Arial" w:eastAsia="Arial" w:hAnsi="Arial"/>
                <w:sz w:val="18"/>
                <w:szCs w:val="18"/>
                <w:color w:val="auto"/>
              </w:rPr>
              <w:t>Net income (loss)</w:t>
            </w:r>
          </w:p>
        </w:tc>
        <w:tc>
          <w:tcPr>
            <w:tcW w:w="520" w:type="dxa"/>
            <w:vAlign w:val="bottom"/>
            <w:gridSpan w:val="2"/>
            <w:shd w:val="clear" w:color="auto" w:fill="FFC080"/>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570</w:t>
            </w:r>
          </w:p>
        </w:tc>
        <w:tc>
          <w:tcPr>
            <w:tcW w:w="700" w:type="dxa"/>
            <w:vAlign w:val="bottom"/>
            <w:gridSpan w:val="2"/>
            <w:shd w:val="clear" w:color="auto" w:fill="FFC080"/>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(loss) to net cash provided by operations: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585</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Write-off of inventory</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Loss on disposal of assets and fixed asset write-offs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Provision for doubtful accounts</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88</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(1,946)</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Note receivable</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2,148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410</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506</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w w:val="98"/>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Deferred product revenue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Other assets/liabilities, net</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shd w:val="clear" w:color="auto" w:fill="FFC080"/>
          </w:tcPr>
          <w:p>
            <w:pPr>
              <w:spacing w:after="0"/>
              <w:rPr>
                <w:sz w:val="2"/>
                <w:szCs w:val="2"/>
                <w:color w:val="auto"/>
              </w:rPr>
            </w:pPr>
          </w:p>
        </w:tc>
        <w:tc>
          <w:tcPr>
            <w:tcW w:w="7400" w:type="dxa"/>
            <w:vAlign w:val="bottom"/>
            <w:shd w:val="clear" w:color="auto" w:fill="FFC080"/>
          </w:tcPr>
          <w:p>
            <w:pPr>
              <w:spacing w:after="0"/>
              <w:rPr>
                <w:sz w:val="2"/>
                <w:szCs w:val="2"/>
                <w:color w:val="auto"/>
              </w:rPr>
            </w:pPr>
          </w:p>
        </w:tc>
        <w:tc>
          <w:tcPr>
            <w:tcW w:w="200" w:type="dxa"/>
            <w:vAlign w:val="bottom"/>
            <w:shd w:val="clear" w:color="auto" w:fill="FFC08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3,604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FFC080"/>
          </w:tcPr>
          <w:p>
            <w:pPr>
              <w:spacing w:after="0"/>
              <w:rPr>
                <w:sz w:val="18"/>
                <w:szCs w:val="18"/>
                <w:color w:val="auto"/>
              </w:rPr>
            </w:pPr>
          </w:p>
        </w:tc>
        <w:tc>
          <w:tcPr>
            <w:tcW w:w="7400" w:type="dxa"/>
            <w:vAlign w:val="bottom"/>
            <w:shd w:val="clear" w:color="auto" w:fill="FFC080"/>
          </w:tcPr>
          <w:p>
            <w:pPr>
              <w:spacing w:after="0"/>
              <w:rPr>
                <w:sz w:val="18"/>
                <w:szCs w:val="18"/>
                <w:color w:val="auto"/>
              </w:rPr>
            </w:pPr>
          </w:p>
        </w:tc>
        <w:tc>
          <w:tcPr>
            <w:tcW w:w="200" w:type="dxa"/>
            <w:vAlign w:val="bottom"/>
            <w:shd w:val="clear" w:color="auto" w:fill="FFC080"/>
          </w:tcPr>
          <w:p>
            <w:pPr>
              <w:spacing w:after="0"/>
              <w:rPr>
                <w:sz w:val="18"/>
                <w:szCs w:val="18"/>
                <w:color w:val="auto"/>
              </w:rPr>
            </w:pPr>
          </w:p>
        </w:tc>
        <w:tc>
          <w:tcPr>
            <w:tcW w:w="320" w:type="dxa"/>
            <w:vAlign w:val="bottom"/>
            <w:tcBorders>
              <w:top w:val="single" w:sz="8" w:color="auto"/>
            </w:tcBorders>
            <w:shd w:val="clear" w:color="auto" w:fill="FFC080"/>
          </w:tcPr>
          <w:p>
            <w:pPr>
              <w:spacing w:after="0"/>
              <w:rPr>
                <w:sz w:val="18"/>
                <w:szCs w:val="18"/>
                <w:color w:val="auto"/>
              </w:rPr>
            </w:pPr>
          </w:p>
        </w:tc>
        <w:tc>
          <w:tcPr>
            <w:tcW w:w="82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620" w:type="dxa"/>
            <w:vAlign w:val="bottom"/>
            <w:tcBorders>
              <w:top w:val="single" w:sz="8" w:color="auto"/>
            </w:tcBorders>
            <w:shd w:val="clear" w:color="auto" w:fill="FFC080"/>
          </w:tcPr>
          <w:p>
            <w:pPr>
              <w:spacing w:after="0"/>
              <w:rPr>
                <w:sz w:val="18"/>
                <w:szCs w:val="18"/>
                <w:color w:val="auto"/>
              </w:rPr>
            </w:pPr>
          </w:p>
        </w:tc>
        <w:tc>
          <w:tcPr>
            <w:tcW w:w="520" w:type="dxa"/>
            <w:vAlign w:val="bottom"/>
            <w:tcBorders>
              <w:top w:val="single" w:sz="8" w:color="auto"/>
            </w:tcBorders>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Escrow proceeds received pursuant to NetStreams acquisition</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Purchase of marketable securities</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w w:val="98"/>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Sale of marketable securities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00" w:type="dxa"/>
            <w:vAlign w:val="bottom"/>
            <w:gridSpan w:val="2"/>
            <w:shd w:val="clear" w:color="auto" w:fill="FFC080"/>
          </w:tcPr>
          <w:p>
            <w:pPr>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shd w:val="clear" w:color="auto" w:fill="FFC080"/>
          </w:tcPr>
          <w:p>
            <w:pPr>
              <w:spacing w:after="0"/>
              <w:rPr>
                <w:sz w:val="19"/>
                <w:szCs w:val="19"/>
                <w:color w:val="auto"/>
              </w:rPr>
            </w:pPr>
          </w:p>
        </w:tc>
        <w:tc>
          <w:tcPr>
            <w:tcW w:w="320" w:type="dxa"/>
            <w:vAlign w:val="bottom"/>
            <w:shd w:val="clear" w:color="auto" w:fill="FFC080"/>
          </w:tcPr>
          <w:p>
            <w:pPr>
              <w:spacing w:after="0"/>
              <w:rPr>
                <w:sz w:val="19"/>
                <w:szCs w:val="19"/>
                <w:color w:val="auto"/>
              </w:rPr>
            </w:pPr>
          </w:p>
        </w:tc>
        <w:tc>
          <w:tcPr>
            <w:tcW w:w="96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FFC080"/>
          </w:tcPr>
          <w:p>
            <w:pPr>
              <w:spacing w:after="0"/>
              <w:rPr>
                <w:sz w:val="19"/>
                <w:szCs w:val="19"/>
                <w:color w:val="auto"/>
              </w:rPr>
            </w:pPr>
          </w:p>
        </w:tc>
        <w:tc>
          <w:tcPr>
            <w:tcW w:w="620" w:type="dxa"/>
            <w:vAlign w:val="bottom"/>
            <w:shd w:val="clear" w:color="auto" w:fill="FFC080"/>
          </w:tcPr>
          <w:p>
            <w:pPr>
              <w:spacing w:after="0"/>
              <w:rPr>
                <w:sz w:val="19"/>
                <w:szCs w:val="19"/>
                <w:color w:val="auto"/>
              </w:rPr>
            </w:pPr>
          </w:p>
        </w:tc>
        <w:tc>
          <w:tcPr>
            <w:tcW w:w="6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Borders>
              <w:top w:val="single" w:sz="8" w:color="FFC080"/>
            </w:tcBorders>
          </w:tcPr>
          <w:p>
            <w:pPr>
              <w:spacing w:after="0"/>
              <w:rPr>
                <w:sz w:val="18"/>
                <w:szCs w:val="18"/>
                <w:color w:val="auto"/>
              </w:rPr>
            </w:pPr>
          </w:p>
        </w:tc>
        <w:tc>
          <w:tcPr>
            <w:tcW w:w="7400" w:type="dxa"/>
            <w:vAlign w:val="bottom"/>
            <w:tcBorders>
              <w:top w:val="single" w:sz="8" w:color="FFC080"/>
            </w:tcBorders>
          </w:tcPr>
          <w:p>
            <w:pPr>
              <w:spacing w:after="0"/>
              <w:rPr>
                <w:sz w:val="18"/>
                <w:szCs w:val="18"/>
                <w:color w:val="auto"/>
              </w:rPr>
            </w:pPr>
          </w:p>
        </w:tc>
        <w:tc>
          <w:tcPr>
            <w:tcW w:w="200" w:type="dxa"/>
            <w:vAlign w:val="bottom"/>
            <w:tcBorders>
              <w:top w:val="single" w:sz="8" w:color="FFC080"/>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80" w:type="dxa"/>
            <w:vAlign w:val="bottom"/>
            <w:tcBorders>
              <w:top w:val="single" w:sz="8" w:color="FFC080"/>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FFC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FFC080"/>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8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5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Proceeds from the issuance of common stock - options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Principal payments on long-term debt</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Tax benefit from stock options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00" w:type="dxa"/>
            <w:vAlign w:val="bottom"/>
            <w:gridSpan w:val="2"/>
            <w:shd w:val="clear" w:color="auto" w:fill="FFC080"/>
          </w:tcPr>
          <w:p>
            <w:pPr>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FFC080"/>
          </w:tcPr>
          <w:p>
            <w:pPr>
              <w:spacing w:after="0"/>
              <w:rPr>
                <w:sz w:val="19"/>
                <w:szCs w:val="19"/>
                <w:color w:val="auto"/>
              </w:rPr>
            </w:pPr>
          </w:p>
        </w:tc>
        <w:tc>
          <w:tcPr>
            <w:tcW w:w="320" w:type="dxa"/>
            <w:vAlign w:val="bottom"/>
            <w:shd w:val="clear" w:color="auto" w:fill="FFC080"/>
          </w:tcPr>
          <w:p>
            <w:pPr>
              <w:spacing w:after="0"/>
              <w:rPr>
                <w:sz w:val="19"/>
                <w:szCs w:val="19"/>
                <w:color w:val="auto"/>
              </w:rPr>
            </w:pPr>
          </w:p>
        </w:tc>
        <w:tc>
          <w:tcPr>
            <w:tcW w:w="96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FFC080"/>
          </w:tcPr>
          <w:p>
            <w:pPr>
              <w:spacing w:after="0"/>
              <w:rPr>
                <w:sz w:val="19"/>
                <w:szCs w:val="19"/>
                <w:color w:val="auto"/>
              </w:rPr>
            </w:pPr>
          </w:p>
        </w:tc>
        <w:tc>
          <w:tcPr>
            <w:tcW w:w="620" w:type="dxa"/>
            <w:vAlign w:val="bottom"/>
            <w:shd w:val="clear" w:color="auto" w:fill="FFC080"/>
          </w:tcPr>
          <w:p>
            <w:pPr>
              <w:spacing w:after="0"/>
              <w:rPr>
                <w:sz w:val="19"/>
                <w:szCs w:val="19"/>
                <w:color w:val="auto"/>
              </w:rPr>
            </w:pPr>
          </w:p>
        </w:tc>
        <w:tc>
          <w:tcPr>
            <w:tcW w:w="6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Borders>
              <w:top w:val="single" w:sz="8" w:color="FFC080"/>
            </w:tcBorders>
          </w:tcPr>
          <w:p>
            <w:pPr>
              <w:spacing w:after="0"/>
              <w:rPr>
                <w:sz w:val="18"/>
                <w:szCs w:val="18"/>
                <w:color w:val="auto"/>
              </w:rPr>
            </w:pPr>
          </w:p>
        </w:tc>
        <w:tc>
          <w:tcPr>
            <w:tcW w:w="7400" w:type="dxa"/>
            <w:vAlign w:val="bottom"/>
            <w:tcBorders>
              <w:top w:val="single" w:sz="8" w:color="FFC080"/>
            </w:tcBorders>
          </w:tcPr>
          <w:p>
            <w:pPr>
              <w:spacing w:after="0"/>
              <w:rPr>
                <w:sz w:val="18"/>
                <w:szCs w:val="18"/>
                <w:color w:val="auto"/>
              </w:rPr>
            </w:pPr>
          </w:p>
        </w:tc>
        <w:tc>
          <w:tcPr>
            <w:tcW w:w="200" w:type="dxa"/>
            <w:vAlign w:val="bottom"/>
            <w:tcBorders>
              <w:top w:val="single" w:sz="8" w:color="FFC080"/>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80" w:type="dxa"/>
            <w:vAlign w:val="bottom"/>
            <w:tcBorders>
              <w:top w:val="single" w:sz="8" w:color="FFC080"/>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FFC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FFC080"/>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9,494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00" w:type="dxa"/>
            <w:vAlign w:val="bottom"/>
            <w:gridSpan w:val="2"/>
            <w:shd w:val="clear" w:color="auto" w:fill="FFC080"/>
          </w:tcPr>
          <w:p>
            <w:pPr>
              <w:spacing w:after="0"/>
              <w:rPr>
                <w:sz w:val="20"/>
                <w:szCs w:val="20"/>
                <w:color w:val="auto"/>
              </w:rPr>
            </w:pPr>
            <w:r>
              <w:rPr>
                <w:rFonts w:ascii="Arial" w:cs="Arial" w:eastAsia="Arial" w:hAnsi="Arial"/>
                <w:sz w:val="18"/>
                <w:szCs w:val="18"/>
                <w:color w:val="auto"/>
              </w:rPr>
              <w:t>Cash and cash equivalents at the end of the period</w:t>
            </w:r>
          </w:p>
        </w:tc>
        <w:tc>
          <w:tcPr>
            <w:tcW w:w="520" w:type="dxa"/>
            <w:vAlign w:val="bottom"/>
            <w:gridSpan w:val="2"/>
            <w:shd w:val="clear" w:color="auto" w:fill="FFC080"/>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10,906</w:t>
            </w:r>
          </w:p>
        </w:tc>
        <w:tc>
          <w:tcPr>
            <w:tcW w:w="700" w:type="dxa"/>
            <w:vAlign w:val="bottom"/>
            <w:gridSpan w:val="2"/>
            <w:shd w:val="clear" w:color="auto" w:fill="FFC080"/>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9,801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00" w:type="dxa"/>
            <w:vAlign w:val="bottom"/>
            <w:tcBorders>
              <w:top w:val="single" w:sz="8" w:color="FFC080"/>
            </w:tcBorders>
          </w:tcPr>
          <w:p>
            <w:pPr>
              <w:spacing w:after="0"/>
              <w:rPr>
                <w:sz w:val="18"/>
                <w:szCs w:val="18"/>
                <w:color w:val="auto"/>
              </w:rPr>
            </w:pPr>
          </w:p>
        </w:tc>
        <w:tc>
          <w:tcPr>
            <w:tcW w:w="7400" w:type="dxa"/>
            <w:vAlign w:val="bottom"/>
            <w:tcBorders>
              <w:top w:val="single" w:sz="8" w:color="FFC080"/>
            </w:tcBorders>
          </w:tcPr>
          <w:p>
            <w:pPr>
              <w:spacing w:after="0"/>
              <w:rPr>
                <w:sz w:val="18"/>
                <w:szCs w:val="18"/>
                <w:color w:val="auto"/>
              </w:rPr>
            </w:pPr>
          </w:p>
        </w:tc>
        <w:tc>
          <w:tcPr>
            <w:tcW w:w="200" w:type="dxa"/>
            <w:vAlign w:val="bottom"/>
            <w:tcBorders>
              <w:top w:val="single" w:sz="8" w:color="FFC080"/>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80" w:type="dxa"/>
            <w:vAlign w:val="bottom"/>
            <w:tcBorders>
              <w:top w:val="single" w:sz="8" w:color="FFC080"/>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FFC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FFC080"/>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8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5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Cash paid for interest</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Cash paid for income taxes</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FFC080"/>
          </w:tcPr>
          <w:p>
            <w:pPr>
              <w:spacing w:after="0"/>
              <w:rPr>
                <w:sz w:val="20"/>
                <w:szCs w:val="20"/>
                <w:color w:val="auto"/>
              </w:rPr>
            </w:pPr>
            <w:r>
              <w:rPr>
                <w:rFonts w:ascii="Arial" w:cs="Arial" w:eastAsia="Arial" w:hAnsi="Arial"/>
                <w:sz w:val="18"/>
                <w:szCs w:val="18"/>
                <w:color w:val="auto"/>
              </w:rPr>
              <w:t>Supplemental disclosure of non-cash activities:</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8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5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Exchanged deposits from a vendor with accounts payable to the same vendor</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FFC080"/>
          </w:tcPr>
          <w:p>
            <w:pPr>
              <w:ind w:left="320"/>
              <w:spacing w:after="0"/>
              <w:rPr>
                <w:sz w:val="20"/>
                <w:szCs w:val="20"/>
                <w:color w:val="auto"/>
              </w:rPr>
            </w:pPr>
            <w:r>
              <w:rPr>
                <w:rFonts w:ascii="Arial" w:cs="Arial" w:eastAsia="Arial" w:hAnsi="Arial"/>
                <w:sz w:val="18"/>
                <w:szCs w:val="18"/>
                <w:color w:val="auto"/>
              </w:rPr>
              <w:t>Unrealized loss on marketable securities, net of tax of $0 and $19</w:t>
            </w:r>
          </w:p>
        </w:tc>
        <w:tc>
          <w:tcPr>
            <w:tcW w:w="20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FC080"/>
          </w:tcPr>
          <w:p>
            <w:pPr>
              <w:spacing w:after="0"/>
              <w:rPr>
                <w:sz w:val="18"/>
                <w:szCs w:val="18"/>
                <w:color w:val="auto"/>
              </w:rPr>
            </w:pPr>
          </w:p>
        </w:tc>
        <w:tc>
          <w:tcPr>
            <w:tcW w:w="620" w:type="dxa"/>
            <w:vAlign w:val="bottom"/>
            <w:shd w:val="clear" w:color="auto" w:fill="FFC080"/>
          </w:tcPr>
          <w:p>
            <w:pPr>
              <w:spacing w:after="0"/>
              <w:rPr>
                <w:sz w:val="18"/>
                <w:szCs w:val="18"/>
                <w:color w:val="auto"/>
              </w:rPr>
            </w:pPr>
          </w:p>
        </w:tc>
        <w:tc>
          <w:tcPr>
            <w:tcW w:w="6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Current liabilities reclassed to deferred rent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CONDENSED CONSOLIDATED FINANCIAL STATEMENTS (Unaudited – Dollars in thousands)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fiscal year for ClearOne Communications, Inc. and its subsidiaries (collectively, “ClearOne” or the “Company”) is the 12 months ending on December</w:t>
      </w:r>
    </w:p>
    <w:p>
      <w:pPr>
        <w:spacing w:after="0" w:line="42"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3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accompanying interim consolidated financial statements for the three month and six month periods ended June 30, 2010 and 2009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June 30, 2010, the results of operations for the three and six months ended Ju ne 30, 2010 and 2009, and the condensed statements of cash flows for the six months ended June 30, 2010 and 2009. The results of operations for the three and six months ended June 30, 2010 and 2009 are not necessarily indicative of the results for a full-year period. These interim consolidated financial statements should be read in conjunction with the financial statements included in our Annual Report on Form 10-K for the year ended June 30, 2009 and transition report on Form 10-KT for six months ended December 31, 2009 filed with the SEC.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 Goodwill and Intangibles</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November 2009, the Company acquired NetStreams, Inc. and recorded an allocation of the associated purchase price. 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goodwill retroactive to the period in which the acquisition occurred.</w:t>
      </w: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three months ended March 31, 2010, the Company revised the amount of goodwill recorded on the acquisition of NetStreams, Inc. by $57 retrospectively to the acquisition date as of November 3, 2009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shd w:val="clear" w:color="auto" w:fill="FFC080"/>
          </w:tcPr>
          <w:p>
            <w:pPr>
              <w:spacing w:after="0"/>
              <w:rPr>
                <w:sz w:val="20"/>
                <w:szCs w:val="20"/>
                <w:color w:val="auto"/>
              </w:rPr>
            </w:pPr>
            <w:r>
              <w:rPr>
                <w:rFonts w:ascii="Arial" w:cs="Arial" w:eastAsia="Arial" w:hAnsi="Arial"/>
                <w:sz w:val="18"/>
                <w:szCs w:val="18"/>
                <w:color w:val="auto"/>
              </w:rPr>
              <w:t>Decrease in receivables</w:t>
            </w:r>
          </w:p>
        </w:tc>
        <w:tc>
          <w:tcPr>
            <w:tcW w:w="480" w:type="dxa"/>
            <w:vAlign w:val="bottom"/>
            <w:shd w:val="clear" w:color="auto" w:fill="FFC080"/>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FFC080"/>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Decrease in deferred income taxes - current</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23"/>
        </w:trPr>
        <w:tc>
          <w:tcPr>
            <w:tcW w:w="10180" w:type="dxa"/>
            <w:vAlign w:val="bottom"/>
            <w:shd w:val="clear" w:color="auto" w:fill="FFC080"/>
          </w:tcPr>
          <w:p>
            <w:pPr>
              <w:spacing w:after="0"/>
              <w:rPr>
                <w:sz w:val="20"/>
                <w:szCs w:val="20"/>
                <w:color w:val="auto"/>
              </w:rPr>
            </w:pPr>
            <w:r>
              <w:rPr>
                <w:rFonts w:ascii="Arial" w:cs="Arial" w:eastAsia="Arial" w:hAnsi="Arial"/>
                <w:sz w:val="18"/>
                <w:szCs w:val="18"/>
                <w:color w:val="auto"/>
              </w:rPr>
              <w:t>Increase in deferred income taxes - non current</w:t>
            </w:r>
          </w:p>
        </w:tc>
        <w:tc>
          <w:tcPr>
            <w:tcW w:w="480" w:type="dxa"/>
            <w:vAlign w:val="bottom"/>
            <w:shd w:val="clear" w:color="auto" w:fill="FFC080"/>
          </w:tcPr>
          <w:p>
            <w:pPr>
              <w:spacing w:after="0"/>
              <w:rPr>
                <w:sz w:val="19"/>
                <w:szCs w:val="19"/>
                <w:color w:val="auto"/>
              </w:rPr>
            </w:pPr>
          </w:p>
        </w:tc>
        <w:tc>
          <w:tcPr>
            <w:tcW w:w="76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10180" w:type="dxa"/>
            <w:vAlign w:val="bottom"/>
            <w:tcBorders>
              <w:top w:val="single" w:sz="8" w:color="FFC080"/>
            </w:tcBorders>
          </w:tcPr>
          <w:p>
            <w:pPr>
              <w:ind w:left="500"/>
              <w:spacing w:after="0"/>
              <w:rPr>
                <w:sz w:val="20"/>
                <w:szCs w:val="20"/>
                <w:color w:val="auto"/>
              </w:rPr>
            </w:pPr>
            <w:r>
              <w:rPr>
                <w:rFonts w:ascii="Arial" w:cs="Arial" w:eastAsia="Arial" w:hAnsi="Arial"/>
                <w:sz w:val="18"/>
                <w:szCs w:val="18"/>
                <w:color w:val="auto"/>
              </w:rPr>
              <w:t>Increase in goodwill</w:t>
            </w: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FFC080"/>
            </w:tcBorders>
          </w:tcPr>
          <w:p>
            <w:pPr>
              <w:spacing w:after="0"/>
              <w:rPr>
                <w:sz w:val="18"/>
                <w:szCs w:val="18"/>
                <w:color w:val="auto"/>
              </w:rPr>
            </w:pPr>
          </w:p>
        </w:tc>
      </w:tr>
      <w:tr>
        <w:trPr>
          <w:trHeight w:val="21"/>
        </w:trPr>
        <w:tc>
          <w:tcPr>
            <w:tcW w:w="10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consolidated balance sheets as of June 30, 2010 and December 31, 2009 reflect this adjustment. The adjustment was necessary to account for facts related to receivables acquired which became known to us during the three months ended March 31, 2010. No adjustment was made to goodwill during the three months ended June 30, 2010. None of the amounts included in the goodwill are deductible for tax purposes.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March 31, 2010, we received $350 from the sellers of NetStreams, Inc. out of the initial escrow deposit as a result of the final working capital adjustment prescribed in the acquisition agreement.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Intangibles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useful lives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FC080"/>
          </w:tcPr>
          <w:p>
            <w:pPr>
              <w:spacing w:after="0"/>
              <w:rPr>
                <w:sz w:val="20"/>
                <w:szCs w:val="20"/>
                <w:color w:val="auto"/>
              </w:rPr>
            </w:pPr>
            <w:r>
              <w:rPr>
                <w:rFonts w:ascii="Arial" w:cs="Arial" w:eastAsia="Arial" w:hAnsi="Arial"/>
                <w:sz w:val="18"/>
                <w:szCs w:val="18"/>
                <w:color w:val="auto"/>
              </w:rPr>
              <w:t>Tradename</w:t>
            </w:r>
          </w:p>
        </w:tc>
        <w:tc>
          <w:tcPr>
            <w:tcW w:w="128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435</w:t>
            </w:r>
          </w:p>
        </w:tc>
        <w:tc>
          <w:tcPr>
            <w:tcW w:w="480" w:type="dxa"/>
            <w:vAlign w:val="bottom"/>
            <w:shd w:val="clear" w:color="auto" w:fill="FFC080"/>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41</w:t>
            </w:r>
          </w:p>
        </w:tc>
        <w:tc>
          <w:tcPr>
            <w:tcW w:w="520" w:type="dxa"/>
            <w:vAlign w:val="bottom"/>
            <w:gridSpan w:val="2"/>
            <w:shd w:val="clear" w:color="auto" w:fill="FFC080"/>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2,070</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FC080"/>
          </w:tcPr>
          <w:p>
            <w:pPr>
              <w:spacing w:after="0"/>
              <w:rPr>
                <w:sz w:val="20"/>
                <w:szCs w:val="20"/>
                <w:color w:val="auto"/>
              </w:rPr>
            </w:pPr>
            <w:r>
              <w:rPr>
                <w:rFonts w:ascii="Arial" w:cs="Arial" w:eastAsia="Arial" w:hAnsi="Arial"/>
                <w:sz w:val="18"/>
                <w:szCs w:val="18"/>
                <w:color w:val="auto"/>
              </w:rPr>
              <w:t>Proprietary software</w:t>
            </w:r>
          </w:p>
        </w:tc>
        <w:tc>
          <w:tcPr>
            <w:tcW w:w="128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18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215</w:t>
            </w:r>
          </w:p>
        </w:tc>
        <w:tc>
          <w:tcPr>
            <w:tcW w:w="480" w:type="dxa"/>
            <w:vAlign w:val="bottom"/>
            <w:shd w:val="clear" w:color="auto" w:fill="FFC080"/>
          </w:tcPr>
          <w:p>
            <w:pPr>
              <w:spacing w:after="0"/>
              <w:rPr>
                <w:sz w:val="18"/>
                <w:szCs w:val="18"/>
                <w:color w:val="auto"/>
              </w:rPr>
            </w:pPr>
          </w:p>
        </w:tc>
        <w:tc>
          <w:tcPr>
            <w:tcW w:w="7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FFC080"/>
          </w:tcPr>
          <w:p>
            <w:pPr>
              <w:spacing w:after="0"/>
              <w:rPr>
                <w:sz w:val="18"/>
                <w:szCs w:val="18"/>
                <w:color w:val="auto"/>
              </w:rPr>
            </w:pPr>
          </w:p>
        </w:tc>
        <w:tc>
          <w:tcPr>
            <w:tcW w:w="400" w:type="dxa"/>
            <w:vAlign w:val="bottom"/>
            <w:shd w:val="clear" w:color="auto" w:fill="FFC080"/>
          </w:tcPr>
          <w:p>
            <w:pPr>
              <w:spacing w:after="0"/>
              <w:rPr>
                <w:sz w:val="18"/>
                <w:szCs w:val="18"/>
                <w:color w:val="auto"/>
              </w:rPr>
            </w:pPr>
          </w:p>
        </w:tc>
        <w:tc>
          <w:tcPr>
            <w:tcW w:w="8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FC080"/>
          </w:tcPr>
          <w:p>
            <w:pPr>
              <w:spacing w:after="0"/>
              <w:rPr>
                <w:sz w:val="18"/>
                <w:szCs w:val="18"/>
                <w:color w:val="auto"/>
              </w:rPr>
            </w:pPr>
          </w:p>
        </w:tc>
        <w:tc>
          <w:tcPr>
            <w:tcW w:w="116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9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2,769</w:t>
            </w:r>
          </w:p>
        </w:tc>
        <w:tc>
          <w:tcPr>
            <w:tcW w:w="200" w:type="dxa"/>
            <w:vAlign w:val="bottom"/>
            <w:shd w:val="clear" w:color="auto" w:fill="FFC080"/>
          </w:tcPr>
          <w:p>
            <w:pPr>
              <w:spacing w:after="0"/>
              <w:rPr>
                <w:sz w:val="18"/>
                <w:szCs w:val="18"/>
                <w:color w:val="auto"/>
              </w:rPr>
            </w:pPr>
          </w:p>
        </w:tc>
        <w:tc>
          <w:tcPr>
            <w:tcW w:w="480" w:type="dxa"/>
            <w:vAlign w:val="bottom"/>
            <w:shd w:val="clear" w:color="auto" w:fill="FFC080"/>
          </w:tcPr>
          <w:p>
            <w:pPr>
              <w:spacing w:after="0"/>
              <w:rPr>
                <w:sz w:val="18"/>
                <w:szCs w:val="18"/>
                <w:color w:val="auto"/>
              </w:rPr>
            </w:pPr>
          </w:p>
        </w:tc>
        <w:tc>
          <w:tcPr>
            <w:tcW w:w="7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FFC080"/>
          </w:tcPr>
          <w:p>
            <w:pPr>
              <w:spacing w:after="0"/>
              <w:rPr>
                <w:sz w:val="18"/>
                <w:szCs w:val="18"/>
                <w:color w:val="auto"/>
              </w:rPr>
            </w:pPr>
          </w:p>
        </w:tc>
        <w:tc>
          <w:tcPr>
            <w:tcW w:w="400" w:type="dxa"/>
            <w:vAlign w:val="bottom"/>
            <w:shd w:val="clear" w:color="auto" w:fill="FFC080"/>
          </w:tcPr>
          <w:p>
            <w:pPr>
              <w:spacing w:after="0"/>
              <w:rPr>
                <w:sz w:val="18"/>
                <w:szCs w:val="18"/>
                <w:color w:val="auto"/>
              </w:rPr>
            </w:pPr>
          </w:p>
        </w:tc>
        <w:tc>
          <w:tcPr>
            <w:tcW w:w="8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Indefinite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FFC080"/>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FFC080"/>
          </w:tcPr>
          <w:p>
            <w:pPr>
              <w:spacing w:after="0"/>
              <w:rPr>
                <w:sz w:val="20"/>
                <w:szCs w:val="20"/>
                <w:color w:val="auto"/>
              </w:rPr>
            </w:pPr>
          </w:p>
        </w:tc>
        <w:tc>
          <w:tcPr>
            <w:tcW w:w="120" w:type="dxa"/>
            <w:vAlign w:val="bottom"/>
            <w:shd w:val="clear" w:color="auto" w:fill="FFC080"/>
          </w:tcPr>
          <w:p>
            <w:pPr>
              <w:spacing w:after="0"/>
              <w:rPr>
                <w:sz w:val="20"/>
                <w:szCs w:val="20"/>
                <w:color w:val="auto"/>
              </w:rPr>
            </w:pPr>
          </w:p>
        </w:tc>
        <w:tc>
          <w:tcPr>
            <w:tcW w:w="2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3,169</w:t>
            </w:r>
          </w:p>
        </w:tc>
        <w:tc>
          <w:tcPr>
            <w:tcW w:w="480" w:type="dxa"/>
            <w:vAlign w:val="bottom"/>
            <w:shd w:val="clear" w:color="auto" w:fill="FFC080"/>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249</w:t>
            </w:r>
          </w:p>
        </w:tc>
        <w:tc>
          <w:tcPr>
            <w:tcW w:w="520" w:type="dxa"/>
            <w:vAlign w:val="bottom"/>
            <w:gridSpan w:val="2"/>
            <w:shd w:val="clear" w:color="auto" w:fill="FFC080"/>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FFC080"/>
            </w:tcBorders>
            <w:shd w:val="clear" w:color="auto" w:fill="FFC080"/>
          </w:tcPr>
          <w:p>
            <w:pPr>
              <w:spacing w:after="0" w:line="20" w:lineRule="exact"/>
              <w:rPr>
                <w:sz w:val="1"/>
                <w:szCs w:val="1"/>
                <w:color w:val="auto"/>
              </w:rPr>
            </w:pPr>
          </w:p>
        </w:tc>
        <w:tc>
          <w:tcPr>
            <w:tcW w:w="116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FC080"/>
            </w:tcBorders>
            <w:shd w:val="clear" w:color="auto" w:fill="FFC08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amortization during the six and three months ended June 30, 2010 and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8"/>
              </w:rPr>
              <w:t>Three months ended</w:t>
            </w:r>
          </w:p>
        </w:tc>
        <w:tc>
          <w:tcPr>
            <w:tcW w:w="2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June 30, 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FFC080"/>
          </w:tcPr>
          <w:p>
            <w:pPr>
              <w:spacing w:after="0"/>
              <w:rPr>
                <w:sz w:val="20"/>
                <w:szCs w:val="20"/>
                <w:color w:val="auto"/>
              </w:rPr>
            </w:pPr>
            <w:r>
              <w:rPr>
                <w:rFonts w:ascii="Arial" w:cs="Arial" w:eastAsia="Arial" w:hAnsi="Arial"/>
                <w:sz w:val="18"/>
                <w:szCs w:val="18"/>
                <w:color w:val="auto"/>
              </w:rPr>
              <w:t>Amortization of intangibles with finite lives</w:t>
            </w:r>
          </w:p>
        </w:tc>
        <w:tc>
          <w:tcPr>
            <w:tcW w:w="1340" w:type="dxa"/>
            <w:vAlign w:val="bottom"/>
            <w:gridSpan w:val="2"/>
            <w:shd w:val="clear" w:color="auto" w:fill="FFC080"/>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88</w:t>
            </w:r>
          </w:p>
        </w:tc>
        <w:tc>
          <w:tcPr>
            <w:tcW w:w="1000" w:type="dxa"/>
            <w:vAlign w:val="bottom"/>
            <w:gridSpan w:val="2"/>
            <w:shd w:val="clear" w:color="auto" w:fill="FFC080"/>
          </w:tcPr>
          <w:p>
            <w:pPr>
              <w:jc w:val="right"/>
              <w:ind w:right="7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FFC080"/>
          </w:tcPr>
          <w:p>
            <w:pPr>
              <w:jc w:val="right"/>
              <w:ind w:right="51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FFC080"/>
          </w:tcPr>
          <w:p>
            <w:pPr>
              <w:jc w:val="right"/>
              <w:ind w:right="100"/>
              <w:spacing w:after="0"/>
              <w:rPr>
                <w:sz w:val="20"/>
                <w:szCs w:val="20"/>
                <w:color w:val="auto"/>
              </w:rPr>
            </w:pPr>
            <w:r>
              <w:rPr>
                <w:rFonts w:ascii="Arial" w:cs="Arial" w:eastAsia="Arial" w:hAnsi="Arial"/>
                <w:sz w:val="18"/>
                <w:szCs w:val="18"/>
                <w:color w:val="auto"/>
              </w:rPr>
              <w:t>175</w:t>
            </w:r>
          </w:p>
        </w:tc>
        <w:tc>
          <w:tcPr>
            <w:tcW w:w="760" w:type="dxa"/>
            <w:vAlign w:val="bottom"/>
            <w:gridSpan w:val="2"/>
            <w:shd w:val="clear" w:color="auto" w:fill="FFC080"/>
          </w:tcPr>
          <w:p>
            <w:pPr>
              <w:jc w:val="right"/>
              <w:ind w:right="4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3. Inventories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20" w:type="dxa"/>
            <w:vAlign w:val="bottom"/>
            <w:gridSpan w:val="2"/>
          </w:tcPr>
          <w:p>
            <w:pPr>
              <w:spacing w:after="0"/>
              <w:rPr>
                <w:sz w:val="20"/>
                <w:szCs w:val="20"/>
                <w:color w:val="auto"/>
              </w:rPr>
            </w:pPr>
            <w:r>
              <w:rPr>
                <w:rFonts w:ascii="Arial" w:cs="Arial" w:eastAsia="Arial" w:hAnsi="Arial"/>
                <w:sz w:val="18"/>
                <w:szCs w:val="18"/>
                <w:color w:val="auto"/>
              </w:rPr>
              <w:t>Inventories, net of reserves, consisted of the following:</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7"/>
              </w:rPr>
              <w:t>As of</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8"/>
              </w:rPr>
              <w:t>As of</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June 30, 2010</w:t>
            </w:r>
          </w:p>
        </w:tc>
        <w:tc>
          <w:tcPr>
            <w:tcW w:w="220" w:type="dxa"/>
            <w:vAlign w:val="bottom"/>
          </w:tcPr>
          <w:p>
            <w:pPr>
              <w:spacing w:after="0"/>
              <w:rPr>
                <w:sz w:val="20"/>
                <w:szCs w:val="20"/>
                <w:color w:val="auto"/>
              </w:rPr>
            </w:pPr>
          </w:p>
        </w:tc>
        <w:tc>
          <w:tcPr>
            <w:tcW w:w="16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December 31, 2009</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FFC080"/>
          </w:tcPr>
          <w:p>
            <w:pPr>
              <w:ind w:left="480"/>
              <w:spacing w:after="0"/>
              <w:rPr>
                <w:sz w:val="20"/>
                <w:szCs w:val="20"/>
                <w:color w:val="auto"/>
              </w:rPr>
            </w:pPr>
            <w:r>
              <w:rPr>
                <w:rFonts w:ascii="Arial" w:cs="Arial" w:eastAsia="Arial" w:hAnsi="Arial"/>
                <w:sz w:val="18"/>
                <w:szCs w:val="18"/>
                <w:color w:val="auto"/>
              </w:rPr>
              <w:t>Raw materials</w:t>
            </w:r>
          </w:p>
        </w:tc>
        <w:tc>
          <w:tcPr>
            <w:tcW w:w="1060" w:type="dxa"/>
            <w:vAlign w:val="bottom"/>
            <w:shd w:val="clear" w:color="auto" w:fill="FFC080"/>
          </w:tcPr>
          <w:p>
            <w:pPr>
              <w:spacing w:after="0"/>
              <w:rPr>
                <w:sz w:val="18"/>
                <w:szCs w:val="18"/>
                <w:color w:val="auto"/>
              </w:rPr>
            </w:pPr>
          </w:p>
        </w:tc>
        <w:tc>
          <w:tcPr>
            <w:tcW w:w="280" w:type="dxa"/>
            <w:vAlign w:val="bottom"/>
            <w:shd w:val="clear" w:color="auto" w:fill="FFC080"/>
          </w:tcPr>
          <w:p>
            <w:pPr>
              <w:spacing w:after="0"/>
              <w:rPr>
                <w:sz w:val="18"/>
                <w:szCs w:val="18"/>
                <w:color w:val="auto"/>
              </w:rPr>
            </w:pPr>
          </w:p>
        </w:tc>
        <w:tc>
          <w:tcPr>
            <w:tcW w:w="8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880" w:type="dxa"/>
            <w:vAlign w:val="bottom"/>
            <w:shd w:val="clear" w:color="auto" w:fill="FFC080"/>
          </w:tcPr>
          <w:p>
            <w:pPr>
              <w:spacing w:after="0"/>
              <w:rPr>
                <w:sz w:val="18"/>
                <w:szCs w:val="18"/>
                <w:color w:val="auto"/>
              </w:rPr>
            </w:pPr>
          </w:p>
        </w:tc>
        <w:tc>
          <w:tcPr>
            <w:tcW w:w="260" w:type="dxa"/>
            <w:vAlign w:val="bottom"/>
            <w:shd w:val="clear" w:color="auto" w:fill="FFC080"/>
          </w:tcPr>
          <w:p>
            <w:pPr>
              <w:jc w:val="right"/>
              <w:ind w:right="10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FFC080"/>
          </w:tcPr>
          <w:p>
            <w:pPr>
              <w:spacing w:after="0"/>
              <w:rPr>
                <w:sz w:val="18"/>
                <w:szCs w:val="18"/>
                <w:color w:val="auto"/>
              </w:rPr>
            </w:pPr>
          </w:p>
        </w:tc>
        <w:tc>
          <w:tcPr>
            <w:tcW w:w="84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265</w:t>
            </w:r>
          </w:p>
        </w:tc>
        <w:tc>
          <w:tcPr>
            <w:tcW w:w="440" w:type="dxa"/>
            <w:vAlign w:val="bottom"/>
            <w:gridSpan w:val="2"/>
            <w:shd w:val="clear" w:color="auto" w:fill="FFC080"/>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640" w:type="dxa"/>
            <w:vAlign w:val="bottom"/>
            <w:shd w:val="clear" w:color="auto" w:fill="FFC080"/>
          </w:tcPr>
          <w:p>
            <w:pPr>
              <w:spacing w:after="0"/>
              <w:rPr>
                <w:sz w:val="18"/>
                <w:szCs w:val="18"/>
                <w:color w:val="auto"/>
              </w:rPr>
            </w:pPr>
          </w:p>
        </w:tc>
        <w:tc>
          <w:tcPr>
            <w:tcW w:w="6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5,911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shd w:val="clear" w:color="auto" w:fill="FFC080"/>
          </w:tcPr>
          <w:p>
            <w:pPr>
              <w:spacing w:after="0"/>
              <w:rPr>
                <w:sz w:val="22"/>
                <w:szCs w:val="22"/>
                <w:color w:val="auto"/>
              </w:rPr>
            </w:pPr>
          </w:p>
        </w:tc>
        <w:tc>
          <w:tcPr>
            <w:tcW w:w="1060" w:type="dxa"/>
            <w:vAlign w:val="bottom"/>
            <w:shd w:val="clear" w:color="auto" w:fill="FFC080"/>
          </w:tcPr>
          <w:p>
            <w:pPr>
              <w:spacing w:after="0"/>
              <w:rPr>
                <w:sz w:val="22"/>
                <w:szCs w:val="22"/>
                <w:color w:val="auto"/>
              </w:rPr>
            </w:pPr>
          </w:p>
        </w:tc>
        <w:tc>
          <w:tcPr>
            <w:tcW w:w="280" w:type="dxa"/>
            <w:vAlign w:val="bottom"/>
            <w:shd w:val="clear" w:color="auto" w:fill="FFC080"/>
          </w:tcPr>
          <w:p>
            <w:pPr>
              <w:spacing w:after="0"/>
              <w:rPr>
                <w:sz w:val="22"/>
                <w:szCs w:val="22"/>
                <w:color w:val="auto"/>
              </w:rPr>
            </w:pPr>
          </w:p>
        </w:tc>
        <w:tc>
          <w:tcPr>
            <w:tcW w:w="880" w:type="dxa"/>
            <w:vAlign w:val="bottom"/>
            <w:shd w:val="clear" w:color="auto" w:fill="FFC080"/>
          </w:tcPr>
          <w:p>
            <w:pPr>
              <w:spacing w:after="0"/>
              <w:rPr>
                <w:sz w:val="22"/>
                <w:szCs w:val="22"/>
                <w:color w:val="auto"/>
              </w:rPr>
            </w:pPr>
          </w:p>
        </w:tc>
        <w:tc>
          <w:tcPr>
            <w:tcW w:w="120" w:type="dxa"/>
            <w:vAlign w:val="bottom"/>
            <w:shd w:val="clear" w:color="auto" w:fill="FFC080"/>
          </w:tcPr>
          <w:p>
            <w:pPr>
              <w:spacing w:after="0"/>
              <w:rPr>
                <w:sz w:val="22"/>
                <w:szCs w:val="22"/>
                <w:color w:val="auto"/>
              </w:rPr>
            </w:pPr>
          </w:p>
        </w:tc>
        <w:tc>
          <w:tcPr>
            <w:tcW w:w="120" w:type="dxa"/>
            <w:vAlign w:val="bottom"/>
            <w:shd w:val="clear" w:color="auto" w:fill="FFC080"/>
          </w:tcPr>
          <w:p>
            <w:pPr>
              <w:spacing w:after="0"/>
              <w:rPr>
                <w:sz w:val="22"/>
                <w:szCs w:val="22"/>
                <w:color w:val="auto"/>
              </w:rPr>
            </w:pPr>
          </w:p>
        </w:tc>
        <w:tc>
          <w:tcPr>
            <w:tcW w:w="880" w:type="dxa"/>
            <w:vAlign w:val="bottom"/>
            <w:shd w:val="clear" w:color="auto" w:fill="FFC080"/>
          </w:tcPr>
          <w:p>
            <w:pPr>
              <w:spacing w:after="0"/>
              <w:rPr>
                <w:sz w:val="22"/>
                <w:szCs w:val="22"/>
                <w:color w:val="auto"/>
              </w:rPr>
            </w:pPr>
          </w:p>
        </w:tc>
        <w:tc>
          <w:tcPr>
            <w:tcW w:w="260" w:type="dxa"/>
            <w:vAlign w:val="bottom"/>
            <w:shd w:val="clear" w:color="auto" w:fill="FFC080"/>
          </w:tcPr>
          <w:p>
            <w:pPr>
              <w:jc w:val="right"/>
              <w:ind w:right="10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FFC080"/>
          </w:tcPr>
          <w:p>
            <w:pPr>
              <w:spacing w:after="0"/>
              <w:rPr>
                <w:sz w:val="22"/>
                <w:szCs w:val="22"/>
                <w:color w:val="auto"/>
              </w:rPr>
            </w:pPr>
          </w:p>
        </w:tc>
        <w:tc>
          <w:tcPr>
            <w:tcW w:w="84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6,176</w:t>
            </w:r>
          </w:p>
        </w:tc>
        <w:tc>
          <w:tcPr>
            <w:tcW w:w="440" w:type="dxa"/>
            <w:vAlign w:val="bottom"/>
            <w:gridSpan w:val="2"/>
            <w:shd w:val="clear" w:color="auto" w:fill="FFC080"/>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FFC080"/>
          </w:tcPr>
          <w:p>
            <w:pPr>
              <w:spacing w:after="0"/>
              <w:rPr>
                <w:sz w:val="22"/>
                <w:szCs w:val="22"/>
                <w:color w:val="auto"/>
              </w:rPr>
            </w:pPr>
          </w:p>
        </w:tc>
        <w:tc>
          <w:tcPr>
            <w:tcW w:w="120" w:type="dxa"/>
            <w:vAlign w:val="bottom"/>
            <w:shd w:val="clear" w:color="auto" w:fill="FFC080"/>
          </w:tcPr>
          <w:p>
            <w:pPr>
              <w:spacing w:after="0"/>
              <w:rPr>
                <w:sz w:val="22"/>
                <w:szCs w:val="22"/>
                <w:color w:val="auto"/>
              </w:rPr>
            </w:pPr>
          </w:p>
        </w:tc>
        <w:tc>
          <w:tcPr>
            <w:tcW w:w="640" w:type="dxa"/>
            <w:vAlign w:val="bottom"/>
            <w:shd w:val="clear" w:color="auto" w:fill="FFC080"/>
          </w:tcPr>
          <w:p>
            <w:pPr>
              <w:spacing w:after="0"/>
              <w:rPr>
                <w:sz w:val="22"/>
                <w:szCs w:val="22"/>
                <w:color w:val="auto"/>
              </w:rPr>
            </w:pPr>
          </w:p>
        </w:tc>
        <w:tc>
          <w:tcPr>
            <w:tcW w:w="6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Borders>
              <w:top w:val="single" w:sz="8" w:color="FFC080"/>
            </w:tcBorders>
          </w:tcPr>
          <w:p>
            <w:pPr>
              <w:spacing w:after="0"/>
              <w:rPr>
                <w:sz w:val="18"/>
                <w:szCs w:val="18"/>
                <w:color w:val="auto"/>
              </w:rPr>
            </w:pPr>
          </w:p>
        </w:tc>
        <w:tc>
          <w:tcPr>
            <w:tcW w:w="1060" w:type="dxa"/>
            <w:vAlign w:val="bottom"/>
            <w:tcBorders>
              <w:top w:val="single" w:sz="8" w:color="FFC080"/>
            </w:tcBorders>
          </w:tcPr>
          <w:p>
            <w:pPr>
              <w:spacing w:after="0"/>
              <w:rPr>
                <w:sz w:val="18"/>
                <w:szCs w:val="18"/>
                <w:color w:val="auto"/>
              </w:rPr>
            </w:pPr>
          </w:p>
        </w:tc>
        <w:tc>
          <w:tcPr>
            <w:tcW w:w="280" w:type="dxa"/>
            <w:vAlign w:val="bottom"/>
            <w:tcBorders>
              <w:top w:val="single" w:sz="8" w:color="FFC080"/>
            </w:tcBorders>
          </w:tcPr>
          <w:p>
            <w:pPr>
              <w:spacing w:after="0"/>
              <w:rPr>
                <w:sz w:val="18"/>
                <w:szCs w:val="18"/>
                <w:color w:val="auto"/>
              </w:rPr>
            </w:pPr>
          </w:p>
        </w:tc>
        <w:tc>
          <w:tcPr>
            <w:tcW w:w="880" w:type="dxa"/>
            <w:vAlign w:val="bottom"/>
            <w:tcBorders>
              <w:top w:val="single" w:sz="8" w:color="FFC080"/>
            </w:tcBorders>
          </w:tcPr>
          <w:p>
            <w:pPr>
              <w:spacing w:after="0"/>
              <w:rPr>
                <w:sz w:val="18"/>
                <w:szCs w:val="18"/>
                <w:color w:val="auto"/>
              </w:rPr>
            </w:pPr>
          </w:p>
        </w:tc>
        <w:tc>
          <w:tcPr>
            <w:tcW w:w="120" w:type="dxa"/>
            <w:vAlign w:val="bottom"/>
            <w:tcBorders>
              <w:top w:val="single" w:sz="8" w:color="FFC080"/>
            </w:tcBorders>
          </w:tcPr>
          <w:p>
            <w:pPr>
              <w:spacing w:after="0"/>
              <w:rPr>
                <w:sz w:val="18"/>
                <w:szCs w:val="18"/>
                <w:color w:val="auto"/>
              </w:rPr>
            </w:pPr>
          </w:p>
        </w:tc>
        <w:tc>
          <w:tcPr>
            <w:tcW w:w="120" w:type="dxa"/>
            <w:vAlign w:val="bottom"/>
            <w:tcBorders>
              <w:top w:val="single" w:sz="8" w:color="FFC080"/>
            </w:tcBorders>
          </w:tcPr>
          <w:p>
            <w:pPr>
              <w:spacing w:after="0"/>
              <w:rPr>
                <w:sz w:val="18"/>
                <w:szCs w:val="18"/>
                <w:color w:val="auto"/>
              </w:rPr>
            </w:pPr>
          </w:p>
        </w:tc>
        <w:tc>
          <w:tcPr>
            <w:tcW w:w="880" w:type="dxa"/>
            <w:vAlign w:val="bottom"/>
            <w:tcBorders>
              <w:top w:val="single" w:sz="8" w:color="FFC080"/>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FFC080"/>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FFC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FFC080"/>
          </w:tcPr>
          <w:p>
            <w:pPr>
              <w:spacing w:after="0"/>
              <w:rPr>
                <w:sz w:val="20"/>
                <w:szCs w:val="20"/>
                <w:color w:val="auto"/>
              </w:rPr>
            </w:pPr>
            <w:r>
              <w:rPr>
                <w:rFonts w:ascii="Arial" w:cs="Arial" w:eastAsia="Arial" w:hAnsi="Arial"/>
                <w:sz w:val="18"/>
                <w:szCs w:val="18"/>
                <w:color w:val="auto"/>
              </w:rPr>
              <w:t>Long-term:</w:t>
            </w:r>
          </w:p>
        </w:tc>
        <w:tc>
          <w:tcPr>
            <w:tcW w:w="1060" w:type="dxa"/>
            <w:vAlign w:val="bottom"/>
            <w:shd w:val="clear" w:color="auto" w:fill="FFC080"/>
          </w:tcPr>
          <w:p>
            <w:pPr>
              <w:spacing w:after="0"/>
              <w:rPr>
                <w:sz w:val="18"/>
                <w:szCs w:val="18"/>
                <w:color w:val="auto"/>
              </w:rPr>
            </w:pPr>
          </w:p>
        </w:tc>
        <w:tc>
          <w:tcPr>
            <w:tcW w:w="280" w:type="dxa"/>
            <w:vAlign w:val="bottom"/>
            <w:shd w:val="clear" w:color="auto" w:fill="FFC080"/>
          </w:tcPr>
          <w:p>
            <w:pPr>
              <w:spacing w:after="0"/>
              <w:rPr>
                <w:sz w:val="18"/>
                <w:szCs w:val="18"/>
                <w:color w:val="auto"/>
              </w:rPr>
            </w:pPr>
          </w:p>
        </w:tc>
        <w:tc>
          <w:tcPr>
            <w:tcW w:w="8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88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6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70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640" w:type="dxa"/>
            <w:vAlign w:val="bottom"/>
            <w:shd w:val="clear" w:color="auto" w:fill="FFC080"/>
          </w:tcPr>
          <w:p>
            <w:pPr>
              <w:spacing w:after="0"/>
              <w:rPr>
                <w:sz w:val="18"/>
                <w:szCs w:val="18"/>
                <w:color w:val="auto"/>
              </w:rPr>
            </w:pPr>
          </w:p>
        </w:tc>
        <w:tc>
          <w:tcPr>
            <w:tcW w:w="5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Raw materials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705</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FFC080"/>
            </w:tcBorders>
            <w:shd w:val="clear" w:color="auto" w:fill="FFC080"/>
          </w:tcPr>
          <w:p>
            <w:pPr>
              <w:ind w:left="480"/>
              <w:spacing w:after="0"/>
              <w:rPr>
                <w:sz w:val="20"/>
                <w:szCs w:val="20"/>
                <w:color w:val="auto"/>
              </w:rPr>
            </w:pPr>
            <w:r>
              <w:rPr>
                <w:rFonts w:ascii="Arial" w:cs="Arial" w:eastAsia="Arial" w:hAnsi="Arial"/>
                <w:sz w:val="18"/>
                <w:szCs w:val="18"/>
                <w:color w:val="auto"/>
              </w:rPr>
              <w:t>Finished goods</w:t>
            </w:r>
          </w:p>
        </w:tc>
        <w:tc>
          <w:tcPr>
            <w:tcW w:w="1060" w:type="dxa"/>
            <w:vAlign w:val="bottom"/>
            <w:tcBorders>
              <w:bottom w:val="single" w:sz="8" w:color="FFC080"/>
            </w:tcBorders>
            <w:shd w:val="clear" w:color="auto" w:fill="FFC080"/>
          </w:tcPr>
          <w:p>
            <w:pPr>
              <w:spacing w:after="0"/>
              <w:rPr>
                <w:sz w:val="19"/>
                <w:szCs w:val="19"/>
                <w:color w:val="auto"/>
              </w:rPr>
            </w:pPr>
          </w:p>
        </w:tc>
        <w:tc>
          <w:tcPr>
            <w:tcW w:w="280" w:type="dxa"/>
            <w:vAlign w:val="bottom"/>
            <w:tcBorders>
              <w:bottom w:val="single" w:sz="8" w:color="FFC080"/>
            </w:tcBorders>
            <w:shd w:val="clear" w:color="auto" w:fill="FFC080"/>
          </w:tcPr>
          <w:p>
            <w:pPr>
              <w:spacing w:after="0"/>
              <w:rPr>
                <w:sz w:val="19"/>
                <w:szCs w:val="19"/>
                <w:color w:val="auto"/>
              </w:rPr>
            </w:pPr>
          </w:p>
        </w:tc>
        <w:tc>
          <w:tcPr>
            <w:tcW w:w="88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FFC080"/>
            </w:tcBorders>
            <w:shd w:val="clear" w:color="auto" w:fill="FFC080"/>
          </w:tcPr>
          <w:p>
            <w:pPr>
              <w:spacing w:after="0"/>
              <w:rPr>
                <w:sz w:val="19"/>
                <w:szCs w:val="19"/>
                <w:color w:val="auto"/>
              </w:rPr>
            </w:pPr>
          </w:p>
        </w:tc>
        <w:tc>
          <w:tcPr>
            <w:tcW w:w="880" w:type="dxa"/>
            <w:vAlign w:val="bottom"/>
            <w:tcBorders>
              <w:bottom w:val="single" w:sz="8" w:color="FFC080"/>
            </w:tcBorders>
            <w:shd w:val="clear" w:color="auto" w:fill="FFC080"/>
          </w:tcPr>
          <w:p>
            <w:pPr>
              <w:spacing w:after="0"/>
              <w:rPr>
                <w:sz w:val="19"/>
                <w:szCs w:val="19"/>
                <w:color w:val="auto"/>
              </w:rPr>
            </w:pPr>
          </w:p>
        </w:tc>
        <w:tc>
          <w:tcPr>
            <w:tcW w:w="260" w:type="dxa"/>
            <w:vAlign w:val="bottom"/>
            <w:tcBorders>
              <w:bottom w:val="single" w:sz="8" w:color="auto"/>
            </w:tcBorders>
            <w:shd w:val="clear" w:color="auto" w:fill="FFC080"/>
          </w:tcPr>
          <w:p>
            <w:pPr>
              <w:spacing w:after="0"/>
              <w:rPr>
                <w:sz w:val="19"/>
                <w:szCs w:val="19"/>
                <w:color w:val="auto"/>
              </w:rPr>
            </w:pPr>
          </w:p>
        </w:tc>
        <w:tc>
          <w:tcPr>
            <w:tcW w:w="60" w:type="dxa"/>
            <w:vAlign w:val="bottom"/>
            <w:tcBorders>
              <w:bottom w:val="single" w:sz="8" w:color="auto"/>
            </w:tcBorders>
            <w:shd w:val="clear" w:color="auto" w:fill="FFC080"/>
          </w:tcPr>
          <w:p>
            <w:pPr>
              <w:spacing w:after="0"/>
              <w:rPr>
                <w:sz w:val="19"/>
                <w:szCs w:val="19"/>
                <w:color w:val="auto"/>
              </w:rPr>
            </w:pPr>
          </w:p>
        </w:tc>
        <w:tc>
          <w:tcPr>
            <w:tcW w:w="840" w:type="dxa"/>
            <w:vAlign w:val="bottom"/>
            <w:tcBorders>
              <w:bottom w:val="single" w:sz="8" w:color="auto"/>
            </w:tcBorders>
            <w:gridSpan w:val="2"/>
            <w:shd w:val="clear" w:color="auto" w:fill="FFC080"/>
          </w:tcPr>
          <w:p>
            <w:pPr>
              <w:jc w:val="right"/>
              <w:spacing w:after="0"/>
              <w:rPr>
                <w:sz w:val="20"/>
                <w:szCs w:val="20"/>
                <w:color w:val="auto"/>
              </w:rPr>
            </w:pPr>
            <w:r>
              <w:rPr>
                <w:rFonts w:ascii="Arial" w:cs="Arial" w:eastAsia="Arial" w:hAnsi="Arial"/>
                <w:sz w:val="18"/>
                <w:szCs w:val="18"/>
                <w:color w:val="auto"/>
              </w:rPr>
              <w:t>3,473</w:t>
            </w:r>
          </w:p>
        </w:tc>
        <w:tc>
          <w:tcPr>
            <w:tcW w:w="220" w:type="dxa"/>
            <w:vAlign w:val="bottom"/>
            <w:tcBorders>
              <w:bottom w:val="single" w:sz="8" w:color="FFC080"/>
            </w:tcBorders>
            <w:shd w:val="clear" w:color="auto" w:fill="FFC080"/>
          </w:tcPr>
          <w:p>
            <w:pPr>
              <w:spacing w:after="0"/>
              <w:rPr>
                <w:sz w:val="19"/>
                <w:szCs w:val="19"/>
                <w:color w:val="auto"/>
              </w:rPr>
            </w:pPr>
          </w:p>
        </w:tc>
        <w:tc>
          <w:tcPr>
            <w:tcW w:w="220" w:type="dxa"/>
            <w:vAlign w:val="bottom"/>
            <w:tcBorders>
              <w:bottom w:val="single" w:sz="8" w:color="auto"/>
            </w:tcBorders>
            <w:shd w:val="clear" w:color="auto" w:fill="FFC080"/>
          </w:tcPr>
          <w:p>
            <w:pPr>
              <w:spacing w:after="0"/>
              <w:rPr>
                <w:sz w:val="19"/>
                <w:szCs w:val="19"/>
                <w:color w:val="auto"/>
              </w:rPr>
            </w:pPr>
          </w:p>
        </w:tc>
        <w:tc>
          <w:tcPr>
            <w:tcW w:w="100" w:type="dxa"/>
            <w:vAlign w:val="bottom"/>
            <w:tcBorders>
              <w:bottom w:val="single" w:sz="8" w:color="auto"/>
            </w:tcBorders>
            <w:shd w:val="clear" w:color="auto" w:fill="FFC080"/>
          </w:tcPr>
          <w:p>
            <w:pPr>
              <w:spacing w:after="0"/>
              <w:rPr>
                <w:sz w:val="19"/>
                <w:szCs w:val="19"/>
                <w:color w:val="auto"/>
              </w:rPr>
            </w:pPr>
          </w:p>
        </w:tc>
        <w:tc>
          <w:tcPr>
            <w:tcW w:w="120" w:type="dxa"/>
            <w:vAlign w:val="bottom"/>
            <w:tcBorders>
              <w:bottom w:val="single" w:sz="8" w:color="auto"/>
            </w:tcBorders>
            <w:shd w:val="clear" w:color="auto" w:fill="FFC080"/>
          </w:tcPr>
          <w:p>
            <w:pPr>
              <w:spacing w:after="0"/>
              <w:rPr>
                <w:sz w:val="19"/>
                <w:szCs w:val="19"/>
                <w:color w:val="auto"/>
              </w:rPr>
            </w:pPr>
          </w:p>
        </w:tc>
        <w:tc>
          <w:tcPr>
            <w:tcW w:w="640" w:type="dxa"/>
            <w:vAlign w:val="bottom"/>
            <w:tcBorders>
              <w:bottom w:val="single" w:sz="8" w:color="auto"/>
            </w:tcBorders>
            <w:shd w:val="clear" w:color="auto" w:fill="FFC080"/>
          </w:tcPr>
          <w:p>
            <w:pPr>
              <w:spacing w:after="0"/>
              <w:rPr>
                <w:sz w:val="19"/>
                <w:szCs w:val="19"/>
                <w:color w:val="auto"/>
              </w:rPr>
            </w:pPr>
          </w:p>
        </w:tc>
        <w:tc>
          <w:tcPr>
            <w:tcW w:w="5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4,178</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Long-term inventory represents inventory held in excess of our current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208"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$2,035 and $1,846 as of June 30, 2010 and December 31, 2009, respectively. Consigned inventory represents inventory at distributors and other customers where revenue recognition criteria have not been achieved.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and six months ended June 30, 2010 and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8"/>
              </w:rPr>
              <w:t>Three months ended</w:t>
            </w: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June 30, 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FFC080"/>
          </w:tcPr>
          <w:p>
            <w:pPr>
              <w:spacing w:after="0"/>
              <w:rPr>
                <w:sz w:val="20"/>
                <w:szCs w:val="20"/>
                <w:color w:val="auto"/>
              </w:rPr>
            </w:pPr>
            <w:r>
              <w:rPr>
                <w:rFonts w:ascii="Arial" w:cs="Arial" w:eastAsia="Arial" w:hAnsi="Arial"/>
                <w:sz w:val="18"/>
                <w:szCs w:val="18"/>
                <w:color w:val="auto"/>
                <w:w w:val="95"/>
              </w:rPr>
              <w:t>Losses incurred on valuation of inventory and write-off of obsolete inventory</w:t>
            </w:r>
          </w:p>
        </w:tc>
        <w:tc>
          <w:tcPr>
            <w:tcW w:w="540" w:type="dxa"/>
            <w:vAlign w:val="bottom"/>
            <w:gridSpan w:val="2"/>
            <w:shd w:val="clear" w:color="auto" w:fill="FFC080"/>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60</w:t>
            </w:r>
          </w:p>
        </w:tc>
        <w:tc>
          <w:tcPr>
            <w:tcW w:w="800" w:type="dxa"/>
            <w:vAlign w:val="bottom"/>
            <w:gridSpan w:val="2"/>
            <w:shd w:val="clear" w:color="auto" w:fill="FFC080"/>
          </w:tcPr>
          <w:p>
            <w:pPr>
              <w:jc w:val="right"/>
              <w:ind w:right="5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w w:val="97"/>
              </w:rPr>
              <w:t>1,234</w:t>
            </w:r>
          </w:p>
        </w:tc>
        <w:tc>
          <w:tcPr>
            <w:tcW w:w="340" w:type="dxa"/>
            <w:vAlign w:val="bottom"/>
            <w:shd w:val="clear" w:color="auto" w:fill="FFC080"/>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145</w:t>
            </w:r>
          </w:p>
        </w:tc>
        <w:tc>
          <w:tcPr>
            <w:tcW w:w="760" w:type="dxa"/>
            <w:vAlign w:val="bottom"/>
            <w:gridSpan w:val="2"/>
            <w:shd w:val="clear" w:color="auto" w:fill="FFC080"/>
          </w:tcPr>
          <w:p>
            <w:pPr>
              <w:jc w:val="right"/>
              <w:ind w:right="4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1,919</w:t>
            </w:r>
          </w:p>
        </w:tc>
      </w:tr>
      <w:tr>
        <w:trPr>
          <w:trHeight w:val="702"/>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4. Share-based Compensation</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820" w:type="dxa"/>
            <w:vAlign w:val="bottom"/>
            <w:gridSpan w:val="2"/>
          </w:tcPr>
          <w:p>
            <w:pPr>
              <w:spacing w:after="0"/>
              <w:rPr>
                <w:sz w:val="20"/>
                <w:szCs w:val="20"/>
                <w:color w:val="auto"/>
              </w:rPr>
            </w:pPr>
            <w:r>
              <w:rPr>
                <w:rFonts w:ascii="Arial" w:cs="Arial" w:eastAsia="Arial" w:hAnsi="Arial"/>
                <w:sz w:val="18"/>
                <w:szCs w:val="18"/>
                <w:color w:val="auto"/>
              </w:rPr>
              <w:t>Share-based compensation expense has been allocated as follows: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8"/>
              </w:rPr>
              <w:t>Three months ended</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June 30, 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FFC080"/>
          </w:tcPr>
          <w:p>
            <w:pPr>
              <w:spacing w:after="0"/>
              <w:rPr>
                <w:sz w:val="20"/>
                <w:szCs w:val="20"/>
                <w:color w:val="auto"/>
              </w:rPr>
            </w:pPr>
            <w:r>
              <w:rPr>
                <w:rFonts w:ascii="Arial" w:cs="Arial" w:eastAsia="Arial" w:hAnsi="Arial"/>
                <w:sz w:val="18"/>
                <w:szCs w:val="18"/>
                <w:color w:val="auto"/>
              </w:rPr>
              <w:t>Cost of goods sold</w:t>
            </w:r>
          </w:p>
        </w:tc>
        <w:tc>
          <w:tcPr>
            <w:tcW w:w="540" w:type="dxa"/>
            <w:vAlign w:val="bottom"/>
            <w:gridSpan w:val="2"/>
            <w:shd w:val="clear" w:color="auto" w:fill="FFC080"/>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FFC080"/>
          </w:tcPr>
          <w:p>
            <w:pPr>
              <w:jc w:val="right"/>
              <w:ind w:right="510"/>
              <w:spacing w:after="0"/>
              <w:rPr>
                <w:sz w:val="20"/>
                <w:szCs w:val="20"/>
                <w:color w:val="auto"/>
              </w:rPr>
            </w:pPr>
            <w:r>
              <w:rPr>
                <w:rFonts w:ascii="Arial" w:cs="Arial" w:eastAsia="Arial" w:hAnsi="Arial"/>
                <w:sz w:val="18"/>
                <w:szCs w:val="18"/>
                <w:color w:val="auto"/>
              </w:rPr>
              <w:t>$</w:t>
            </w:r>
          </w:p>
        </w:tc>
        <w:tc>
          <w:tcPr>
            <w:tcW w:w="4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FC080"/>
          </w:tcPr>
          <w:p>
            <w:pPr>
              <w:spacing w:after="0"/>
              <w:rPr>
                <w:sz w:val="18"/>
                <w:szCs w:val="18"/>
                <w:color w:val="auto"/>
              </w:rPr>
            </w:pPr>
          </w:p>
        </w:tc>
        <w:tc>
          <w:tcPr>
            <w:tcW w:w="340" w:type="dxa"/>
            <w:vAlign w:val="bottom"/>
            <w:shd w:val="clear" w:color="auto" w:fill="FFC080"/>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FC080"/>
          </w:tcPr>
          <w:p>
            <w:pPr>
              <w:jc w:val="right"/>
              <w:ind w:right="4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5800" w:type="dxa"/>
            <w:vAlign w:val="bottom"/>
            <w:shd w:val="clear" w:color="auto" w:fill="FFC080"/>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FFC080"/>
          </w:tcPr>
          <w:p>
            <w:pPr>
              <w:spacing w:after="0"/>
              <w:rPr>
                <w:sz w:val="18"/>
                <w:szCs w:val="18"/>
                <w:color w:val="auto"/>
              </w:rPr>
            </w:pPr>
          </w:p>
        </w:tc>
        <w:tc>
          <w:tcPr>
            <w:tcW w:w="280" w:type="dxa"/>
            <w:vAlign w:val="bottom"/>
            <w:shd w:val="clear" w:color="auto" w:fill="FFC080"/>
          </w:tcPr>
          <w:p>
            <w:pPr>
              <w:spacing w:after="0"/>
              <w:rPr>
                <w:sz w:val="18"/>
                <w:szCs w:val="18"/>
                <w:color w:val="auto"/>
              </w:rPr>
            </w:pPr>
          </w:p>
        </w:tc>
        <w:tc>
          <w:tcPr>
            <w:tcW w:w="100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FFC080"/>
          </w:tcPr>
          <w:p>
            <w:pPr>
              <w:spacing w:after="0"/>
              <w:rPr>
                <w:sz w:val="18"/>
                <w:szCs w:val="18"/>
                <w:color w:val="auto"/>
              </w:rPr>
            </w:pPr>
          </w:p>
        </w:tc>
        <w:tc>
          <w:tcPr>
            <w:tcW w:w="680" w:type="dxa"/>
            <w:vAlign w:val="bottom"/>
            <w:shd w:val="clear" w:color="auto" w:fill="FFC080"/>
          </w:tcPr>
          <w:p>
            <w:pPr>
              <w:spacing w:after="0"/>
              <w:rPr>
                <w:sz w:val="18"/>
                <w:szCs w:val="18"/>
                <w:color w:val="auto"/>
              </w:rPr>
            </w:pPr>
          </w:p>
        </w:tc>
        <w:tc>
          <w:tcPr>
            <w:tcW w:w="66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shd w:val="clear" w:color="auto" w:fill="FFC080"/>
          </w:tcPr>
          <w:p>
            <w:pPr>
              <w:spacing w:after="0"/>
              <w:rPr>
                <w:sz w:val="18"/>
                <w:szCs w:val="18"/>
                <w:color w:val="auto"/>
              </w:rPr>
            </w:pPr>
          </w:p>
        </w:tc>
        <w:tc>
          <w:tcPr>
            <w:tcW w:w="9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FFC080"/>
          </w:tcPr>
          <w:p>
            <w:pPr>
              <w:spacing w:after="0"/>
              <w:rPr>
                <w:sz w:val="18"/>
                <w:szCs w:val="18"/>
                <w:color w:val="auto"/>
              </w:rPr>
            </w:pPr>
          </w:p>
        </w:tc>
        <w:tc>
          <w:tcPr>
            <w:tcW w:w="640" w:type="dxa"/>
            <w:vAlign w:val="bottom"/>
            <w:shd w:val="clear" w:color="auto" w:fill="FFC080"/>
          </w:tcPr>
          <w:p>
            <w:pPr>
              <w:spacing w:after="0"/>
              <w:rPr>
                <w:sz w:val="18"/>
                <w:szCs w:val="18"/>
                <w:color w:val="auto"/>
              </w:rPr>
            </w:pPr>
          </w:p>
        </w:tc>
        <w:tc>
          <w:tcPr>
            <w:tcW w:w="6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FFC080"/>
          </w:tcPr>
          <w:p>
            <w:pPr>
              <w:spacing w:after="0"/>
              <w:rPr>
                <w:sz w:val="20"/>
                <w:szCs w:val="20"/>
                <w:color w:val="auto"/>
              </w:rPr>
            </w:pPr>
          </w:p>
        </w:tc>
        <w:tc>
          <w:tcPr>
            <w:tcW w:w="540" w:type="dxa"/>
            <w:vAlign w:val="bottom"/>
            <w:gridSpan w:val="2"/>
            <w:shd w:val="clear" w:color="auto" w:fill="FFC080"/>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85</w:t>
            </w:r>
          </w:p>
        </w:tc>
        <w:tc>
          <w:tcPr>
            <w:tcW w:w="800" w:type="dxa"/>
            <w:vAlign w:val="bottom"/>
            <w:gridSpan w:val="2"/>
            <w:shd w:val="clear" w:color="auto" w:fill="FFC080"/>
          </w:tcPr>
          <w:p>
            <w:pPr>
              <w:jc w:val="right"/>
              <w:ind w:right="5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FFC080"/>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160</w:t>
            </w:r>
          </w:p>
        </w:tc>
        <w:tc>
          <w:tcPr>
            <w:tcW w:w="760" w:type="dxa"/>
            <w:vAlign w:val="bottom"/>
            <w:gridSpan w:val="2"/>
            <w:shd w:val="clear" w:color="auto" w:fill="FFC080"/>
          </w:tcPr>
          <w:p>
            <w:pPr>
              <w:jc w:val="right"/>
              <w:ind w:right="4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309</w:t>
            </w: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FFC080"/>
            </w:tcBorders>
            <w:shd w:val="clear" w:color="auto" w:fill="FFC080"/>
          </w:tcPr>
          <w:p>
            <w:pPr>
              <w:spacing w:after="0" w:line="20" w:lineRule="exact"/>
              <w:rPr>
                <w:sz w:val="1"/>
                <w:szCs w:val="1"/>
                <w:color w:val="auto"/>
              </w:rPr>
            </w:pPr>
          </w:p>
        </w:tc>
        <w:tc>
          <w:tcPr>
            <w:tcW w:w="260" w:type="dxa"/>
            <w:vAlign w:val="bottom"/>
            <w:tcBorders>
              <w:top w:val="single" w:sz="8" w:color="FFC080"/>
            </w:tcBorders>
            <w:shd w:val="clear" w:color="auto" w:fill="FFC08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FC080"/>
            </w:tcBorders>
            <w:shd w:val="clear" w:color="auto" w:fill="FFC08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2010, the total remaining unrecognized compensation cost related to non-vested stock options, net of forfeitures, was approximately $381.</w:t>
      </w:r>
    </w:p>
    <w:p>
      <w:pPr>
        <w:spacing w:after="0" w:line="2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and six months ended June 30, 2010, we granted 90,000 and 141,750 stock options, respectively. No stock options were issued during the six months ended June 30, 2009.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shareholders’ equity during the three and six months ended June 30, 2010 and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8"/>
              </w:rPr>
              <w:t>Three months ended</w:t>
            </w:r>
          </w:p>
        </w:tc>
        <w:tc>
          <w:tcPr>
            <w:tcW w:w="340" w:type="dxa"/>
            <w:vAlign w:val="bottom"/>
          </w:tcPr>
          <w:p>
            <w:pPr>
              <w:spacing w:after="0"/>
              <w:rPr>
                <w:sz w:val="20"/>
                <w:szCs w:val="20"/>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2010</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June 30, 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FC080"/>
          </w:tcPr>
          <w:p>
            <w:pPr>
              <w:spacing w:after="0"/>
              <w:rPr>
                <w:sz w:val="20"/>
                <w:szCs w:val="20"/>
                <w:color w:val="auto"/>
              </w:rPr>
            </w:pPr>
            <w:r>
              <w:rPr>
                <w:rFonts w:ascii="Arial" w:cs="Arial" w:eastAsia="Arial" w:hAnsi="Arial"/>
                <w:sz w:val="18"/>
                <w:szCs w:val="18"/>
                <w:color w:val="auto"/>
              </w:rPr>
              <w:t>Balance at the beginning of the period</w:t>
            </w:r>
          </w:p>
        </w:tc>
        <w:tc>
          <w:tcPr>
            <w:tcW w:w="280" w:type="dxa"/>
            <w:vAlign w:val="bottom"/>
            <w:shd w:val="clear" w:color="auto" w:fill="FFC080"/>
          </w:tcPr>
          <w:p>
            <w:pPr>
              <w:jc w:val="right"/>
              <w:ind w:right="1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29,390</w:t>
            </w:r>
          </w:p>
        </w:tc>
        <w:tc>
          <w:tcPr>
            <w:tcW w:w="600" w:type="dxa"/>
            <w:vAlign w:val="bottom"/>
            <w:gridSpan w:val="2"/>
            <w:shd w:val="clear" w:color="auto" w:fill="FFC080"/>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28,727</w:t>
            </w:r>
          </w:p>
        </w:tc>
        <w:tc>
          <w:tcPr>
            <w:tcW w:w="340" w:type="dxa"/>
            <w:vAlign w:val="bottom"/>
            <w:shd w:val="clear" w:color="auto" w:fill="FFC080"/>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29,098</w:t>
            </w:r>
          </w:p>
        </w:tc>
        <w:tc>
          <w:tcPr>
            <w:tcW w:w="720" w:type="dxa"/>
            <w:vAlign w:val="bottom"/>
            <w:gridSpan w:val="2"/>
            <w:shd w:val="clear" w:color="auto" w:fill="FFC080"/>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w w:val="94"/>
              </w:rPr>
              <w:t>28,131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during the period</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FC080"/>
          </w:tcPr>
          <w:p>
            <w:pPr>
              <w:spacing w:after="0"/>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FFC080"/>
          </w:tcPr>
          <w:p>
            <w:pPr>
              <w:spacing w:after="0"/>
              <w:rPr>
                <w:sz w:val="18"/>
                <w:szCs w:val="18"/>
                <w:color w:val="auto"/>
              </w:rPr>
            </w:pPr>
          </w:p>
        </w:tc>
        <w:tc>
          <w:tcPr>
            <w:tcW w:w="8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FFC080"/>
          </w:tcPr>
          <w:p>
            <w:pPr>
              <w:spacing w:after="0"/>
              <w:rPr>
                <w:sz w:val="18"/>
                <w:szCs w:val="18"/>
                <w:color w:val="auto"/>
              </w:rPr>
            </w:pPr>
          </w:p>
        </w:tc>
        <w:tc>
          <w:tcPr>
            <w:tcW w:w="360" w:type="dxa"/>
            <w:vAlign w:val="bottom"/>
            <w:shd w:val="clear" w:color="auto" w:fill="FFC080"/>
          </w:tcPr>
          <w:p>
            <w:pPr>
              <w:spacing w:after="0"/>
              <w:rPr>
                <w:sz w:val="18"/>
                <w:szCs w:val="18"/>
                <w:color w:val="auto"/>
              </w:rPr>
            </w:pPr>
          </w:p>
        </w:tc>
        <w:tc>
          <w:tcPr>
            <w:tcW w:w="98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FFC080"/>
          </w:tcPr>
          <w:p>
            <w:pPr>
              <w:spacing w:after="0"/>
              <w:rPr>
                <w:sz w:val="18"/>
                <w:szCs w:val="18"/>
                <w:color w:val="auto"/>
              </w:rPr>
            </w:pPr>
          </w:p>
        </w:tc>
        <w:tc>
          <w:tcPr>
            <w:tcW w:w="9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FFC080"/>
          </w:tcPr>
          <w:p>
            <w:pPr>
              <w:spacing w:after="0"/>
              <w:rPr>
                <w:sz w:val="18"/>
                <w:szCs w:val="18"/>
                <w:color w:val="auto"/>
              </w:rPr>
            </w:pPr>
          </w:p>
        </w:tc>
        <w:tc>
          <w:tcPr>
            <w:tcW w:w="600" w:type="dxa"/>
            <w:vAlign w:val="bottom"/>
            <w:shd w:val="clear" w:color="auto" w:fill="FFC080"/>
          </w:tcPr>
          <w:p>
            <w:pPr>
              <w:spacing w:after="0"/>
              <w:rPr>
                <w:sz w:val="18"/>
                <w:szCs w:val="18"/>
                <w:color w:val="auto"/>
              </w:rPr>
            </w:pPr>
          </w:p>
        </w:tc>
        <w:tc>
          <w:tcPr>
            <w:tcW w:w="6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FC080"/>
          </w:tcPr>
          <w:p>
            <w:pPr>
              <w:spacing w:after="0"/>
              <w:rPr>
                <w:sz w:val="20"/>
                <w:szCs w:val="20"/>
                <w:color w:val="auto"/>
              </w:rPr>
            </w:pPr>
            <w:r>
              <w:rPr>
                <w:rFonts w:ascii="Arial" w:cs="Arial" w:eastAsia="Arial" w:hAnsi="Arial"/>
                <w:sz w:val="18"/>
                <w:szCs w:val="18"/>
                <w:color w:val="auto"/>
              </w:rPr>
              <w:t>Unrealized gain (loss) on marketable securities net of tax, $(6) and $19</w:t>
            </w:r>
          </w:p>
        </w:tc>
        <w:tc>
          <w:tcPr>
            <w:tcW w:w="280" w:type="dxa"/>
            <w:vAlign w:val="bottom"/>
            <w:shd w:val="clear" w:color="auto" w:fill="FFC080"/>
          </w:tcPr>
          <w:p>
            <w:pPr>
              <w:spacing w:after="0"/>
              <w:rPr>
                <w:sz w:val="18"/>
                <w:szCs w:val="18"/>
                <w:color w:val="auto"/>
              </w:rPr>
            </w:pPr>
          </w:p>
        </w:tc>
        <w:tc>
          <w:tcPr>
            <w:tcW w:w="8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FC080"/>
          </w:tcPr>
          <w:p>
            <w:pPr>
              <w:spacing w:after="0"/>
              <w:rPr>
                <w:sz w:val="18"/>
                <w:szCs w:val="18"/>
                <w:color w:val="auto"/>
              </w:rPr>
            </w:pPr>
          </w:p>
        </w:tc>
        <w:tc>
          <w:tcPr>
            <w:tcW w:w="360" w:type="dxa"/>
            <w:vAlign w:val="bottom"/>
            <w:shd w:val="clear" w:color="auto" w:fill="FFC080"/>
          </w:tcPr>
          <w:p>
            <w:pPr>
              <w:spacing w:after="0"/>
              <w:rPr>
                <w:sz w:val="18"/>
                <w:szCs w:val="18"/>
                <w:color w:val="auto"/>
              </w:rPr>
            </w:pPr>
          </w:p>
        </w:tc>
        <w:tc>
          <w:tcPr>
            <w:tcW w:w="7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FFC080"/>
          </w:tcPr>
          <w:p>
            <w:pPr>
              <w:spacing w:after="0"/>
              <w:rPr>
                <w:sz w:val="18"/>
                <w:szCs w:val="18"/>
                <w:color w:val="auto"/>
              </w:rPr>
            </w:pPr>
          </w:p>
        </w:tc>
        <w:tc>
          <w:tcPr>
            <w:tcW w:w="340" w:type="dxa"/>
            <w:vAlign w:val="bottom"/>
            <w:shd w:val="clear" w:color="auto" w:fill="FFC080"/>
          </w:tcPr>
          <w:p>
            <w:pPr>
              <w:spacing w:after="0"/>
              <w:rPr>
                <w:sz w:val="18"/>
                <w:szCs w:val="18"/>
                <w:color w:val="auto"/>
              </w:rPr>
            </w:pPr>
          </w:p>
        </w:tc>
        <w:tc>
          <w:tcPr>
            <w:tcW w:w="9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FC080"/>
          </w:tcPr>
          <w:p>
            <w:pPr>
              <w:spacing w:after="0"/>
              <w:rPr>
                <w:sz w:val="18"/>
                <w:szCs w:val="18"/>
                <w:color w:val="auto"/>
              </w:rPr>
            </w:pPr>
          </w:p>
        </w:tc>
        <w:tc>
          <w:tcPr>
            <w:tcW w:w="600" w:type="dxa"/>
            <w:vAlign w:val="bottom"/>
            <w:shd w:val="clear" w:color="auto" w:fill="FFC080"/>
          </w:tcPr>
          <w:p>
            <w:pPr>
              <w:spacing w:after="0"/>
              <w:rPr>
                <w:sz w:val="18"/>
                <w:szCs w:val="18"/>
                <w:color w:val="auto"/>
              </w:rPr>
            </w:pPr>
          </w:p>
        </w:tc>
        <w:tc>
          <w:tcPr>
            <w:tcW w:w="6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FFC08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FFC08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FFC08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at end of the period</w:t>
            </w: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29,828</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28,486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29,828</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28,486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6. Other income (expense), net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080" w:type="dxa"/>
            <w:vAlign w:val="bottom"/>
            <w:gridSpan w:val="2"/>
          </w:tcPr>
          <w:p>
            <w:pPr>
              <w:spacing w:after="0"/>
              <w:rPr>
                <w:sz w:val="20"/>
                <w:szCs w:val="20"/>
                <w:color w:val="auto"/>
              </w:rPr>
            </w:pPr>
            <w:r>
              <w:rPr>
                <w:rFonts w:ascii="Arial" w:cs="Arial" w:eastAsia="Arial" w:hAnsi="Arial"/>
                <w:sz w:val="18"/>
                <w:szCs w:val="18"/>
                <w:color w:val="auto"/>
              </w:rPr>
              <w:t>The details of other income (expense), net are as follows: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8"/>
              </w:rPr>
              <w:t>Three months ended</w:t>
            </w:r>
          </w:p>
        </w:tc>
        <w:tc>
          <w:tcPr>
            <w:tcW w:w="3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Six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June 30, 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FC080"/>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FFC080"/>
          </w:tcPr>
          <w:p>
            <w:pPr>
              <w:jc w:val="right"/>
              <w:ind w:right="1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FFC080"/>
          </w:tcPr>
          <w:p>
            <w:pPr>
              <w:spacing w:after="0"/>
              <w:rPr>
                <w:sz w:val="18"/>
                <w:szCs w:val="18"/>
                <w:color w:val="auto"/>
              </w:rPr>
            </w:pPr>
          </w:p>
        </w:tc>
        <w:tc>
          <w:tcPr>
            <w:tcW w:w="860" w:type="dxa"/>
            <w:vAlign w:val="bottom"/>
            <w:gridSpan w:val="2"/>
            <w:shd w:val="clear" w:color="auto" w:fill="FFC080"/>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227</w:t>
            </w:r>
          </w:p>
        </w:tc>
        <w:tc>
          <w:tcPr>
            <w:tcW w:w="340" w:type="dxa"/>
            <w:vAlign w:val="bottom"/>
            <w:shd w:val="clear" w:color="auto" w:fill="FFC080"/>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27</w:t>
            </w:r>
          </w:p>
        </w:tc>
        <w:tc>
          <w:tcPr>
            <w:tcW w:w="800" w:type="dxa"/>
            <w:vAlign w:val="bottom"/>
            <w:gridSpan w:val="2"/>
            <w:shd w:val="clear" w:color="auto" w:fill="FFC080"/>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FFC080"/>
          </w:tcPr>
          <w:p>
            <w:pPr>
              <w:spacing w:after="0"/>
              <w:rPr>
                <w:sz w:val="20"/>
                <w:szCs w:val="20"/>
                <w:color w:val="auto"/>
              </w:rPr>
            </w:pPr>
            <w:r>
              <w:rPr>
                <w:rFonts w:ascii="Arial" w:cs="Arial" w:eastAsia="Arial" w:hAnsi="Arial"/>
                <w:sz w:val="18"/>
                <w:szCs w:val="18"/>
                <w:color w:val="auto"/>
              </w:rPr>
              <w:t>Gain (loss) on disposal of property and equipment</w:t>
            </w:r>
          </w:p>
        </w:tc>
        <w:tc>
          <w:tcPr>
            <w:tcW w:w="280" w:type="dxa"/>
            <w:vAlign w:val="bottom"/>
            <w:shd w:val="clear" w:color="auto" w:fill="FFC080"/>
          </w:tcPr>
          <w:p>
            <w:pPr>
              <w:spacing w:after="0"/>
              <w:rPr>
                <w:sz w:val="18"/>
                <w:szCs w:val="18"/>
                <w:color w:val="auto"/>
              </w:rPr>
            </w:pPr>
          </w:p>
        </w:tc>
        <w:tc>
          <w:tcPr>
            <w:tcW w:w="8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760" w:type="dxa"/>
            <w:vAlign w:val="bottom"/>
            <w:shd w:val="clear" w:color="auto" w:fill="FFC080"/>
          </w:tcPr>
          <w:p>
            <w:pPr>
              <w:spacing w:after="0"/>
              <w:rPr>
                <w:sz w:val="18"/>
                <w:szCs w:val="18"/>
                <w:color w:val="auto"/>
              </w:rPr>
            </w:pPr>
          </w:p>
        </w:tc>
        <w:tc>
          <w:tcPr>
            <w:tcW w:w="3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FC080"/>
          </w:tcPr>
          <w:p>
            <w:pPr>
              <w:spacing w:after="0"/>
              <w:rPr>
                <w:sz w:val="18"/>
                <w:szCs w:val="18"/>
                <w:color w:val="auto"/>
              </w:rPr>
            </w:pPr>
          </w:p>
        </w:tc>
        <w:tc>
          <w:tcPr>
            <w:tcW w:w="340" w:type="dxa"/>
            <w:vAlign w:val="bottom"/>
            <w:shd w:val="clear" w:color="auto" w:fill="FFC080"/>
          </w:tcPr>
          <w:p>
            <w:pPr>
              <w:spacing w:after="0"/>
              <w:rPr>
                <w:sz w:val="18"/>
                <w:szCs w:val="18"/>
                <w:color w:val="auto"/>
              </w:rPr>
            </w:pPr>
          </w:p>
        </w:tc>
        <w:tc>
          <w:tcPr>
            <w:tcW w:w="94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FFC080"/>
          </w:tcPr>
          <w:p>
            <w:pPr>
              <w:spacing w:after="0"/>
              <w:rPr>
                <w:sz w:val="18"/>
                <w:szCs w:val="18"/>
                <w:color w:val="auto"/>
              </w:rPr>
            </w:pPr>
          </w:p>
        </w:tc>
        <w:tc>
          <w:tcPr>
            <w:tcW w:w="720" w:type="dxa"/>
            <w:vAlign w:val="bottom"/>
            <w:shd w:val="clear" w:color="auto" w:fill="FFC080"/>
          </w:tcPr>
          <w:p>
            <w:pPr>
              <w:spacing w:after="0"/>
              <w:rPr>
                <w:sz w:val="18"/>
                <w:szCs w:val="18"/>
                <w:color w:val="auto"/>
              </w:rPr>
            </w:pPr>
          </w:p>
        </w:tc>
        <w:tc>
          <w:tcPr>
            <w:tcW w:w="5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FFC080"/>
            </w:tcBorders>
            <w:shd w:val="clear" w:color="auto" w:fill="FFC080"/>
          </w:tcPr>
          <w:p>
            <w:pPr>
              <w:spacing w:after="0"/>
              <w:rPr>
                <w:sz w:val="19"/>
                <w:szCs w:val="19"/>
                <w:color w:val="auto"/>
              </w:rPr>
            </w:pPr>
          </w:p>
        </w:tc>
        <w:tc>
          <w:tcPr>
            <w:tcW w:w="280" w:type="dxa"/>
            <w:vAlign w:val="bottom"/>
            <w:tcBorders>
              <w:bottom w:val="single" w:sz="8" w:color="auto"/>
            </w:tcBorders>
            <w:shd w:val="clear" w:color="auto" w:fill="FFC080"/>
          </w:tcPr>
          <w:p>
            <w:pPr>
              <w:spacing w:after="0"/>
              <w:rPr>
                <w:sz w:val="19"/>
                <w:szCs w:val="19"/>
                <w:color w:val="auto"/>
              </w:rPr>
            </w:pPr>
          </w:p>
        </w:tc>
        <w:tc>
          <w:tcPr>
            <w:tcW w:w="880" w:type="dxa"/>
            <w:vAlign w:val="bottom"/>
            <w:tcBorders>
              <w:bottom w:val="single" w:sz="8" w:color="auto"/>
            </w:tcBorders>
            <w:shd w:val="clear" w:color="auto" w:fill="FFC080"/>
          </w:tcPr>
          <w:p>
            <w:pPr>
              <w:spacing w:after="0"/>
              <w:rPr>
                <w:sz w:val="19"/>
                <w:szCs w:val="19"/>
                <w:color w:val="auto"/>
              </w:rPr>
            </w:pPr>
          </w:p>
        </w:tc>
        <w:tc>
          <w:tcPr>
            <w:tcW w:w="140" w:type="dxa"/>
            <w:vAlign w:val="bottom"/>
            <w:tcBorders>
              <w:bottom w:val="single" w:sz="8" w:color="FFC080"/>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760" w:type="dxa"/>
            <w:vAlign w:val="bottom"/>
            <w:tcBorders>
              <w:bottom w:val="single" w:sz="8" w:color="auto"/>
            </w:tcBorders>
            <w:shd w:val="clear" w:color="auto" w:fill="FFC080"/>
          </w:tcPr>
          <w:p>
            <w:pPr>
              <w:spacing w:after="0"/>
              <w:rPr>
                <w:sz w:val="19"/>
                <w:szCs w:val="19"/>
                <w:color w:val="auto"/>
              </w:rPr>
            </w:pPr>
          </w:p>
        </w:tc>
        <w:tc>
          <w:tcPr>
            <w:tcW w:w="380" w:type="dxa"/>
            <w:vAlign w:val="bottom"/>
            <w:tcBorders>
              <w:bottom w:val="single" w:sz="8" w:color="auto"/>
            </w:tcBorders>
            <w:shd w:val="clear" w:color="auto" w:fill="FFC080"/>
          </w:tcPr>
          <w:p>
            <w:pPr>
              <w:spacing w:after="0"/>
              <w:rPr>
                <w:sz w:val="19"/>
                <w:szCs w:val="19"/>
                <w:color w:val="auto"/>
              </w:rPr>
            </w:pPr>
          </w:p>
        </w:tc>
        <w:tc>
          <w:tcPr>
            <w:tcW w:w="200" w:type="dxa"/>
            <w:vAlign w:val="bottom"/>
            <w:tcBorders>
              <w:bottom w:val="single" w:sz="8" w:color="FFC080"/>
            </w:tcBorders>
            <w:shd w:val="clear" w:color="auto" w:fill="FFC080"/>
          </w:tcPr>
          <w:p>
            <w:pPr>
              <w:spacing w:after="0"/>
              <w:rPr>
                <w:sz w:val="19"/>
                <w:szCs w:val="19"/>
                <w:color w:val="auto"/>
              </w:rPr>
            </w:pPr>
          </w:p>
        </w:tc>
        <w:tc>
          <w:tcPr>
            <w:tcW w:w="340" w:type="dxa"/>
            <w:vAlign w:val="bottom"/>
            <w:tcBorders>
              <w:bottom w:val="single" w:sz="8" w:color="auto"/>
            </w:tcBorders>
            <w:shd w:val="clear" w:color="auto" w:fill="FFC080"/>
          </w:tcPr>
          <w:p>
            <w:pPr>
              <w:spacing w:after="0"/>
              <w:rPr>
                <w:sz w:val="19"/>
                <w:szCs w:val="19"/>
                <w:color w:val="auto"/>
              </w:rPr>
            </w:pPr>
          </w:p>
        </w:tc>
        <w:tc>
          <w:tcPr>
            <w:tcW w:w="800" w:type="dxa"/>
            <w:vAlign w:val="bottom"/>
            <w:tcBorders>
              <w:bottom w:val="single" w:sz="8" w:color="auto"/>
            </w:tcBorders>
            <w:shd w:val="clear" w:color="auto" w:fill="FFC080"/>
          </w:tcPr>
          <w:p>
            <w:pPr>
              <w:spacing w:after="0"/>
              <w:rPr>
                <w:sz w:val="19"/>
                <w:szCs w:val="19"/>
                <w:color w:val="auto"/>
              </w:rPr>
            </w:pPr>
          </w:p>
        </w:tc>
        <w:tc>
          <w:tcPr>
            <w:tcW w:w="140" w:type="dxa"/>
            <w:vAlign w:val="bottom"/>
            <w:tcBorders>
              <w:bottom w:val="single" w:sz="8" w:color="FFC080"/>
            </w:tcBorders>
            <w:shd w:val="clear" w:color="auto" w:fill="FFC080"/>
          </w:tcPr>
          <w:p>
            <w:pPr>
              <w:spacing w:after="0"/>
              <w:rPr>
                <w:sz w:val="19"/>
                <w:szCs w:val="19"/>
                <w:color w:val="auto"/>
              </w:rPr>
            </w:pPr>
          </w:p>
        </w:tc>
        <w:tc>
          <w:tcPr>
            <w:tcW w:w="80" w:type="dxa"/>
            <w:vAlign w:val="bottom"/>
            <w:tcBorders>
              <w:bottom w:val="single" w:sz="8" w:color="FFC080"/>
            </w:tcBorders>
            <w:shd w:val="clear" w:color="auto" w:fill="FFC080"/>
          </w:tcPr>
          <w:p>
            <w:pPr>
              <w:spacing w:after="0"/>
              <w:rPr>
                <w:sz w:val="19"/>
                <w:szCs w:val="19"/>
                <w:color w:val="auto"/>
              </w:rPr>
            </w:pPr>
          </w:p>
        </w:tc>
        <w:tc>
          <w:tcPr>
            <w:tcW w:w="720" w:type="dxa"/>
            <w:vAlign w:val="bottom"/>
            <w:tcBorders>
              <w:bottom w:val="single" w:sz="8" w:color="auto"/>
            </w:tcBorders>
            <w:shd w:val="clear" w:color="auto" w:fill="FFC080"/>
          </w:tcPr>
          <w:p>
            <w:pPr>
              <w:spacing w:after="0"/>
              <w:rPr>
                <w:sz w:val="19"/>
                <w:szCs w:val="19"/>
                <w:color w:val="auto"/>
              </w:rPr>
            </w:pPr>
          </w:p>
        </w:tc>
        <w:tc>
          <w:tcPr>
            <w:tcW w:w="420" w:type="dxa"/>
            <w:vAlign w:val="bottom"/>
            <w:tcBorders>
              <w:bottom w:val="single" w:sz="8" w:color="auto"/>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8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six months ended June 30, 2010, we recorded approximately $44 related to unrecognized tax benefits that would favorably impact our effective tax rate if recognized. The total outstanding balance for liabilities related to unrecognized tax benefits at June 30, 2010 was approximately $1,260 of which $91 was associated with interest and penalties. We account for interest expense and penalties for unrecognized tax benefits as part of our income tax provision.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evaluated its condensed consolidated financial statements as of and for the quarter ended June 30, 2010 for subsequent events through the date the financial statements were issued. The Company is not aware of any subsequent events which would require recognition or disclosure in the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Recent Accounting Pronouncements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Financial Accounting Standards Board (“FASB”) issued in February 2010, Accounting Standards Update (‘ASU”) 2010-09 affecting Accounting Standards Codification (“ASC”) Topic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update removed the requirement for a SEC filer to disclose a date through which subsequent events have been evaluated in both issued and revised financial statements. The Company adopted the guidelines effective February 2010 and its adoption has no impact on the Company’s financial position, results of operations or cash flows.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 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 ss releases and reports filed with the SEC, including our Annual Report on Form 10-K for the year ended June 30, 2009 and transition report on Form 10-KT for the six months ended December 31, 2009.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June 30, 2009 and transition report on Form 10-KT for the six months ended December 31, 2009.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ClearOne is a global communications solutions company that develops and sells conferencing, collaboration, streaming media and connectivity systems for audio, video, and web applications. The reliability, flexibility, and performance of ClearOne’s comprehensive solutions enhance the quality of life through better communication, education and entertainment. Our advanced comprehensive solutions create a natural communications environment, which saves organizations time and money by enabling more effective and efficient communication.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ClearOne dominates the professional audio conferencing space commanding more than 50% global market share. We have developed a broad portfolio of award-winning products that benefit from our innovative leadership. We develop, manufacture, market, and service a comprehensive line of high-quality audio conferencing products under personal, tabletop, premium and professional (installed audio) categories.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NetStreams, recently acquired by ClearOne in November 2009, is a pioneer in digital media networks based on Internet Protocol (TCP/IP). NetStreams’ products combine High Definition (HD) audio and video content, meta-data and control signals into one stream for distribution over an IP network for commercial and residential use and incorporate industry standards while doing so. NetStreams’ products offer high levels of performance, simplicity, scalability and reliability. The acquisition also brings valuable intellectual property including several granted and pending patents related to NetStreams’ StreamNet® technology, used for streaming time-sensitive synchronous HD audio and video over local area networks (LAN). StreamNet provides AV practitioners the capability to achieve consistent &amp; high quality AV over I P solutions by removing the effect of network delays and packet losses on audio, video &amp; control data.</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acquisition of NetStreams will enable ClearOne to enter new and large vertical markets such as digital signage and commercial sound distribution. NetStreams’ products and technologies complement existing ClearOne products and provide a platform for future AV over IP solutions. ClearOne specializes in conferencing &amp; collaboration technologies, while NetStreams is focused on multimedia &amp; network technologies. The ClearOne and NetStreams products and technologies can stand alone or combine to provide more of the overall solution for customers.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conferencing &amp; collaboration products are used by organizations of all sizes to accomplish effective group communication. Our networked media and control distribution systems are used by a wide range of customers from individual residential users to large enterprises. Our end-users range from some of the world’s largest and most prestigious companies and institutions to small and medium sized businesses, educational institutions, and government organizations as well as individual consumers. We sell our products to these end-users primarily through a network of independent distributors and resellers who in turn sell our products to dealers, systems integrators, and other value-added resellers. We also sell products directly to dealers, systems integrators, value-added resellers, and end-users.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ClearOne has been engaged in the following strategic initiatives, especially after our successful acquisition of Netstreams to build on our existing leadership in the global audio conferencing market:</w:t>
      </w:r>
    </w:p>
    <w:p>
      <w:pPr>
        <w:spacing w:after="0" w:line="197"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 on Unified Communications (UC) by forging strategic product and channel relationships with major UC systems providers.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 our reach into the enterprise by offering enterprise-wide HD audio, video and data distribution solutions.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and deepen direct relationships with key partner resellers.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successful operational integration of NetStreams into ClearOne, accelerate development of next generation products by tightly integrating ClearOne and NetStreams technologies.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Target bigger vertical markets including digital signage and audio distribution.</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NetStreams’ broad-ranging intellectual property by engaging in a variety of partnership activities ranging from licensing to developing a StreamNet eco-system to expand the application of StreamNet technology.</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revenues were $9.9 million and $18.3 million during the three and six months ended June 30, 2010, compared to $7.1 million and $14.7 million during the three and six months ended June 30, 2009. Our gross profit also increased by $2.5 million and $3.6 million during the three and six months ended June 30, 2010. Net income rose to $353,000 during the three months ended June 30, 2010 (“2010 Q2”) compared to a net loss of $402,000 during the three months ended June 30, 2009 (“2009 Q2”). Net income for the six months ended June 30, 2010 (“2010 H1) also improved to $570,000 compared to a loss of $42,000 during the six months ended June 30, 2009 (“2009 H1”). The increase in revenues and profits were the result of positive stabilization in the global economy. Nevertheless, we will continue our existin g measures to control costs and monitor future trends closely in response to our observation of our customers’ deliberate selective spending. A detailed discussion of our results of operations follows below.</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June 30, 2010, and 2009, and six months ended June 30, 2010, and 2009</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items from our unaudited condensed consolidated statements of operations (dollars in thousands) for the quarters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2010 and 2009, and the six months ended June 30, 2010 and 2009, together with the percentage of total revenue which each such item represents: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8"/>
                <w:szCs w:val="18"/>
                <w:b w:val="1"/>
                <w:bCs w:val="1"/>
                <w:color w:val="auto"/>
                <w:w w:val="98"/>
              </w:rPr>
              <w:t>Six months ended June 30,</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60"/>
              <w:spacing w:after="0" w:line="198"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 of</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 of</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 of</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Revenue</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Revenue</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Change</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Revenue</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Revenue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FFC080"/>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9,937</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7,060</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100.0%</w:t>
            </w:r>
          </w:p>
        </w:tc>
        <w:tc>
          <w:tcPr>
            <w:tcW w:w="940" w:type="dxa"/>
            <w:vAlign w:val="bottom"/>
            <w:tcBorders>
              <w:right w:val="single" w:sz="8" w:color="FFC080"/>
            </w:tcBorders>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w w:val="94"/>
              </w:rPr>
              <w:t>18,293</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w w:val="94"/>
              </w:rPr>
              <w:t>14,662</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4,276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3,886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7,437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7,435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FFC080"/>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70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5,661</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57.0%</w:t>
            </w:r>
          </w:p>
        </w:tc>
        <w:tc>
          <w:tcPr>
            <w:tcW w:w="160" w:type="dxa"/>
            <w:vAlign w:val="bottom"/>
            <w:shd w:val="clear" w:color="auto" w:fill="FFC080"/>
          </w:tcPr>
          <w:p>
            <w:pPr>
              <w:spacing w:after="0"/>
              <w:rPr>
                <w:sz w:val="18"/>
                <w:szCs w:val="18"/>
                <w:color w:val="auto"/>
              </w:rPr>
            </w:pPr>
          </w:p>
        </w:tc>
        <w:tc>
          <w:tcPr>
            <w:tcW w:w="74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3,174</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45.0%</w:t>
            </w:r>
          </w:p>
        </w:tc>
        <w:tc>
          <w:tcPr>
            <w:tcW w:w="940" w:type="dxa"/>
            <w:vAlign w:val="bottom"/>
            <w:tcBorders>
              <w:right w:val="single" w:sz="8" w:color="FFC080"/>
            </w:tcBorders>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FFC080"/>
          </w:tcPr>
          <w:p>
            <w:pPr>
              <w:spacing w:after="0"/>
              <w:rPr>
                <w:sz w:val="18"/>
                <w:szCs w:val="18"/>
                <w:color w:val="auto"/>
              </w:rPr>
            </w:pP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w w:val="94"/>
              </w:rPr>
              <w:t>10,856</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FFC080"/>
          </w:tcPr>
          <w:p>
            <w:pPr>
              <w:spacing w:after="0"/>
              <w:rPr>
                <w:sz w:val="18"/>
                <w:szCs w:val="18"/>
                <w:color w:val="auto"/>
              </w:rPr>
            </w:pP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7,227</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49.3%</w:t>
            </w:r>
          </w:p>
        </w:tc>
        <w:tc>
          <w:tcPr>
            <w:tcW w:w="840" w:type="dxa"/>
            <w:vAlign w:val="bottom"/>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2,183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1,929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4,085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3,619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FFC080"/>
          </w:tcPr>
          <w:p>
            <w:pPr>
              <w:spacing w:after="0" w:line="201" w:lineRule="exact"/>
              <w:rPr>
                <w:sz w:val="20"/>
                <w:szCs w:val="20"/>
                <w:color w:val="auto"/>
              </w:rPr>
            </w:pPr>
            <w:r>
              <w:rPr>
                <w:rFonts w:ascii="Arial" w:cs="Arial" w:eastAsia="Arial" w:hAnsi="Arial"/>
                <w:sz w:val="18"/>
                <w:szCs w:val="18"/>
                <w:color w:val="auto"/>
              </w:rPr>
              <w:t>Research and product</w:t>
            </w:r>
          </w:p>
        </w:tc>
        <w:tc>
          <w:tcPr>
            <w:tcW w:w="120" w:type="dxa"/>
            <w:vAlign w:val="bottom"/>
            <w:shd w:val="clear" w:color="auto" w:fill="FFC080"/>
          </w:tcPr>
          <w:p>
            <w:pPr>
              <w:spacing w:after="0"/>
              <w:rPr>
                <w:sz w:val="17"/>
                <w:szCs w:val="17"/>
                <w:color w:val="auto"/>
              </w:rPr>
            </w:pPr>
          </w:p>
        </w:tc>
        <w:tc>
          <w:tcPr>
            <w:tcW w:w="180" w:type="dxa"/>
            <w:vAlign w:val="bottom"/>
            <w:shd w:val="clear" w:color="auto" w:fill="FFC080"/>
          </w:tcPr>
          <w:p>
            <w:pPr>
              <w:spacing w:after="0"/>
              <w:rPr>
                <w:sz w:val="17"/>
                <w:szCs w:val="17"/>
                <w:color w:val="auto"/>
              </w:rPr>
            </w:pPr>
          </w:p>
        </w:tc>
        <w:tc>
          <w:tcPr>
            <w:tcW w:w="48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52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tcBorders>
              <w:right w:val="single" w:sz="8" w:color="FFC080"/>
            </w:tcBorders>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54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54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FFC080"/>
          </w:tcPr>
          <w:p>
            <w:pPr>
              <w:ind w:left="160"/>
              <w:spacing w:after="0"/>
              <w:rPr>
                <w:sz w:val="20"/>
                <w:szCs w:val="20"/>
                <w:color w:val="auto"/>
              </w:rPr>
            </w:pPr>
            <w:r>
              <w:rPr>
                <w:rFonts w:ascii="Arial" w:cs="Arial" w:eastAsia="Arial" w:hAnsi="Arial"/>
                <w:sz w:val="18"/>
                <w:szCs w:val="18"/>
                <w:color w:val="auto"/>
              </w:rPr>
              <w:t>development</w:t>
            </w:r>
          </w:p>
        </w:tc>
        <w:tc>
          <w:tcPr>
            <w:tcW w:w="120" w:type="dxa"/>
            <w:vAlign w:val="bottom"/>
            <w:shd w:val="clear" w:color="auto" w:fill="FFC080"/>
          </w:tcPr>
          <w:p>
            <w:pPr>
              <w:spacing w:after="0"/>
              <w:rPr>
                <w:sz w:val="20"/>
                <w:szCs w:val="20"/>
                <w:color w:val="auto"/>
              </w:rPr>
            </w:pPr>
          </w:p>
        </w:tc>
        <w:tc>
          <w:tcPr>
            <w:tcW w:w="180" w:type="dxa"/>
            <w:vAlign w:val="bottom"/>
            <w:shd w:val="clear" w:color="auto" w:fill="FFC080"/>
          </w:tcPr>
          <w:p>
            <w:pPr>
              <w:spacing w:after="0"/>
              <w:rPr>
                <w:sz w:val="20"/>
                <w:szCs w:val="20"/>
                <w:color w:val="auto"/>
              </w:rPr>
            </w:pPr>
          </w:p>
        </w:tc>
        <w:tc>
          <w:tcPr>
            <w:tcW w:w="70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1,744</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FFC080"/>
          </w:tcPr>
          <w:p>
            <w:pPr>
              <w:spacing w:after="0"/>
              <w:rPr>
                <w:sz w:val="20"/>
                <w:szCs w:val="20"/>
                <w:color w:val="auto"/>
              </w:rPr>
            </w:pPr>
          </w:p>
        </w:tc>
        <w:tc>
          <w:tcPr>
            <w:tcW w:w="74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2,111</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29.9%</w:t>
            </w:r>
          </w:p>
        </w:tc>
        <w:tc>
          <w:tcPr>
            <w:tcW w:w="940" w:type="dxa"/>
            <w:vAlign w:val="bottom"/>
            <w:tcBorders>
              <w:right w:val="single" w:sz="8" w:color="FFC080"/>
            </w:tcBorders>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FFC080"/>
          </w:tcPr>
          <w:p>
            <w:pPr>
              <w:spacing w:after="0"/>
              <w:rPr>
                <w:sz w:val="20"/>
                <w:szCs w:val="20"/>
                <w:color w:val="auto"/>
              </w:rPr>
            </w:pP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3,648</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FFC080"/>
          </w:tcPr>
          <w:p>
            <w:pPr>
              <w:spacing w:after="0"/>
              <w:rPr>
                <w:sz w:val="20"/>
                <w:szCs w:val="20"/>
                <w:color w:val="auto"/>
              </w:rPr>
            </w:pP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3,921</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26.7%</w:t>
            </w:r>
          </w:p>
        </w:tc>
        <w:tc>
          <w:tcPr>
            <w:tcW w:w="840" w:type="dxa"/>
            <w:vAlign w:val="bottom"/>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9"/>
              </w:rPr>
              <w:t>General and administrative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1,214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1,180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2,146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1,303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FFC080"/>
          </w:tcPr>
          <w:p>
            <w:pPr>
              <w:spacing w:after="0"/>
              <w:rPr>
                <w:sz w:val="20"/>
                <w:szCs w:val="20"/>
                <w:color w:val="auto"/>
              </w:rPr>
            </w:pPr>
            <w:r>
              <w:rPr>
                <w:rFonts w:ascii="Arial" w:cs="Arial" w:eastAsia="Arial" w:hAnsi="Arial"/>
                <w:sz w:val="18"/>
                <w:szCs w:val="18"/>
                <w:color w:val="auto"/>
              </w:rPr>
              <w:t>Insurance Settlement</w:t>
            </w:r>
          </w:p>
        </w:tc>
        <w:tc>
          <w:tcPr>
            <w:tcW w:w="12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70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FFC080"/>
          </w:tcPr>
          <w:p>
            <w:pPr>
              <w:spacing w:after="0"/>
              <w:rPr>
                <w:sz w:val="18"/>
                <w:szCs w:val="18"/>
                <w:color w:val="auto"/>
              </w:rPr>
            </w:pPr>
          </w:p>
        </w:tc>
        <w:tc>
          <w:tcPr>
            <w:tcW w:w="74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w w:val="98"/>
              </w:rPr>
              <w:t>(1,100)</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-15.6%</w:t>
            </w:r>
          </w:p>
        </w:tc>
        <w:tc>
          <w:tcPr>
            <w:tcW w:w="940" w:type="dxa"/>
            <w:vAlign w:val="bottom"/>
            <w:tcBorders>
              <w:right w:val="single" w:sz="8" w:color="FFC080"/>
            </w:tcBorders>
            <w:gridSpan w:val="2"/>
            <w:shd w:val="clear" w:color="auto" w:fill="FFC080"/>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FC080"/>
          </w:tcPr>
          <w:p>
            <w:pPr>
              <w:spacing w:after="0"/>
              <w:rPr>
                <w:sz w:val="18"/>
                <w:szCs w:val="18"/>
                <w:color w:val="auto"/>
              </w:rPr>
            </w:pPr>
          </w:p>
        </w:tc>
        <w:tc>
          <w:tcPr>
            <w:tcW w:w="5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FC080"/>
          </w:tcPr>
          <w:p>
            <w:pPr>
              <w:spacing w:after="0"/>
              <w:rPr>
                <w:sz w:val="18"/>
                <w:szCs w:val="18"/>
                <w:color w:val="auto"/>
              </w:rPr>
            </w:pP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FFC080"/>
          </w:tcPr>
          <w:p>
            <w:pPr>
              <w:spacing w:after="0"/>
              <w:rPr>
                <w:sz w:val="18"/>
                <w:szCs w:val="18"/>
                <w:color w:val="auto"/>
              </w:rPr>
            </w:pPr>
          </w:p>
        </w:tc>
        <w:tc>
          <w:tcPr>
            <w:tcW w:w="76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(1,100)</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-7.5%</w:t>
            </w:r>
          </w:p>
        </w:tc>
        <w:tc>
          <w:tcPr>
            <w:tcW w:w="84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shd w:val="clear" w:color="auto" w:fill="FFC08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Borders>
              <w:right w:val="single" w:sz="8" w:color="FFC080"/>
            </w:tcBorders>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520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(946)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977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(516)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FFC080"/>
          </w:tcPr>
          <w:p>
            <w:pPr>
              <w:spacing w:after="0"/>
              <w:rPr>
                <w:sz w:val="20"/>
                <w:szCs w:val="20"/>
                <w:color w:val="auto"/>
              </w:rPr>
            </w:pPr>
            <w:r>
              <w:rPr>
                <w:rFonts w:ascii="Arial" w:cs="Arial" w:eastAsia="Arial" w:hAnsi="Arial"/>
                <w:sz w:val="18"/>
                <w:szCs w:val="18"/>
                <w:color w:val="auto"/>
                <w:w w:val="93"/>
              </w:rPr>
              <w:t>Other (expense) income, net</w:t>
            </w:r>
          </w:p>
        </w:tc>
        <w:tc>
          <w:tcPr>
            <w:tcW w:w="12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70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FFC080"/>
          </w:tcPr>
          <w:p>
            <w:pPr>
              <w:spacing w:after="0"/>
              <w:rPr>
                <w:sz w:val="18"/>
                <w:szCs w:val="18"/>
                <w:color w:val="auto"/>
              </w:rPr>
            </w:pPr>
          </w:p>
        </w:tc>
        <w:tc>
          <w:tcPr>
            <w:tcW w:w="74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225</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3.2%</w:t>
            </w:r>
          </w:p>
        </w:tc>
        <w:tc>
          <w:tcPr>
            <w:tcW w:w="940" w:type="dxa"/>
            <w:vAlign w:val="bottom"/>
            <w:tcBorders>
              <w:right w:val="single" w:sz="8" w:color="FFC080"/>
            </w:tcBorders>
            <w:gridSpan w:val="2"/>
            <w:shd w:val="clear" w:color="auto" w:fill="FFC080"/>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FC080"/>
          </w:tcPr>
          <w:p>
            <w:pPr>
              <w:spacing w:after="0"/>
              <w:rPr>
                <w:sz w:val="18"/>
                <w:szCs w:val="18"/>
                <w:color w:val="auto"/>
              </w:rPr>
            </w:pPr>
          </w:p>
        </w:tc>
        <w:tc>
          <w:tcPr>
            <w:tcW w:w="76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(132)</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FFC080"/>
          </w:tcPr>
          <w:p>
            <w:pPr>
              <w:spacing w:after="0"/>
              <w:rPr>
                <w:sz w:val="18"/>
                <w:szCs w:val="18"/>
                <w:color w:val="auto"/>
              </w:rPr>
            </w:pP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285</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1.9%</w:t>
            </w:r>
          </w:p>
        </w:tc>
        <w:tc>
          <w:tcPr>
            <w:tcW w:w="84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shd w:val="clear" w:color="auto" w:fill="FFC08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Borders>
              <w:right w:val="single" w:sz="8" w:color="FFC080"/>
            </w:tcBorders>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4"/>
              </w:rPr>
              <w:t>Income before income taxes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520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(721)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845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FFC080"/>
          </w:tcPr>
          <w:p>
            <w:pPr>
              <w:spacing w:after="0" w:line="201" w:lineRule="exact"/>
              <w:rPr>
                <w:sz w:val="20"/>
                <w:szCs w:val="20"/>
                <w:color w:val="auto"/>
              </w:rPr>
            </w:pPr>
            <w:r>
              <w:rPr>
                <w:rFonts w:ascii="Arial" w:cs="Arial" w:eastAsia="Arial" w:hAnsi="Arial"/>
                <w:sz w:val="18"/>
                <w:szCs w:val="18"/>
                <w:color w:val="auto"/>
              </w:rPr>
              <w:t>(Provision for) benefit from</w:t>
            </w:r>
          </w:p>
        </w:tc>
        <w:tc>
          <w:tcPr>
            <w:tcW w:w="120" w:type="dxa"/>
            <w:vAlign w:val="bottom"/>
            <w:shd w:val="clear" w:color="auto" w:fill="FFC080"/>
          </w:tcPr>
          <w:p>
            <w:pPr>
              <w:spacing w:after="0"/>
              <w:rPr>
                <w:sz w:val="17"/>
                <w:szCs w:val="17"/>
                <w:color w:val="auto"/>
              </w:rPr>
            </w:pPr>
          </w:p>
        </w:tc>
        <w:tc>
          <w:tcPr>
            <w:tcW w:w="180" w:type="dxa"/>
            <w:vAlign w:val="bottom"/>
            <w:shd w:val="clear" w:color="auto" w:fill="FFC080"/>
          </w:tcPr>
          <w:p>
            <w:pPr>
              <w:spacing w:after="0"/>
              <w:rPr>
                <w:sz w:val="17"/>
                <w:szCs w:val="17"/>
                <w:color w:val="auto"/>
              </w:rPr>
            </w:pPr>
          </w:p>
        </w:tc>
        <w:tc>
          <w:tcPr>
            <w:tcW w:w="48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52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tcBorders>
              <w:right w:val="single" w:sz="8" w:color="FFC080"/>
            </w:tcBorders>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54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54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FFC080"/>
          </w:tcPr>
          <w:p>
            <w:pPr>
              <w:ind w:left="16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FFC080"/>
          </w:tcPr>
          <w:p>
            <w:pPr>
              <w:spacing w:after="0"/>
              <w:rPr>
                <w:sz w:val="20"/>
                <w:szCs w:val="20"/>
                <w:color w:val="auto"/>
              </w:rPr>
            </w:pPr>
          </w:p>
        </w:tc>
        <w:tc>
          <w:tcPr>
            <w:tcW w:w="180" w:type="dxa"/>
            <w:vAlign w:val="bottom"/>
            <w:shd w:val="clear" w:color="auto" w:fill="FFC080"/>
          </w:tcPr>
          <w:p>
            <w:pPr>
              <w:spacing w:after="0"/>
              <w:rPr>
                <w:sz w:val="20"/>
                <w:szCs w:val="20"/>
                <w:color w:val="auto"/>
              </w:rPr>
            </w:pPr>
          </w:p>
        </w:tc>
        <w:tc>
          <w:tcPr>
            <w:tcW w:w="70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(167)</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FFC080"/>
          </w:tcPr>
          <w:p>
            <w:pPr>
              <w:spacing w:after="0"/>
              <w:rPr>
                <w:sz w:val="20"/>
                <w:szCs w:val="20"/>
                <w:color w:val="auto"/>
              </w:rPr>
            </w:pPr>
          </w:p>
        </w:tc>
        <w:tc>
          <w:tcPr>
            <w:tcW w:w="74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319</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4.5%</w:t>
            </w:r>
          </w:p>
        </w:tc>
        <w:tc>
          <w:tcPr>
            <w:tcW w:w="940" w:type="dxa"/>
            <w:vAlign w:val="bottom"/>
            <w:tcBorders>
              <w:right w:val="single" w:sz="8" w:color="FFC080"/>
            </w:tcBorders>
            <w:gridSpan w:val="2"/>
            <w:shd w:val="clear" w:color="auto" w:fill="FFC080"/>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FC080"/>
          </w:tcPr>
          <w:p>
            <w:pPr>
              <w:spacing w:after="0"/>
              <w:rPr>
                <w:sz w:val="20"/>
                <w:szCs w:val="20"/>
                <w:color w:val="auto"/>
              </w:rPr>
            </w:pPr>
          </w:p>
        </w:tc>
        <w:tc>
          <w:tcPr>
            <w:tcW w:w="76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(275)</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FFC080"/>
          </w:tcPr>
          <w:p>
            <w:pPr>
              <w:spacing w:after="0"/>
              <w:rPr>
                <w:sz w:val="20"/>
                <w:szCs w:val="20"/>
                <w:color w:val="auto"/>
              </w:rPr>
            </w:pP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189</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shd w:val="clear" w:color="auto" w:fill="FFC08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Borders>
              <w:right w:val="single" w:sz="8" w:color="FFC080"/>
            </w:tcBorders>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(402)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570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FFC080"/>
          </w:tcPr>
          <w:p>
            <w:pPr>
              <w:spacing w:after="0"/>
              <w:rPr>
                <w:sz w:val="18"/>
                <w:szCs w:val="18"/>
                <w:color w:val="auto"/>
              </w:rPr>
            </w:pPr>
          </w:p>
        </w:tc>
        <w:tc>
          <w:tcPr>
            <w:tcW w:w="120" w:type="dxa"/>
            <w:vAlign w:val="bottom"/>
            <w:tcBorders>
              <w:bottom w:val="single" w:sz="8" w:color="FFC080"/>
            </w:tcBorders>
            <w:shd w:val="clear" w:color="auto" w:fill="FFC080"/>
          </w:tcPr>
          <w:p>
            <w:pPr>
              <w:spacing w:after="0"/>
              <w:rPr>
                <w:sz w:val="18"/>
                <w:szCs w:val="18"/>
                <w:color w:val="auto"/>
              </w:rPr>
            </w:pPr>
          </w:p>
        </w:tc>
        <w:tc>
          <w:tcPr>
            <w:tcW w:w="180" w:type="dxa"/>
            <w:vAlign w:val="bottom"/>
            <w:tcBorders>
              <w:bottom w:val="single" w:sz="8" w:color="FFC080"/>
            </w:tcBorders>
            <w:shd w:val="clear" w:color="auto" w:fill="FFC080"/>
          </w:tcPr>
          <w:p>
            <w:pPr>
              <w:spacing w:after="0"/>
              <w:rPr>
                <w:sz w:val="18"/>
                <w:szCs w:val="18"/>
                <w:color w:val="auto"/>
              </w:rPr>
            </w:pPr>
          </w:p>
        </w:tc>
        <w:tc>
          <w:tcPr>
            <w:tcW w:w="480" w:type="dxa"/>
            <w:vAlign w:val="bottom"/>
            <w:tcBorders>
              <w:bottom w:val="single" w:sz="8" w:color="FFC080"/>
            </w:tcBorders>
            <w:shd w:val="clear" w:color="auto" w:fill="FFC080"/>
          </w:tcPr>
          <w:p>
            <w:pPr>
              <w:spacing w:after="0"/>
              <w:rPr>
                <w:sz w:val="18"/>
                <w:szCs w:val="18"/>
                <w:color w:val="auto"/>
              </w:rPr>
            </w:pPr>
          </w:p>
        </w:tc>
        <w:tc>
          <w:tcPr>
            <w:tcW w:w="220" w:type="dxa"/>
            <w:vAlign w:val="bottom"/>
            <w:tcBorders>
              <w:bottom w:val="single" w:sz="8" w:color="FFC080"/>
            </w:tcBorders>
            <w:shd w:val="clear" w:color="auto" w:fill="FFC080"/>
          </w:tcPr>
          <w:p>
            <w:pPr>
              <w:spacing w:after="0"/>
              <w:rPr>
                <w:sz w:val="18"/>
                <w:szCs w:val="18"/>
                <w:color w:val="auto"/>
              </w:rPr>
            </w:pPr>
          </w:p>
        </w:tc>
        <w:tc>
          <w:tcPr>
            <w:tcW w:w="680" w:type="dxa"/>
            <w:vAlign w:val="bottom"/>
            <w:tcBorders>
              <w:bottom w:val="single" w:sz="8" w:color="FFC080"/>
            </w:tcBorders>
            <w:shd w:val="clear" w:color="auto" w:fill="FFC080"/>
          </w:tcPr>
          <w:p>
            <w:pPr>
              <w:spacing w:after="0"/>
              <w:rPr>
                <w:sz w:val="18"/>
                <w:szCs w:val="18"/>
                <w:color w:val="auto"/>
              </w:rPr>
            </w:pPr>
          </w:p>
        </w:tc>
        <w:tc>
          <w:tcPr>
            <w:tcW w:w="260" w:type="dxa"/>
            <w:vAlign w:val="bottom"/>
            <w:tcBorders>
              <w:bottom w:val="single" w:sz="8" w:color="FFC080"/>
            </w:tcBorders>
            <w:shd w:val="clear" w:color="auto" w:fill="FFC080"/>
          </w:tcPr>
          <w:p>
            <w:pPr>
              <w:spacing w:after="0"/>
              <w:rPr>
                <w:sz w:val="18"/>
                <w:szCs w:val="18"/>
                <w:color w:val="auto"/>
              </w:rPr>
            </w:pPr>
          </w:p>
        </w:tc>
        <w:tc>
          <w:tcPr>
            <w:tcW w:w="160" w:type="dxa"/>
            <w:vAlign w:val="bottom"/>
            <w:tcBorders>
              <w:bottom w:val="single" w:sz="8" w:color="FFC080"/>
            </w:tcBorders>
            <w:shd w:val="clear" w:color="auto" w:fill="FFC080"/>
          </w:tcPr>
          <w:p>
            <w:pPr>
              <w:spacing w:after="0"/>
              <w:rPr>
                <w:sz w:val="18"/>
                <w:szCs w:val="18"/>
                <w:color w:val="auto"/>
              </w:rPr>
            </w:pPr>
          </w:p>
        </w:tc>
        <w:tc>
          <w:tcPr>
            <w:tcW w:w="520" w:type="dxa"/>
            <w:vAlign w:val="bottom"/>
            <w:tcBorders>
              <w:bottom w:val="single" w:sz="8" w:color="FFC080"/>
            </w:tcBorders>
            <w:shd w:val="clear" w:color="auto" w:fill="FFC080"/>
          </w:tcPr>
          <w:p>
            <w:pPr>
              <w:spacing w:after="0"/>
              <w:rPr>
                <w:sz w:val="18"/>
                <w:szCs w:val="18"/>
                <w:color w:val="auto"/>
              </w:rPr>
            </w:pPr>
          </w:p>
        </w:tc>
        <w:tc>
          <w:tcPr>
            <w:tcW w:w="220" w:type="dxa"/>
            <w:vAlign w:val="bottom"/>
            <w:tcBorders>
              <w:bottom w:val="single" w:sz="8" w:color="FFC080"/>
            </w:tcBorders>
            <w:shd w:val="clear" w:color="auto" w:fill="FFC080"/>
          </w:tcPr>
          <w:p>
            <w:pPr>
              <w:spacing w:after="0"/>
              <w:rPr>
                <w:sz w:val="18"/>
                <w:szCs w:val="18"/>
                <w:color w:val="auto"/>
              </w:rPr>
            </w:pPr>
          </w:p>
        </w:tc>
        <w:tc>
          <w:tcPr>
            <w:tcW w:w="680" w:type="dxa"/>
            <w:vAlign w:val="bottom"/>
            <w:tcBorders>
              <w:bottom w:val="single" w:sz="8" w:color="FFC080"/>
            </w:tcBorders>
            <w:shd w:val="clear" w:color="auto" w:fill="FFC080"/>
          </w:tcPr>
          <w:p>
            <w:pPr>
              <w:spacing w:after="0"/>
              <w:rPr>
                <w:sz w:val="18"/>
                <w:szCs w:val="18"/>
                <w:color w:val="auto"/>
              </w:rPr>
            </w:pPr>
          </w:p>
        </w:tc>
        <w:tc>
          <w:tcPr>
            <w:tcW w:w="260" w:type="dxa"/>
            <w:vAlign w:val="bottom"/>
            <w:tcBorders>
              <w:bottom w:val="single" w:sz="8" w:color="FFC080"/>
            </w:tcBorders>
            <w:shd w:val="clear" w:color="auto" w:fill="FFC080"/>
          </w:tcPr>
          <w:p>
            <w:pPr>
              <w:spacing w:after="0"/>
              <w:rPr>
                <w:sz w:val="18"/>
                <w:szCs w:val="18"/>
                <w:color w:val="auto"/>
              </w:rPr>
            </w:pPr>
          </w:p>
        </w:tc>
        <w:tc>
          <w:tcPr>
            <w:tcW w:w="680" w:type="dxa"/>
            <w:vAlign w:val="bottom"/>
            <w:tcBorders>
              <w:bottom w:val="single" w:sz="8" w:color="FFC080"/>
            </w:tcBorders>
            <w:shd w:val="clear" w:color="auto" w:fill="FFC080"/>
          </w:tcPr>
          <w:p>
            <w:pPr>
              <w:spacing w:after="0"/>
              <w:rPr>
                <w:sz w:val="18"/>
                <w:szCs w:val="18"/>
                <w:color w:val="auto"/>
              </w:rPr>
            </w:pPr>
          </w:p>
        </w:tc>
        <w:tc>
          <w:tcPr>
            <w:tcW w:w="260" w:type="dxa"/>
            <w:vAlign w:val="bottom"/>
            <w:tcBorders>
              <w:bottom w:val="single" w:sz="8" w:color="FFC080"/>
              <w:right w:val="single" w:sz="8" w:color="FFC080"/>
            </w:tcBorders>
            <w:shd w:val="clear" w:color="auto" w:fill="FFC080"/>
          </w:tcPr>
          <w:p>
            <w:pPr>
              <w:spacing w:after="0"/>
              <w:rPr>
                <w:sz w:val="18"/>
                <w:szCs w:val="18"/>
                <w:color w:val="auto"/>
              </w:rPr>
            </w:pPr>
          </w:p>
        </w:tc>
        <w:tc>
          <w:tcPr>
            <w:tcW w:w="140" w:type="dxa"/>
            <w:vAlign w:val="bottom"/>
            <w:tcBorders>
              <w:bottom w:val="single" w:sz="8" w:color="FFC080"/>
            </w:tcBorders>
            <w:shd w:val="clear" w:color="auto" w:fill="FFC080"/>
          </w:tcPr>
          <w:p>
            <w:pPr>
              <w:spacing w:after="0"/>
              <w:rPr>
                <w:sz w:val="18"/>
                <w:szCs w:val="18"/>
                <w:color w:val="auto"/>
              </w:rPr>
            </w:pPr>
          </w:p>
        </w:tc>
        <w:tc>
          <w:tcPr>
            <w:tcW w:w="540" w:type="dxa"/>
            <w:vAlign w:val="bottom"/>
            <w:tcBorders>
              <w:bottom w:val="single" w:sz="8" w:color="FFC080"/>
            </w:tcBorders>
            <w:shd w:val="clear" w:color="auto" w:fill="FFC080"/>
          </w:tcPr>
          <w:p>
            <w:pPr>
              <w:spacing w:after="0"/>
              <w:rPr>
                <w:sz w:val="18"/>
                <w:szCs w:val="18"/>
                <w:color w:val="auto"/>
              </w:rPr>
            </w:pPr>
          </w:p>
        </w:tc>
        <w:tc>
          <w:tcPr>
            <w:tcW w:w="220" w:type="dxa"/>
            <w:vAlign w:val="bottom"/>
            <w:tcBorders>
              <w:bottom w:val="single" w:sz="8" w:color="FFC080"/>
            </w:tcBorders>
            <w:shd w:val="clear" w:color="auto" w:fill="FFC080"/>
          </w:tcPr>
          <w:p>
            <w:pPr>
              <w:spacing w:after="0"/>
              <w:rPr>
                <w:sz w:val="18"/>
                <w:szCs w:val="18"/>
                <w:color w:val="auto"/>
              </w:rPr>
            </w:pPr>
          </w:p>
        </w:tc>
        <w:tc>
          <w:tcPr>
            <w:tcW w:w="680" w:type="dxa"/>
            <w:vAlign w:val="bottom"/>
            <w:tcBorders>
              <w:bottom w:val="single" w:sz="8" w:color="FFC080"/>
            </w:tcBorders>
            <w:shd w:val="clear" w:color="auto" w:fill="FFC080"/>
          </w:tcPr>
          <w:p>
            <w:pPr>
              <w:spacing w:after="0"/>
              <w:rPr>
                <w:sz w:val="18"/>
                <w:szCs w:val="18"/>
                <w:color w:val="auto"/>
              </w:rPr>
            </w:pPr>
          </w:p>
        </w:tc>
        <w:tc>
          <w:tcPr>
            <w:tcW w:w="260" w:type="dxa"/>
            <w:vAlign w:val="bottom"/>
            <w:tcBorders>
              <w:bottom w:val="single" w:sz="8" w:color="FFC080"/>
            </w:tcBorders>
            <w:shd w:val="clear" w:color="auto" w:fill="FFC080"/>
          </w:tcPr>
          <w:p>
            <w:pPr>
              <w:spacing w:after="0"/>
              <w:rPr>
                <w:sz w:val="18"/>
                <w:szCs w:val="18"/>
                <w:color w:val="auto"/>
              </w:rPr>
            </w:pPr>
          </w:p>
        </w:tc>
        <w:tc>
          <w:tcPr>
            <w:tcW w:w="140" w:type="dxa"/>
            <w:vAlign w:val="bottom"/>
            <w:tcBorders>
              <w:bottom w:val="single" w:sz="8" w:color="FFC080"/>
            </w:tcBorders>
            <w:shd w:val="clear" w:color="auto" w:fill="FFC080"/>
          </w:tcPr>
          <w:p>
            <w:pPr>
              <w:spacing w:after="0"/>
              <w:rPr>
                <w:sz w:val="18"/>
                <w:szCs w:val="18"/>
                <w:color w:val="auto"/>
              </w:rPr>
            </w:pPr>
          </w:p>
        </w:tc>
        <w:tc>
          <w:tcPr>
            <w:tcW w:w="540" w:type="dxa"/>
            <w:vAlign w:val="bottom"/>
            <w:tcBorders>
              <w:bottom w:val="single" w:sz="8" w:color="FFC080"/>
            </w:tcBorders>
            <w:shd w:val="clear" w:color="auto" w:fill="FFC080"/>
          </w:tcPr>
          <w:p>
            <w:pPr>
              <w:spacing w:after="0"/>
              <w:rPr>
                <w:sz w:val="18"/>
                <w:szCs w:val="18"/>
                <w:color w:val="auto"/>
              </w:rPr>
            </w:pPr>
          </w:p>
        </w:tc>
        <w:tc>
          <w:tcPr>
            <w:tcW w:w="220" w:type="dxa"/>
            <w:vAlign w:val="bottom"/>
            <w:tcBorders>
              <w:bottom w:val="single" w:sz="8" w:color="FFC080"/>
            </w:tcBorders>
            <w:shd w:val="clear" w:color="auto" w:fill="FFC080"/>
          </w:tcPr>
          <w:p>
            <w:pPr>
              <w:spacing w:after="0"/>
              <w:rPr>
                <w:sz w:val="18"/>
                <w:szCs w:val="18"/>
                <w:color w:val="auto"/>
              </w:rPr>
            </w:pPr>
          </w:p>
        </w:tc>
        <w:tc>
          <w:tcPr>
            <w:tcW w:w="680" w:type="dxa"/>
            <w:vAlign w:val="bottom"/>
            <w:tcBorders>
              <w:bottom w:val="single" w:sz="8" w:color="FFC080"/>
            </w:tcBorders>
            <w:shd w:val="clear" w:color="auto" w:fill="FFC080"/>
          </w:tcPr>
          <w:p>
            <w:pPr>
              <w:spacing w:after="0"/>
              <w:rPr>
                <w:sz w:val="18"/>
                <w:szCs w:val="18"/>
                <w:color w:val="auto"/>
              </w:rPr>
            </w:pPr>
          </w:p>
        </w:tc>
        <w:tc>
          <w:tcPr>
            <w:tcW w:w="260" w:type="dxa"/>
            <w:vAlign w:val="bottom"/>
            <w:tcBorders>
              <w:bottom w:val="single" w:sz="8" w:color="FFC080"/>
            </w:tcBorders>
            <w:shd w:val="clear" w:color="auto" w:fill="FFC080"/>
          </w:tcPr>
          <w:p>
            <w:pPr>
              <w:spacing w:after="0"/>
              <w:rPr>
                <w:sz w:val="18"/>
                <w:szCs w:val="18"/>
                <w:color w:val="auto"/>
              </w:rPr>
            </w:pPr>
          </w:p>
        </w:tc>
        <w:tc>
          <w:tcPr>
            <w:tcW w:w="680" w:type="dxa"/>
            <w:vAlign w:val="bottom"/>
            <w:tcBorders>
              <w:bottom w:val="single" w:sz="8" w:color="FFC080"/>
            </w:tcBorders>
            <w:shd w:val="clear" w:color="auto" w:fill="FFC080"/>
          </w:tcPr>
          <w:p>
            <w:pPr>
              <w:spacing w:after="0"/>
              <w:rPr>
                <w:sz w:val="18"/>
                <w:szCs w:val="18"/>
                <w:color w:val="auto"/>
              </w:rPr>
            </w:pPr>
          </w:p>
        </w:tc>
        <w:tc>
          <w:tcPr>
            <w:tcW w:w="160" w:type="dxa"/>
            <w:vAlign w:val="bottom"/>
            <w:tcBorders>
              <w:bottom w:val="single" w:sz="8" w:color="FFC080"/>
            </w:tcBorders>
            <w:shd w:val="clear" w:color="auto" w:fill="FFC080"/>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2010 Q2 increased by approximately 40.8% over 2009 Q2, while revenue for 2010 H1 increased by 24.8% over revenue for 2009 H1. The increase was caused by an overall increase in revenue of each of our audio conferencing product lines due to stabilization in the global economy and due to contribution of additional revenue from NetStreams products. The revenue from tabletop conferencing products was limited during the last month of 2010 Q2 due to the transition of our production to our new global electronics manufacturing services (EMS) provider. Our inability to satisfy fully the stocking needs of our global tabletop conferencing products channel is expected to continue in the initial weeks of the third quarter of 2010.</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2010 Q2 and 2009 Q2, the net change in deferred revenue was a net deferral of revenue of $196,000 and $98,000, respectively. During 2010 H1 and 2009 H1, the net change in deferred revenue was a net deferral of revenue of $326,000 and net recognition of revenue of $611,000, respectively. See “Critical Accounting Policies” under “Revenue and Associated Allowance for Revenue Adjustments and Doubtful Accounts” below for a detailed discussion of deferred revenue.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Costs of Goods Sold and Gross Profit</w:t>
      </w:r>
    </w:p>
    <w:p>
      <w:pPr>
        <w:spacing w:after="0" w:line="25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contract manufacturers,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gross profit margin (GPM), which is gross profit as a percentage of revenue, was 57% and 45% in 2010 Q2 and 2009 Q2, respectively. GPM for 2010 H1 was 59.3% compared to 49.3% during 2009 H1. GPM improved in 2010 in comparison to 2009 primarily due to reduction in inventory obsolescence and increase in sales of high margin professional conferencing products.</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 of goods sold increased in 2010 Q2 and consequently GPM was partially reduced due to our transitioning to our new EMS provider. Cost of goods sold increased due to increase in freight costs to expedite deliveries to our channel partners and sourcing components and raw materials at a higher price to cut lead times and overcome shortages. This trend is expected to continue in the initial weeks of third quarter of 2010. Despite these interim challenges in transitioning to our new EMS provider, we are confident that this move will enable us in the near term and long run to be more flexible to scale our volume and add more capability to manufacture new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2010 Q2 operating expenses were approximately $5.1 million, an increase of approximately $1.0 million from $4.1 million in 2009 Q2 or an increase of 25% over 2009 Q2 expenses. Operating expenses during 2010 H1 were $9.9 million compared to $8.8 million during 2009 after excluding insurance settlement proceeds.</w:t>
      </w:r>
    </w:p>
    <w:p>
      <w:pPr>
        <w:spacing w:after="0" w:line="2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selling, customer service, and marketing expenses such as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overhead expenses, trade shows, and other advertising and selling expenses.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S&amp;M expenses during 2010 Q2 increased by approximately $254,000, or 13% when compared to 2009 Q2. The increase in S&amp;M expenses during 2010 H1 was $466,000, or 13% when compared to 2009 H1. The increases were primarily due to an increase in commissions on sales, additional expenditures incurred on NetStreams sales personnel, and additional investment in NetStreams sales infrastructure, partially offset by reduction in salaries and marketing expenditures.</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9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R&amp;D expenses during 2010 Q2 decreased by $367,000 or 17% compared to expenses during 2009 Q2. Similarly, R&amp;D expenses during 2010 H1 decreased by $273,000 or 7% compared to 2009 H1 expenses. The decreases were primarily due to reduction in salaries, consulting fees and project expenses partially offset by additional compensation costs associated with NetStreams personnel.</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include employee-related costs, professional service fees, allocations of overhead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costs, and corporate administrative costs, including finance, information technology and human resources.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G&amp;A expenses during 2010 Q2 increased by $34,000 when compared to expenditures incurred in 2009 Q2. However, G&amp;A expenses during 2009 Q2 was reduced by $145,000 for receipt of an insurance settlement. If this insurance settlement is excluded from G&amp;A expenses in 2009 Q2, G&amp;A expenses in 2010 Q2 decreased by approximately $111,000 . The decrease was primarily due to savings in legal fees partially offset by increases in the allowance for doubtful debts, accounting services and amortization of intangibles.</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G&amp;A expenses increased approximately by $843,000 during 2010 H1 in comparison to G&amp;A expenses in 2009 H1. During 2009 H1, G&amp;A expenses were reduced by approximately $1.1 million for reversal of accrued legal expenses and $145,000 for receipt of an insurance settlement. After excluding the above said reversal in 2009 Q1 and receipt of an insurance settlement mentioned above, G&amp;A expenses during 2010 H1 decreased approximately by $449,000 compared to 2009 H1. The decrease was primarily due to reduction in legal expenses and compensation cost partially offset by increases in the allowance for doubtful accounts, accounting services and amortization of intangibles. We continue to incur high legal expenses due to litigation to protect our intellectual property and to defend ourselves from indemnification claims made by former of ficers.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gain (loss) on the disposal of assets, and currency gain (loss).</w:t>
      </w:r>
    </w:p>
    <w:p>
      <w:pPr>
        <w:spacing w:after="0" w:line="23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Other income, net during 2010 Q2 was reduced approximately by $225,000 compared to 2009 Q2 due to reduction in interest income. Other expense, net during 2010 H1 was ($132,000) compared to other income, net of approximately $285,000 during 2009 H1. The difference was due to reduction in interest income by $240,000, a loss of approximately $111,000 incurred on disposal of fixed assets and interest expense of approximately $50,000.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2010, our cash and cash equivalents were approximately $10.9 million; an increase of $1.4 million compared to cash and cash equivalents of approximately $9.5 million as of December 31, 2009.</w:t>
      </w:r>
    </w:p>
    <w:p>
      <w:pPr>
        <w:spacing w:after="0" w:line="19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Net cash provided by operating activities was $3.6 million in the six months ended June 30, 2010, an increase of $3.3 million from the net cash provided by operating activities of approximately $320,000 in the six months ended June 30, 2009. The increase was primarily due to increased profits, realization of inventory and increases in accrued expenses and accounts payable, partially offset by an increase in accounts receivable.</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investing activities during the six months ended June 30, 2010 was approximately $192,000, made up of the receipt of $350,000 of final working capital adjustment from sellers of NetStreams, Inc. and purchase of equipment of approximately $542,000. Net cash provided by investing activities in the six months ended June 30, 2009 was $7.0 million primarily due to proceeds realized on sale of marketable securities partially offset by the purchase of equipment.</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six months ended June 30, 2010, $2 million of debt assumed at the time of acquisition of NetStreams was fully paid, representing the cash used in financing activities. Net cash provided by financing activities during the six months ended June 30, 2009 was approximately $120,000, being the proceeds received from issuance of stock upon exercise of stock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2010 our working capital was $19.7 million as compared to $16.3 million as of December 31, 2009.</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solid business model will help us raise additional capital when needed to meet our short and long-term financing needs. In addition to capital expenditures, we may use cash during the near future for selective investments in technological, marketing or product manufacturing capabilities to broaden our product offerings, and acquisitions that may strategically fit our business and are accretive to our business performance.</w:t>
      </w:r>
    </w:p>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However, no assurance can be given that changes will not occur that would consume available capital resources at a rate more rapidly than anticipated and we may need or want to raise additional debt or equity financing to fund our operations within this period of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our Annual Report on Form 10-K for the year ended June 30, 2009 and transition report on Form 10-KT for the six months ended December 31, 2009. We believe the following critical accounting policies identify our most critical accounting policies, which are the policies that are both important to the representation of our financial condition and results and requires our most difficult, subjective or complex judgments, often as a result of the need to make estimates about the effect of matters that are inherently uncertain.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50"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jc w:val="both"/>
        <w:spacing w:after="0" w:line="290" w:lineRule="auto"/>
        <w:rPr>
          <w:rFonts w:ascii="Arial" w:cs="Arial" w:eastAsia="Arial" w:hAnsi="Arial"/>
          <w:sz w:val="18"/>
          <w:szCs w:val="18"/>
          <w:color w:val="auto"/>
        </w:rPr>
      </w:pPr>
      <w:r>
        <w:rPr>
          <w:rFonts w:ascii="Arial" w:cs="Arial" w:eastAsia="Arial" w:hAnsi="Arial"/>
          <w:sz w:val="16"/>
          <w:szCs w:val="16"/>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described below. In a s mall number of cases, the distributors are also permitted to return the products for other business reasons.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it can be determined with reasonable certainty that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our distributors. The level of inventory in the channel will fluctuate up or down, each quarter, based upon our distributors’ individual operations. Accordingly, each quarter-end deferral for revenue and associated cost of goods sold are calculated and recorded based upon the actual channel inventory reported at quarter-end. Further, with re spect to distributors and other channel partners not reporting the channel inventory, the revenue and associated cost of goods sold are deferred until we receive payment for the product sales made to such distributors or channel partners.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amounts of deferred cost of goods sold were included in consigned inventory. The following table details the amount of deferred revenue, cost of goods sold, and gross profit: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As of</w:t>
            </w:r>
          </w:p>
        </w:tc>
      </w:t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 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FC080"/>
          </w:tcPr>
          <w:p>
            <w:pPr>
              <w:spacing w:after="0"/>
              <w:rPr>
                <w:sz w:val="20"/>
                <w:szCs w:val="20"/>
                <w:color w:val="auto"/>
              </w:rPr>
            </w:pPr>
            <w:r>
              <w:rPr>
                <w:rFonts w:ascii="Arial" w:cs="Arial" w:eastAsia="Arial" w:hAnsi="Arial"/>
                <w:sz w:val="18"/>
                <w:szCs w:val="18"/>
                <w:color w:val="auto"/>
              </w:rPr>
              <w:t>Deferred revenue</w:t>
            </w:r>
          </w:p>
        </w:tc>
        <w:tc>
          <w:tcPr>
            <w:tcW w:w="3420" w:type="dxa"/>
            <w:vAlign w:val="bottom"/>
            <w:gridSpan w:val="2"/>
            <w:shd w:val="clear" w:color="auto" w:fill="FFC080"/>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5,033</w:t>
            </w:r>
          </w:p>
        </w:tc>
        <w:tc>
          <w:tcPr>
            <w:tcW w:w="460" w:type="dxa"/>
            <w:vAlign w:val="bottom"/>
            <w:gridSpan w:val="2"/>
            <w:shd w:val="clear" w:color="auto" w:fill="FFC080"/>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4,707</w:t>
            </w: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3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160" w:type="dxa"/>
            <w:vAlign w:val="bottom"/>
            <w:shd w:val="clear" w:color="auto" w:fill="FFC080"/>
          </w:tcPr>
          <w:p>
            <w:pPr>
              <w:spacing w:after="0"/>
              <w:rPr>
                <w:sz w:val="20"/>
                <w:szCs w:val="20"/>
                <w:color w:val="auto"/>
              </w:rPr>
            </w:pPr>
            <w:r>
              <w:rPr>
                <w:rFonts w:ascii="Arial" w:cs="Arial" w:eastAsia="Arial" w:hAnsi="Arial"/>
                <w:sz w:val="18"/>
                <w:szCs w:val="18"/>
                <w:color w:val="auto"/>
              </w:rPr>
              <w:t>Deferred gross profit</w:t>
            </w:r>
          </w:p>
        </w:tc>
        <w:tc>
          <w:tcPr>
            <w:tcW w:w="3420" w:type="dxa"/>
            <w:vAlign w:val="bottom"/>
            <w:gridSpan w:val="2"/>
            <w:shd w:val="clear" w:color="auto" w:fill="FFC080"/>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2,998</w:t>
            </w:r>
          </w:p>
        </w:tc>
        <w:tc>
          <w:tcPr>
            <w:tcW w:w="460" w:type="dxa"/>
            <w:vAlign w:val="bottom"/>
            <w:gridSpan w:val="2"/>
            <w:shd w:val="clear" w:color="auto" w:fill="FFC080"/>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2,861</w:t>
            </w: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FFC080"/>
            </w:tcBorders>
            <w:shd w:val="clear" w:color="auto" w:fill="FFC080"/>
          </w:tcPr>
          <w:p>
            <w:pPr>
              <w:spacing w:after="0" w:line="20" w:lineRule="exact"/>
              <w:rPr>
                <w:sz w:val="1"/>
                <w:szCs w:val="1"/>
                <w:color w:val="auto"/>
              </w:rPr>
            </w:pPr>
          </w:p>
        </w:tc>
        <w:tc>
          <w:tcPr>
            <w:tcW w:w="3180" w:type="dxa"/>
            <w:vAlign w:val="bottom"/>
            <w:tcBorders>
              <w:top w:val="single" w:sz="8" w:color="FFC080"/>
            </w:tcBorders>
            <w:shd w:val="clear" w:color="auto" w:fill="FFC08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allocated the purchase price on acquisition of NetStreams, Inc. on the basis of well established valuation techniques performed by qualified experts.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Goodwill is measured as the excess of the cost of acquisition over the sum of the amounts assigned to tangible and identifiable intangible assets acquired less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liabilities assumed. We intend to perform impairment tests of goodwill and intangible assets with an indefinite useful life, on an annual basis in the fourth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fiscal quarter, or sooner if a triggering event occurs suggesting possible impairment of the values of these assets. As of December 31, 2009, $726,000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$400,000 have been recorded as goodwill and intangible assets with an indefinite useful life, respectively. In response to changes in industry, technology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competitive circumstances we might be required to exit or dispose of the business acquired through NetStreams, Inc., which could result in an impairment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 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Our valuation allowance at June 30, 2010 is $909,000.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w:t>
      </w:r>
    </w:p>
    <w:p>
      <w:pPr>
        <w:spacing w:after="0" w:line="3"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Prior to June 30, 2005 and as permitted under the then existing FASB guidelines under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17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In December 2004, the FASB issued guidelines now contained under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ASC Topic 718 establishes standards for the accounting for 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9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4T.  CONTROLS AND PROCEDURES</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June 30, 2010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June 30, 2010 to ensure that information required to be disclosed by us in reports we file or submit under the Exchange Act is recorded, processed, summarized and reported as specified in the SEC’s rules and forms.</w:t>
      </w:r>
    </w:p>
    <w:p>
      <w:pPr>
        <w:spacing w:after="0" w:line="2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June 30, 2010 that materially affected, or that we believe is reasonably likely to materially affect, our internal control over financial reporting.</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to the status of the legal proceedings and commitments and contingencies reported in our Form 10-KT for the transition period ended December 31,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9900" w:type="dxa"/>
            <w:vAlign w:val="bottom"/>
            <w:gridSpan w:val="4"/>
          </w:tcPr>
          <w:p>
            <w:pPr>
              <w:ind w:left="40"/>
              <w:spacing w:after="0"/>
              <w:rPr>
                <w:sz w:val="20"/>
                <w:szCs w:val="20"/>
                <w:color w:val="auto"/>
              </w:rPr>
            </w:pPr>
            <w:r>
              <w:rPr>
                <w:rFonts w:ascii="Arial" w:cs="Arial" w:eastAsia="Arial" w:hAnsi="Arial"/>
                <w:sz w:val="18"/>
                <w:szCs w:val="18"/>
                <w:b w:val="1"/>
                <w:bCs w:val="1"/>
                <w:color w:val="auto"/>
              </w:rPr>
              <w:t>Title of Document</w:t>
            </w:r>
          </w:p>
        </w:tc>
      </w:tr>
      <w:tr>
        <w:trPr>
          <w:trHeight w:val="75"/>
        </w:trPr>
        <w:tc>
          <w:tcPr>
            <w:tcW w:w="13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9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r>
      <w:tr>
        <w:trPr>
          <w:trHeight w:val="243"/>
        </w:trPr>
        <w:tc>
          <w:tcPr>
            <w:tcW w:w="1300" w:type="dxa"/>
            <w:vAlign w:val="bottom"/>
            <w:shd w:val="clear" w:color="auto" w:fill="FFC080"/>
          </w:tcPr>
          <w:p>
            <w:pPr>
              <w:jc w:val="center"/>
              <w:spacing w:after="0"/>
              <w:rPr>
                <w:sz w:val="20"/>
                <w:szCs w:val="20"/>
                <w:color w:val="auto"/>
              </w:rPr>
            </w:pPr>
            <w:r>
              <w:rPr>
                <w:rFonts w:ascii="Arial" w:cs="Arial" w:eastAsia="Arial" w:hAnsi="Arial"/>
                <w:sz w:val="18"/>
                <w:szCs w:val="18"/>
                <w:color w:val="auto"/>
                <w:w w:val="85"/>
              </w:rPr>
              <w:t>31.1</w:t>
            </w:r>
          </w:p>
        </w:tc>
        <w:tc>
          <w:tcPr>
            <w:tcW w:w="220" w:type="dxa"/>
            <w:vAlign w:val="bottom"/>
            <w:shd w:val="clear" w:color="auto" w:fill="FFC080"/>
          </w:tcPr>
          <w:p>
            <w:pPr>
              <w:spacing w:after="0"/>
              <w:rPr>
                <w:sz w:val="21"/>
                <w:szCs w:val="21"/>
                <w:color w:val="auto"/>
              </w:rPr>
            </w:pPr>
          </w:p>
        </w:tc>
        <w:tc>
          <w:tcPr>
            <w:tcW w:w="880" w:type="dxa"/>
            <w:vAlign w:val="bottom"/>
            <w:shd w:val="clear" w:color="auto" w:fill="FFC080"/>
          </w:tcPr>
          <w:p>
            <w:pPr>
              <w:spacing w:after="0"/>
              <w:rPr>
                <w:sz w:val="20"/>
                <w:szCs w:val="20"/>
                <w:color w:val="auto"/>
              </w:rPr>
            </w:pPr>
            <w:r>
              <w:rPr>
                <w:rFonts w:ascii="Arial" w:cs="Arial" w:eastAsia="Arial" w:hAnsi="Arial"/>
                <w:sz w:val="18"/>
                <w:szCs w:val="18"/>
                <w:color w:val="0000EE"/>
                <w:w w:val="90"/>
              </w:rPr>
              <w:t>Section 302</w:t>
            </w:r>
          </w:p>
        </w:tc>
        <w:tc>
          <w:tcPr>
            <w:tcW w:w="9020" w:type="dxa"/>
            <w:vAlign w:val="bottom"/>
            <w:gridSpan w:val="3"/>
            <w:shd w:val="clear" w:color="auto" w:fill="FFC080"/>
          </w:tcPr>
          <w:p>
            <w:pPr>
              <w:ind w:left="20"/>
              <w:spacing w:after="0"/>
              <w:rPr>
                <w:sz w:val="20"/>
                <w:szCs w:val="20"/>
                <w:color w:val="auto"/>
              </w:rPr>
            </w:pPr>
            <w:r>
              <w:rPr>
                <w:rFonts w:ascii="Arial" w:cs="Arial" w:eastAsia="Arial" w:hAnsi="Arial"/>
                <w:sz w:val="18"/>
                <w:szCs w:val="18"/>
                <w:color w:val="0000EE"/>
              </w:rPr>
              <w:t>Certification of Chief Executive Officer</w:t>
            </w:r>
          </w:p>
        </w:tc>
      </w:tr>
      <w:tr>
        <w:trPr>
          <w:trHeight w:val="88"/>
        </w:trPr>
        <w:tc>
          <w:tcPr>
            <w:tcW w:w="1300" w:type="dxa"/>
            <w:vAlign w:val="bottom"/>
            <w:tcBorders>
              <w:top w:val="single" w:sz="8" w:color="FFC080"/>
            </w:tcBorders>
            <w:shd w:val="clear" w:color="auto" w:fill="FFC080"/>
          </w:tcPr>
          <w:p>
            <w:pPr>
              <w:spacing w:after="0"/>
              <w:rPr>
                <w:sz w:val="7"/>
                <w:szCs w:val="7"/>
                <w:color w:val="auto"/>
              </w:rPr>
            </w:pPr>
          </w:p>
        </w:tc>
        <w:tc>
          <w:tcPr>
            <w:tcW w:w="220" w:type="dxa"/>
            <w:vAlign w:val="bottom"/>
            <w:tcBorders>
              <w:top w:val="single" w:sz="8" w:color="FFC080"/>
            </w:tcBorders>
            <w:shd w:val="clear" w:color="auto" w:fill="FFC080"/>
          </w:tcPr>
          <w:p>
            <w:pPr>
              <w:spacing w:after="0"/>
              <w:rPr>
                <w:sz w:val="7"/>
                <w:szCs w:val="7"/>
                <w:color w:val="auto"/>
              </w:rPr>
            </w:pPr>
          </w:p>
        </w:tc>
        <w:tc>
          <w:tcPr>
            <w:tcW w:w="880" w:type="dxa"/>
            <w:vAlign w:val="bottom"/>
            <w:tcBorders>
              <w:top w:val="single" w:sz="8" w:color="0000EE"/>
            </w:tcBorders>
            <w:shd w:val="clear" w:color="auto" w:fill="FFC080"/>
          </w:tcPr>
          <w:p>
            <w:pPr>
              <w:spacing w:after="0"/>
              <w:rPr>
                <w:sz w:val="7"/>
                <w:szCs w:val="7"/>
                <w:color w:val="auto"/>
              </w:rPr>
            </w:pPr>
          </w:p>
        </w:tc>
        <w:tc>
          <w:tcPr>
            <w:tcW w:w="2900" w:type="dxa"/>
            <w:vAlign w:val="bottom"/>
            <w:tcBorders>
              <w:top w:val="single" w:sz="8" w:color="0000EE"/>
            </w:tcBorders>
            <w:shd w:val="clear" w:color="auto" w:fill="FFC080"/>
          </w:tcPr>
          <w:p>
            <w:pPr>
              <w:spacing w:after="0"/>
              <w:rPr>
                <w:sz w:val="7"/>
                <w:szCs w:val="7"/>
                <w:color w:val="auto"/>
              </w:rPr>
            </w:pPr>
          </w:p>
        </w:tc>
        <w:tc>
          <w:tcPr>
            <w:tcW w:w="200" w:type="dxa"/>
            <w:vAlign w:val="bottom"/>
            <w:tcBorders>
              <w:top w:val="single" w:sz="8" w:color="FFC080"/>
            </w:tcBorders>
            <w:shd w:val="clear" w:color="auto" w:fill="FFC080"/>
          </w:tcPr>
          <w:p>
            <w:pPr>
              <w:spacing w:after="0"/>
              <w:rPr>
                <w:sz w:val="7"/>
                <w:szCs w:val="7"/>
                <w:color w:val="auto"/>
              </w:rPr>
            </w:pPr>
          </w:p>
        </w:tc>
        <w:tc>
          <w:tcPr>
            <w:tcW w:w="5920" w:type="dxa"/>
            <w:vAlign w:val="bottom"/>
            <w:tcBorders>
              <w:top w:val="single" w:sz="8" w:color="FFC080"/>
            </w:tcBorders>
            <w:shd w:val="clear" w:color="auto" w:fill="FFC080"/>
          </w:tcPr>
          <w:p>
            <w:pPr>
              <w:spacing w:after="0"/>
              <w:rPr>
                <w:sz w:val="7"/>
                <w:szCs w:val="7"/>
                <w:color w:val="auto"/>
              </w:rPr>
            </w:pPr>
          </w:p>
        </w:tc>
      </w:tr>
      <w:tr>
        <w:trPr>
          <w:trHeight w:val="243"/>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EE"/>
                <w:w w:val="90"/>
              </w:rPr>
              <w:t>Section 302</w:t>
            </w:r>
          </w:p>
        </w:tc>
        <w:tc>
          <w:tcPr>
            <w:tcW w:w="9020" w:type="dxa"/>
            <w:vAlign w:val="bottom"/>
            <w:gridSpan w:val="3"/>
          </w:tcPr>
          <w:p>
            <w:pPr>
              <w:ind w:left="20"/>
              <w:spacing w:after="0"/>
              <w:rPr>
                <w:sz w:val="20"/>
                <w:szCs w:val="20"/>
                <w:color w:val="auto"/>
              </w:rPr>
            </w:pPr>
            <w:r>
              <w:rPr>
                <w:rFonts w:ascii="Arial" w:cs="Arial" w:eastAsia="Arial" w:hAnsi="Arial"/>
                <w:sz w:val="18"/>
                <w:szCs w:val="18"/>
                <w:color w:val="0000EE"/>
              </w:rPr>
              <w:t>Certification of Principal Financial Officer</w:t>
            </w:r>
          </w:p>
        </w:tc>
      </w:tr>
      <w:tr>
        <w:trPr>
          <w:trHeight w:val="88"/>
        </w:trPr>
        <w:tc>
          <w:tcPr>
            <w:tcW w:w="1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290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5920" w:type="dxa"/>
            <w:vAlign w:val="bottom"/>
          </w:tcPr>
          <w:p>
            <w:pPr>
              <w:spacing w:after="0"/>
              <w:rPr>
                <w:sz w:val="7"/>
                <w:szCs w:val="7"/>
                <w:color w:val="auto"/>
              </w:rPr>
            </w:pPr>
          </w:p>
        </w:tc>
      </w:tr>
      <w:tr>
        <w:trPr>
          <w:trHeight w:val="243"/>
        </w:trPr>
        <w:tc>
          <w:tcPr>
            <w:tcW w:w="1300" w:type="dxa"/>
            <w:vAlign w:val="bottom"/>
            <w:shd w:val="clear" w:color="auto" w:fill="FFC080"/>
          </w:tcPr>
          <w:p>
            <w:pPr>
              <w:jc w:val="center"/>
              <w:spacing w:after="0"/>
              <w:rPr>
                <w:sz w:val="20"/>
                <w:szCs w:val="20"/>
                <w:color w:val="auto"/>
              </w:rPr>
            </w:pPr>
            <w:r>
              <w:rPr>
                <w:rFonts w:ascii="Arial" w:cs="Arial" w:eastAsia="Arial" w:hAnsi="Arial"/>
                <w:sz w:val="18"/>
                <w:szCs w:val="18"/>
                <w:color w:val="auto"/>
                <w:w w:val="85"/>
              </w:rPr>
              <w:t>32.1</w:t>
            </w:r>
          </w:p>
        </w:tc>
        <w:tc>
          <w:tcPr>
            <w:tcW w:w="220" w:type="dxa"/>
            <w:vAlign w:val="bottom"/>
            <w:shd w:val="clear" w:color="auto" w:fill="FFC080"/>
          </w:tcPr>
          <w:p>
            <w:pPr>
              <w:spacing w:after="0"/>
              <w:rPr>
                <w:sz w:val="21"/>
                <w:szCs w:val="21"/>
                <w:color w:val="auto"/>
              </w:rPr>
            </w:pPr>
          </w:p>
        </w:tc>
        <w:tc>
          <w:tcPr>
            <w:tcW w:w="880" w:type="dxa"/>
            <w:vAlign w:val="bottom"/>
            <w:shd w:val="clear" w:color="auto" w:fill="FFC080"/>
          </w:tcPr>
          <w:p>
            <w:pPr>
              <w:spacing w:after="0"/>
              <w:rPr>
                <w:sz w:val="20"/>
                <w:szCs w:val="20"/>
                <w:color w:val="auto"/>
              </w:rPr>
            </w:pPr>
            <w:r>
              <w:rPr>
                <w:rFonts w:ascii="Arial" w:cs="Arial" w:eastAsia="Arial" w:hAnsi="Arial"/>
                <w:sz w:val="18"/>
                <w:szCs w:val="18"/>
                <w:color w:val="0000EE"/>
                <w:w w:val="90"/>
              </w:rPr>
              <w:t>Section 906</w:t>
            </w:r>
          </w:p>
        </w:tc>
        <w:tc>
          <w:tcPr>
            <w:tcW w:w="9020" w:type="dxa"/>
            <w:vAlign w:val="bottom"/>
            <w:gridSpan w:val="3"/>
            <w:shd w:val="clear" w:color="auto" w:fill="FFC080"/>
          </w:tcPr>
          <w:p>
            <w:pPr>
              <w:ind w:left="20"/>
              <w:spacing w:after="0"/>
              <w:rPr>
                <w:sz w:val="20"/>
                <w:szCs w:val="20"/>
                <w:color w:val="auto"/>
              </w:rPr>
            </w:pPr>
            <w:r>
              <w:rPr>
                <w:rFonts w:ascii="Arial" w:cs="Arial" w:eastAsia="Arial" w:hAnsi="Arial"/>
                <w:sz w:val="18"/>
                <w:szCs w:val="18"/>
                <w:color w:val="0000EE"/>
              </w:rPr>
              <w:t>Certification of Chief Executive Officer</w:t>
            </w:r>
          </w:p>
        </w:tc>
      </w:tr>
      <w:tr>
        <w:trPr>
          <w:trHeight w:val="88"/>
        </w:trPr>
        <w:tc>
          <w:tcPr>
            <w:tcW w:w="1300" w:type="dxa"/>
            <w:vAlign w:val="bottom"/>
            <w:tcBorders>
              <w:top w:val="single" w:sz="8" w:color="FFC080"/>
            </w:tcBorders>
            <w:shd w:val="clear" w:color="auto" w:fill="FFC080"/>
          </w:tcPr>
          <w:p>
            <w:pPr>
              <w:spacing w:after="0"/>
              <w:rPr>
                <w:sz w:val="7"/>
                <w:szCs w:val="7"/>
                <w:color w:val="auto"/>
              </w:rPr>
            </w:pPr>
          </w:p>
        </w:tc>
        <w:tc>
          <w:tcPr>
            <w:tcW w:w="220" w:type="dxa"/>
            <w:vAlign w:val="bottom"/>
            <w:tcBorders>
              <w:top w:val="single" w:sz="8" w:color="FFC080"/>
            </w:tcBorders>
            <w:shd w:val="clear" w:color="auto" w:fill="FFC080"/>
          </w:tcPr>
          <w:p>
            <w:pPr>
              <w:spacing w:after="0"/>
              <w:rPr>
                <w:sz w:val="7"/>
                <w:szCs w:val="7"/>
                <w:color w:val="auto"/>
              </w:rPr>
            </w:pPr>
          </w:p>
        </w:tc>
        <w:tc>
          <w:tcPr>
            <w:tcW w:w="880" w:type="dxa"/>
            <w:vAlign w:val="bottom"/>
            <w:tcBorders>
              <w:top w:val="single" w:sz="8" w:color="0000EE"/>
            </w:tcBorders>
            <w:shd w:val="clear" w:color="auto" w:fill="FFC080"/>
          </w:tcPr>
          <w:p>
            <w:pPr>
              <w:spacing w:after="0"/>
              <w:rPr>
                <w:sz w:val="7"/>
                <w:szCs w:val="7"/>
                <w:color w:val="auto"/>
              </w:rPr>
            </w:pPr>
          </w:p>
        </w:tc>
        <w:tc>
          <w:tcPr>
            <w:tcW w:w="2900" w:type="dxa"/>
            <w:vAlign w:val="bottom"/>
            <w:tcBorders>
              <w:top w:val="single" w:sz="8" w:color="0000EE"/>
            </w:tcBorders>
            <w:shd w:val="clear" w:color="auto" w:fill="FFC080"/>
          </w:tcPr>
          <w:p>
            <w:pPr>
              <w:spacing w:after="0"/>
              <w:rPr>
                <w:sz w:val="7"/>
                <w:szCs w:val="7"/>
                <w:color w:val="auto"/>
              </w:rPr>
            </w:pPr>
          </w:p>
        </w:tc>
        <w:tc>
          <w:tcPr>
            <w:tcW w:w="200" w:type="dxa"/>
            <w:vAlign w:val="bottom"/>
            <w:tcBorders>
              <w:top w:val="single" w:sz="8" w:color="FFC080"/>
            </w:tcBorders>
            <w:shd w:val="clear" w:color="auto" w:fill="FFC080"/>
          </w:tcPr>
          <w:p>
            <w:pPr>
              <w:spacing w:after="0"/>
              <w:rPr>
                <w:sz w:val="7"/>
                <w:szCs w:val="7"/>
                <w:color w:val="auto"/>
              </w:rPr>
            </w:pPr>
          </w:p>
        </w:tc>
        <w:tc>
          <w:tcPr>
            <w:tcW w:w="5920" w:type="dxa"/>
            <w:vAlign w:val="bottom"/>
            <w:tcBorders>
              <w:top w:val="single" w:sz="8" w:color="FFC080"/>
            </w:tcBorders>
            <w:shd w:val="clear" w:color="auto" w:fill="FFC080"/>
          </w:tcPr>
          <w:p>
            <w:pPr>
              <w:spacing w:after="0"/>
              <w:rPr>
                <w:sz w:val="7"/>
                <w:szCs w:val="7"/>
                <w:color w:val="auto"/>
              </w:rPr>
            </w:pPr>
          </w:p>
        </w:tc>
      </w:tr>
      <w:tr>
        <w:trPr>
          <w:trHeight w:val="243"/>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220" w:type="dxa"/>
            <w:vAlign w:val="bottom"/>
          </w:tcPr>
          <w:p>
            <w:pPr>
              <w:spacing w:after="0"/>
              <w:rPr>
                <w:sz w:val="21"/>
                <w:szCs w:val="21"/>
                <w:color w:val="auto"/>
              </w:rPr>
            </w:pPr>
          </w:p>
        </w:tc>
        <w:tc>
          <w:tcPr>
            <w:tcW w:w="8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Section 906</w:t>
            </w:r>
          </w:p>
        </w:tc>
        <w:tc>
          <w:tcPr>
            <w:tcW w:w="3100" w:type="dxa"/>
            <w:vAlign w:val="bottom"/>
            <w:tcBorders>
              <w:bottom w:val="single" w:sz="8" w:color="0000EE"/>
            </w:tcBorders>
            <w:gridSpan w:val="2"/>
          </w:tcPr>
          <w:p>
            <w:pPr>
              <w:ind w:left="20"/>
              <w:spacing w:after="0"/>
              <w:rPr>
                <w:sz w:val="20"/>
                <w:szCs w:val="20"/>
                <w:color w:val="auto"/>
              </w:rPr>
            </w:pPr>
            <w:r>
              <w:rPr>
                <w:rFonts w:ascii="Arial" w:cs="Arial" w:eastAsia="Arial" w:hAnsi="Arial"/>
                <w:sz w:val="18"/>
                <w:szCs w:val="18"/>
                <w:color w:val="0000EE"/>
                <w:w w:val="94"/>
              </w:rPr>
              <w:t>Certification of Principal Financial Officer</w:t>
            </w:r>
          </w:p>
        </w:tc>
        <w:tc>
          <w:tcPr>
            <w:tcW w:w="59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4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ClearOne Communications, Inc., a Utah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480" w:val="left"/>
          <w:tab w:leader="none" w:pos="6180" w:val="left"/>
        </w:tabs>
        <w:rPr>
          <w:sz w:val="20"/>
          <w:szCs w:val="20"/>
          <w:color w:val="auto"/>
        </w:rPr>
      </w:pPr>
      <w:r>
        <w:rPr>
          <w:rFonts w:ascii="Arial" w:cs="Arial" w:eastAsia="Arial" w:hAnsi="Arial"/>
          <w:sz w:val="18"/>
          <w:szCs w:val="18"/>
          <w:color w:val="auto"/>
        </w:rPr>
        <w:t>August 12,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3310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-130175</wp:posOffset>
            </wp:positionV>
            <wp:extent cx="3310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480" w:val="left"/>
          <w:tab w:leader="none" w:pos="6180" w:val="left"/>
        </w:tabs>
        <w:rPr>
          <w:sz w:val="20"/>
          <w:szCs w:val="20"/>
          <w:color w:val="auto"/>
        </w:rPr>
      </w:pPr>
      <w:r>
        <w:rPr>
          <w:rFonts w:ascii="Arial" w:cs="Arial" w:eastAsia="Arial" w:hAnsi="Arial"/>
          <w:sz w:val="18"/>
          <w:szCs w:val="18"/>
          <w:color w:val="auto"/>
        </w:rPr>
        <w:t>August 12,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3310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-130175</wp:posOffset>
            </wp:positionV>
            <wp:extent cx="3310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00"/>
          </w:cols>
          <w:pgMar w:left="240" w:top="126" w:right="10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52"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960" w:right="240" w:hanging="479"/>
        <w:spacing w:after="0" w:line="264"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60" w:right="560" w:hanging="479"/>
        <w:spacing w:after="0" w:line="264"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60" w:right="720" w:hanging="479"/>
        <w:spacing w:after="0" w:line="342" w:lineRule="auto"/>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60" w:right="240" w:hanging="479"/>
        <w:spacing w:after="0" w:line="264"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60" w:right="140" w:hanging="479"/>
        <w:spacing w:after="0" w:line="277"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60" w:right="100" w:hanging="479"/>
        <w:spacing w:after="0" w:line="277"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180" w:val="left"/>
          <w:tab w:leader="none" w:pos="7940" w:val="left"/>
        </w:tabs>
        <w:rPr>
          <w:sz w:val="20"/>
          <w:szCs w:val="20"/>
          <w:color w:val="auto"/>
        </w:rPr>
      </w:pPr>
      <w:r>
        <w:rPr>
          <w:rFonts w:ascii="Arial" w:cs="Arial" w:eastAsia="Arial" w:hAnsi="Arial"/>
          <w:sz w:val="18"/>
          <w:szCs w:val="18"/>
          <w:color w:val="auto"/>
        </w:rPr>
        <w:t>Date: August 12,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14605</wp:posOffset>
            </wp:positionV>
            <wp:extent cx="19983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4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-130175</wp:posOffset>
            </wp:positionV>
            <wp:extent cx="19983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5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52"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960" w:right="240" w:hanging="479"/>
        <w:spacing w:after="0" w:line="264"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60" w:right="560" w:hanging="479"/>
        <w:spacing w:after="0" w:line="264"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60" w:right="720" w:hanging="479"/>
        <w:spacing w:after="0" w:line="342" w:lineRule="auto"/>
        <w:tabs>
          <w:tab w:leader="none" w:pos="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60" w:right="240" w:hanging="479"/>
        <w:spacing w:after="0" w:line="264"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60" w:right="140" w:hanging="479"/>
        <w:spacing w:after="0" w:line="277"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60" w:right="100" w:hanging="479"/>
        <w:spacing w:after="0" w:line="277"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800" w:val="left"/>
          <w:tab w:leader="none" w:pos="8380" w:val="left"/>
        </w:tabs>
        <w:rPr>
          <w:sz w:val="20"/>
          <w:szCs w:val="20"/>
          <w:color w:val="auto"/>
        </w:rPr>
      </w:pPr>
      <w:r>
        <w:rPr>
          <w:rFonts w:ascii="Arial" w:cs="Arial" w:eastAsia="Arial" w:hAnsi="Arial"/>
          <w:sz w:val="18"/>
          <w:szCs w:val="18"/>
          <w:color w:val="auto"/>
        </w:rPr>
        <w:t>Date: August 12,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14605</wp:posOffset>
            </wp:positionV>
            <wp:extent cx="17411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4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-130175</wp:posOffset>
            </wp:positionV>
            <wp:extent cx="1741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 Zeynep Hakimoglu, certify, to my best knowledge and belief, pursuant to 18 U.S.C. Section 1350, as adopted pursuant to Section 906 of the Sarbanes-Oxley Act of 2002, that the Quarterly Report of ClearOne Communications, Inc. on Form 10-Q for the quarter ended June 30, 2010,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7360" w:val="left"/>
          <w:tab w:leader="none" w:pos="7920" w:val="left"/>
        </w:tabs>
        <w:rPr>
          <w:sz w:val="20"/>
          <w:szCs w:val="20"/>
          <w:color w:val="auto"/>
        </w:rPr>
      </w:pPr>
      <w:r>
        <w:rPr>
          <w:rFonts w:ascii="Arial" w:cs="Arial" w:eastAsia="Arial" w:hAnsi="Arial"/>
          <w:sz w:val="18"/>
          <w:szCs w:val="18"/>
          <w:color w:val="auto"/>
        </w:rPr>
        <w:t>Date: August 12,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14605</wp:posOffset>
            </wp:positionV>
            <wp:extent cx="2023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-130175</wp:posOffset>
            </wp:positionV>
            <wp:extent cx="20237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 Narsi Narayanan, certify, to my best knowledge and belief, pursuant to 18 U.S.C. Section 1350, as adopted pursuant to Section 906 of the Sarbanes-Oxley Act of 2002, that the Quarterly Report of ClearOne Communications, Inc. on Form 10-Q for the quarter ended June 30, 2010,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7220" w:val="left"/>
          <w:tab w:leader="none" w:pos="7780" w:val="left"/>
        </w:tabs>
        <w:rPr>
          <w:sz w:val="20"/>
          <w:szCs w:val="20"/>
          <w:color w:val="auto"/>
        </w:rPr>
      </w:pPr>
      <w:r>
        <w:rPr>
          <w:rFonts w:ascii="Arial" w:cs="Arial" w:eastAsia="Arial" w:hAnsi="Arial"/>
          <w:sz w:val="18"/>
          <w:szCs w:val="18"/>
          <w:color w:val="auto"/>
        </w:rPr>
        <w:t>Date: August 12,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14605</wp:posOffset>
            </wp:positionV>
            <wp:extent cx="22040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4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-130175</wp:posOffset>
            </wp:positionV>
            <wp:extent cx="22040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2019-12-10T09:06:11Z</dcterms:created>
  <dcterms:modified xsi:type="dcterms:W3CDTF">2019-12-10T09:06:11Z</dcterms:modified>
</cp:coreProperties>
</file>