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April 8, 2002</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4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45" w:orient="portrait"/>
          <w:cols w:equalWidth="0" w:num="3">
            <w:col w:w="3280" w:space="300"/>
            <w:col w:w="1600" w:space="720"/>
            <w:col w:w="4319"/>
          </w:cols>
          <w:pgMar w:left="240" w:top="244" w:right="1440" w:bottom="0" w:gutter="0" w:footer="0" w:header="0"/>
          <w:type w:val="continuous"/>
        </w:sect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Amendment to Share Purchase Agreement between Registrant and the Former Shareholders of Ivron Systems, Ltd.</w:t>
      </w: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ClearOne Communications, Inc. has entered into an amendment to the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original Share Purchase Agreement between ClearOne and the shareholders of Ivron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Systems, Ltd. Under the original agreement, on October 3, 2001, ClearOne,</w:t>
      </w:r>
    </w:p>
    <w:p>
      <w:pPr>
        <w:spacing w:after="0" w:line="238" w:lineRule="auto"/>
        <w:rPr>
          <w:sz w:val="20"/>
          <w:szCs w:val="20"/>
          <w:color w:val="auto"/>
        </w:rPr>
      </w:pPr>
      <w:r>
        <w:rPr>
          <w:rFonts w:ascii="Courier New" w:cs="Courier New" w:eastAsia="Courier New" w:hAnsi="Courier New"/>
          <w:sz w:val="18"/>
          <w:szCs w:val="18"/>
          <w:color w:val="auto"/>
        </w:rPr>
        <w:t>through its wholly owned subsidiary, Gentner Ventures, Inc., purchased all of</w:t>
      </w:r>
    </w:p>
    <w:p>
      <w:pPr>
        <w:spacing w:after="0"/>
        <w:rPr>
          <w:sz w:val="20"/>
          <w:szCs w:val="20"/>
          <w:color w:val="auto"/>
        </w:rPr>
      </w:pPr>
      <w:r>
        <w:rPr>
          <w:rFonts w:ascii="Courier New" w:cs="Courier New" w:eastAsia="Courier New" w:hAnsi="Courier New"/>
          <w:sz w:val="18"/>
          <w:szCs w:val="18"/>
          <w:color w:val="auto"/>
        </w:rPr>
        <w:t>the issued and outstanding shares of Ivron Systems. Under the original Share</w:t>
      </w:r>
    </w:p>
    <w:p>
      <w:pPr>
        <w:spacing w:after="0" w:line="237" w:lineRule="auto"/>
        <w:rPr>
          <w:sz w:val="20"/>
          <w:szCs w:val="20"/>
          <w:color w:val="auto"/>
        </w:rPr>
      </w:pPr>
      <w:r>
        <w:rPr>
          <w:rFonts w:ascii="Courier New" w:cs="Courier New" w:eastAsia="Courier New" w:hAnsi="Courier New"/>
          <w:sz w:val="18"/>
          <w:szCs w:val="18"/>
          <w:color w:val="auto"/>
        </w:rPr>
        <w:t>Purchase Agreement, the shareholders of Ivron received approximately</w:t>
      </w:r>
    </w:p>
    <w:p>
      <w:pPr>
        <w:spacing w:after="0" w:line="238" w:lineRule="auto"/>
        <w:rPr>
          <w:sz w:val="20"/>
          <w:szCs w:val="20"/>
          <w:color w:val="auto"/>
        </w:rPr>
      </w:pPr>
      <w:r>
        <w:rPr>
          <w:rFonts w:ascii="Courier New" w:cs="Courier New" w:eastAsia="Courier New" w:hAnsi="Courier New"/>
          <w:sz w:val="18"/>
          <w:szCs w:val="18"/>
          <w:color w:val="auto"/>
        </w:rPr>
        <w:t>US$6,000,000 at closing of the purchase. Further, under that agreement, after</w:t>
      </w:r>
    </w:p>
    <w:p>
      <w:pPr>
        <w:spacing w:after="0"/>
        <w:rPr>
          <w:sz w:val="20"/>
          <w:szCs w:val="20"/>
          <w:color w:val="auto"/>
        </w:rPr>
      </w:pPr>
      <w:r>
        <w:rPr>
          <w:rFonts w:ascii="Courier New" w:cs="Courier New" w:eastAsia="Courier New" w:hAnsi="Courier New"/>
          <w:sz w:val="18"/>
          <w:szCs w:val="18"/>
          <w:color w:val="auto"/>
        </w:rPr>
        <w:t>June 30, 2002, each former Ivron shareholder would be entitled to receive</w:t>
      </w:r>
    </w:p>
    <w:p>
      <w:pPr>
        <w:spacing w:after="0" w:line="237" w:lineRule="auto"/>
        <w:rPr>
          <w:sz w:val="20"/>
          <w:szCs w:val="20"/>
          <w:color w:val="auto"/>
        </w:rPr>
      </w:pPr>
      <w:r>
        <w:rPr>
          <w:rFonts w:ascii="Courier New" w:cs="Courier New" w:eastAsia="Courier New" w:hAnsi="Courier New"/>
          <w:sz w:val="18"/>
          <w:szCs w:val="18"/>
          <w:color w:val="auto"/>
        </w:rPr>
        <w:t>approximately .08 shares of ClearOne's common shares for each Ivron share</w:t>
      </w:r>
    </w:p>
    <w:p>
      <w:pPr>
        <w:spacing w:after="0"/>
        <w:rPr>
          <w:sz w:val="20"/>
          <w:szCs w:val="20"/>
          <w:color w:val="auto"/>
        </w:rPr>
      </w:pPr>
      <w:r>
        <w:rPr>
          <w:rFonts w:ascii="Courier New" w:cs="Courier New" w:eastAsia="Courier New" w:hAnsi="Courier New"/>
          <w:sz w:val="18"/>
          <w:szCs w:val="18"/>
          <w:color w:val="auto"/>
        </w:rPr>
        <w:t>previously held by such shareholder, provided that certain video product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development contingencies were achieved. That represented approximately 429,000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 of ClearOne's common stock. Thereafter, for ClearOne's completed fiscal</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years 2003 and 2004, the former Ivron shareholders would be entitled to share in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up to approximately US$17,000,000 of additional cash and stock consideration</w:t>
      </w:r>
    </w:p>
    <w:p>
      <w:pPr>
        <w:spacing w:after="0" w:line="238" w:lineRule="auto"/>
        <w:rPr>
          <w:sz w:val="20"/>
          <w:szCs w:val="20"/>
          <w:color w:val="auto"/>
        </w:rPr>
      </w:pPr>
      <w:r>
        <w:rPr>
          <w:rFonts w:ascii="Courier New" w:cs="Courier New" w:eastAsia="Courier New" w:hAnsi="Courier New"/>
          <w:sz w:val="18"/>
          <w:szCs w:val="18"/>
          <w:color w:val="auto"/>
        </w:rPr>
        <w:t>provided that certain agreed upon earnings per share targets for ClearOne were</w:t>
      </w:r>
    </w:p>
    <w:p>
      <w:pPr>
        <w:spacing w:after="0"/>
        <w:rPr>
          <w:sz w:val="20"/>
          <w:szCs w:val="20"/>
          <w:color w:val="auto"/>
        </w:rPr>
      </w:pPr>
      <w:r>
        <w:rPr>
          <w:rFonts w:ascii="Courier New" w:cs="Courier New" w:eastAsia="Courier New" w:hAnsi="Courier New"/>
          <w:sz w:val="18"/>
          <w:szCs w:val="18"/>
          <w:color w:val="auto"/>
        </w:rPr>
        <w:t>achieved. As part of the purchase, all outstanding options to purchase Ivron</w:t>
      </w:r>
    </w:p>
    <w:p>
      <w:pPr>
        <w:spacing w:after="0" w:line="237" w:lineRule="auto"/>
        <w:rPr>
          <w:sz w:val="20"/>
          <w:szCs w:val="20"/>
          <w:color w:val="auto"/>
        </w:rPr>
      </w:pPr>
      <w:r>
        <w:rPr>
          <w:rFonts w:ascii="Courier New" w:cs="Courier New" w:eastAsia="Courier New" w:hAnsi="Courier New"/>
          <w:sz w:val="18"/>
          <w:szCs w:val="18"/>
          <w:color w:val="auto"/>
        </w:rPr>
        <w:t>shares were cancelled in consideration for an aggregate cash payment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US$650,000, allocated among the optionees on the basis of the number of options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originally held by each such optionee. In addition, former optionees of Ivron</w:t>
      </w:r>
    </w:p>
    <w:p>
      <w:pPr>
        <w:spacing w:after="0" w:line="238" w:lineRule="auto"/>
        <w:rPr>
          <w:sz w:val="20"/>
          <w:szCs w:val="20"/>
          <w:color w:val="auto"/>
        </w:rPr>
      </w:pPr>
      <w:r>
        <w:rPr>
          <w:rFonts w:ascii="Courier New" w:cs="Courier New" w:eastAsia="Courier New" w:hAnsi="Courier New"/>
          <w:sz w:val="18"/>
          <w:szCs w:val="18"/>
          <w:color w:val="auto"/>
        </w:rPr>
        <w:t>who remain with Ivron are eligible to participate in a cash bonus program paid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by Ivron, but based on the combined performance of ClearOne and Ivron in fiscal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years 2003 and 2004. The maximum amount payable under this bonus program is up</w:t>
      </w:r>
    </w:p>
    <w:p>
      <w:pPr>
        <w:spacing w:after="0" w:line="238" w:lineRule="auto"/>
        <w:rPr>
          <w:sz w:val="20"/>
          <w:szCs w:val="20"/>
          <w:color w:val="auto"/>
        </w:rPr>
      </w:pPr>
      <w:r>
        <w:rPr>
          <w:rFonts w:ascii="Courier New" w:cs="Courier New" w:eastAsia="Courier New" w:hAnsi="Courier New"/>
          <w:sz w:val="18"/>
          <w:szCs w:val="18"/>
          <w:color w:val="auto"/>
        </w:rPr>
        <w:t>to approximately US$1,000,000.</w:t>
      </w:r>
    </w:p>
    <w:p>
      <w:pPr>
        <w:spacing w:after="0" w:line="207" w:lineRule="exact"/>
        <w:rPr>
          <w:sz w:val="24"/>
          <w:szCs w:val="24"/>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On March 26, 2002, ClearOne entered into negotiations with the former shareholders of Ivron Systems to modify the terms of the original purchase agreement because, upon further analysis, certain aspects of the acquired technology may not meet the intended product objectives established by ClearOne in its original purchase negotiations. Originally, ClearOne expected to develop a full line of videoconferencing products, including an installed video codec product, based on the Ivron Systems V-There(TM) technology platform. Given the results of its analysis, ClearOne has now identified an opportunity to collaborate in the development of a video codec, based on other readily-available technology, specifically designed for the high-end, installed</w:t>
      </w:r>
    </w:p>
    <w:p>
      <w:pPr>
        <w:sectPr>
          <w:pgSz w:w="11900" w:h="16845" w:orient="portrait"/>
          <w:cols w:equalWidth="0" w:num="1">
            <w:col w:w="10219"/>
          </w:cols>
          <w:pgMar w:left="240" w:top="244" w:right="1440" w:bottom="0" w:gutter="0" w:footer="0" w:header="0"/>
          <w:type w:val="continuous"/>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videoconferencing market, that combines faster frames-per-second, built-in multipoint conferencing, and ClearOne's high-quality audio. The negotiations were based on the results of an analysis by ClearOne that although the Ivron platform is well-suited for the lower- to mid-priced videoconferencing products, it is not as well-suited for an installed video codec product. These negotiations resulted in an amendment to the original October 3, 2001 purchase agreement. A copy of the amendment, which was effective April 8, 2002, is attached to this form 8-K as exhibit 2.4.</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amendment eliminates the earn-out that the Ivron shareholders would have been entitled to receive after June 30, 2002 for approximately 429,000 shares and the $17 million earn-out in subsequent years. Instead, upon meeting certain gross profit targets for the "V-There", "Vu-Link" set top videoconferencing products, technologies, and variants and sub-elements thereof (including licensed products), the former Ivron Shareholders may share in an earn-out of up to 109,000 shares of common stock of ClearOne, issuable in four installments, on a quarterly basis, through July 15, 2003. Therefore, with the amendment, the total purchase price will now include the original $6.7 million in cash paid in October of 2001, the revised earn-out of up to 109,000 shares, and the original bonus to be paid in 2003 and 2004 of up to $1 million for the former option holders of Ivron.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ClearOne currently anticipates that the Dublin, Ireland operations acquired in the Ivron transaction will continue, although it is expected that existing research and development efforts and personnel there will be reduced to focus primarily on the development and enhancement of the V-ThereTM products and not on the installed video codec element.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ind w:left="540"/>
        <w:spacing w:after="0" w:line="238" w:lineRule="auto"/>
        <w:rPr>
          <w:sz w:val="20"/>
          <w:szCs w:val="20"/>
          <w:color w:val="auto"/>
        </w:rPr>
      </w:pPr>
      <w:r>
        <w:rPr>
          <w:rFonts w:ascii="Courier New" w:cs="Courier New" w:eastAsia="Courier New" w:hAnsi="Courier New"/>
          <w:sz w:val="18"/>
          <w:szCs w:val="18"/>
          <w:color w:val="auto"/>
        </w:rPr>
        <w:t>(c)</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919"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First Amendment to Share Purchase Agreement among ClearOne Communications Inc., and the former shareholders of Ivron Systems, Ltd., dated April 8, 2002.</w:t>
      </w:r>
    </w:p>
    <w:p>
      <w:pPr>
        <w:spacing w:after="0" w:line="200" w:lineRule="exact"/>
        <w:rPr>
          <w:sz w:val="20"/>
          <w:szCs w:val="20"/>
          <w:color w:val="auto"/>
        </w:rPr>
      </w:pPr>
    </w:p>
    <w:p>
      <w:pPr>
        <w:sectPr>
          <w:pgSz w:w="11900" w:h="16838" w:orient="portrait"/>
          <w:cols w:equalWidth="0" w:num="2">
            <w:col w:w="860" w:space="720"/>
            <w:col w:w="8639"/>
          </w:cols>
          <w:pgMar w:left="240" w:top="919" w:right="1440" w:bottom="1440" w:gutter="0" w:footer="0" w:header="0"/>
          <w:type w:val="continuous"/>
        </w:sectPr>
      </w:pPr>
    </w:p>
    <w:p>
      <w:pPr>
        <w:spacing w:after="0" w:line="17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CLEARONE COMMUNICATIONS, INC.</w:t>
      </w:r>
    </w:p>
    <w:p>
      <w:pPr>
        <w:ind w:left="380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/s/Randall J. Wichinski</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Its: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120"/>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24" w:lineRule="exact"/>
        <w:rPr>
          <w:sz w:val="20"/>
          <w:szCs w:val="20"/>
          <w:color w:val="auto"/>
        </w:rPr>
      </w:pPr>
    </w:p>
    <w:p>
      <w:pPr>
        <w:ind w:left="960" w:right="231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First Amendment to Share Purchase Agreement among ClearOne Communications Inc., and the former shareholders of Ivron Systems, Ltd., dated April 8, 2002</w:t>
      </w:r>
    </w:p>
    <w:p>
      <w:pPr>
        <w:sectPr>
          <w:pgSz w:w="11900" w:h="16838" w:orient="portrait"/>
          <w:cols w:equalWidth="0" w:num="1">
            <w:col w:w="10219"/>
          </w:cols>
          <w:pgMar w:left="240" w:top="919" w:right="1440" w:bottom="1440" w:gutter="0" w:footer="0" w:header="0"/>
          <w:type w:val="continuous"/>
        </w:sectPr>
      </w:pPr>
    </w:p>
    <w:bookmarkStart w:id="3" w:name="page4"/>
    <w:bookmarkEnd w:id="3"/>
    <w:p>
      <w:pPr>
        <w:spacing w:after="0" w:line="236" w:lineRule="auto"/>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2.4</w:t>
      </w:r>
    </w:p>
    <w:p>
      <w:pPr>
        <w:ind w:left="2000"/>
        <w:spacing w:after="0" w:line="238" w:lineRule="auto"/>
        <w:rPr>
          <w:sz w:val="20"/>
          <w:szCs w:val="20"/>
          <w:color w:val="auto"/>
        </w:rPr>
      </w:pPr>
      <w:r>
        <w:rPr>
          <w:rFonts w:ascii="Courier New" w:cs="Courier New" w:eastAsia="Courier New" w:hAnsi="Courier New"/>
          <w:sz w:val="18"/>
          <w:szCs w:val="18"/>
          <w:color w:val="auto"/>
        </w:rPr>
        <w:t>FIRST AMENDMENT TO SHARE PURCHASE AGREEMENT</w:t>
      </w:r>
    </w:p>
    <w:p>
      <w:pPr>
        <w:spacing w:after="0" w:line="200" w:lineRule="exact"/>
        <w:rPr>
          <w:sz w:val="20"/>
          <w:szCs w:val="20"/>
          <w:color w:val="auto"/>
        </w:rPr>
      </w:pP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First Amendment to Share Purchase Agreement (the "Amendment") is made and entered into as of the 8th day of April, 2002, by and among ClearOne Communications Inc. (formerly, Gentner Communications Corporation), a Utah corporation ("ClearOne"), Gentner Ventures, Inc., a Utah corporation ("Purchaser"), and those other persons set forth on the Signature Pages hereof (collectively, the "Sellers").</w:t>
      </w:r>
    </w:p>
    <w:p>
      <w:pPr>
        <w:spacing w:after="0" w:line="210"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WHEREAS, the parties are party to that certain Share Purchase Agreement relating to the purchase by Purchaser of all of the issued and outstanding share capital of Ivron Systems, Ltd., dated October 3, 2001 (the "Agreement");</w:t>
      </w:r>
    </w:p>
    <w:p>
      <w:pPr>
        <w:spacing w:after="0" w:line="17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WHEREAS, the parties recognize that certain of the intended benefits of the Agreement have not materialized, and have therefore agreed to the following amendments to the Agreement;</w:t>
      </w:r>
    </w:p>
    <w:p>
      <w:pPr>
        <w:spacing w:after="0" w:line="209"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NOW, THEREFORE, in consideration of the foregoing, and of other good and valuable consideration, the receipt and sufficiency of which are hereby acknowledged by each of the parties, the parties hereby agree as follows:</w:t>
      </w:r>
    </w:p>
    <w:p>
      <w:pPr>
        <w:spacing w:after="0" w:line="173" w:lineRule="exact"/>
        <w:rPr>
          <w:sz w:val="20"/>
          <w:szCs w:val="20"/>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not defined herein have the meanings set forth in the Agreement.</w:t>
      </w:r>
    </w:p>
    <w:p>
      <w:pPr>
        <w:spacing w:after="0" w:line="206" w:lineRule="exact"/>
        <w:rPr>
          <w:rFonts w:ascii="Courier New" w:cs="Courier New" w:eastAsia="Courier New" w:hAnsi="Courier New"/>
          <w:sz w:val="18"/>
          <w:szCs w:val="18"/>
          <w:color w:val="auto"/>
        </w:rPr>
      </w:pPr>
    </w:p>
    <w:p>
      <w:pPr>
        <w:ind w:left="960" w:right="219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references to Gentner or Gentner Communications Corporation are hereby changed to ClearOne, or ClearOne Communications, Inc.</w:t>
      </w:r>
    </w:p>
    <w:p>
      <w:pPr>
        <w:spacing w:after="0" w:line="208" w:lineRule="exact"/>
        <w:rPr>
          <w:rFonts w:ascii="Courier New" w:cs="Courier New" w:eastAsia="Courier New" w:hAnsi="Courier New"/>
          <w:sz w:val="18"/>
          <w:szCs w:val="18"/>
          <w:color w:val="auto"/>
        </w:rPr>
      </w:pPr>
    </w:p>
    <w:p>
      <w:pPr>
        <w:jc w:val="both"/>
        <w:ind w:left="960" w:right="1999" w:hanging="952"/>
        <w:spacing w:after="0" w:line="236"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Paragraphs (b), (c), (d), (e), (f), (g), and (h) of Clause 2.3 of the Agreement are hereby deleted in their entirety, and replaced with the following new paragraphs in Clause 2.3:</w:t>
      </w:r>
    </w:p>
    <w:p>
      <w:pPr>
        <w:spacing w:after="0" w:line="208" w:lineRule="exact"/>
        <w:rPr>
          <w:rFonts w:ascii="Courier New" w:cs="Courier New" w:eastAsia="Courier New" w:hAnsi="Courier New"/>
          <w:sz w:val="18"/>
          <w:szCs w:val="18"/>
          <w:color w:val="auto"/>
        </w:rPr>
      </w:pPr>
    </w:p>
    <w:p>
      <w:pPr>
        <w:ind w:left="960" w:right="1879" w:hanging="4"/>
        <w:spacing w:after="0" w:line="237" w:lineRule="auto"/>
        <w:tabs>
          <w:tab w:leader="none" w:pos="1381"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when the conditions set forth in the succeeding paragraphs of this clause 2.3(b) have been met, then promptly thereafter the Purchaser will deliver to the Seller an aggregate of up to 109,000 shares (the "Periodic Shares") of ClearOne's common stock (as may be adjusted for any split, combination, subdivision, or any other similar adjustment after the date hereof) which shares will be issued to the Sellers on the basis set forth in the "Amended Shareholder Matrix", to be separately delivered to the Purchaser within five (5) days of the date of execution of this Amendment.</w:t>
      </w:r>
    </w:p>
    <w:p>
      <w:pPr>
        <w:spacing w:after="0" w:line="213" w:lineRule="exact"/>
        <w:rPr>
          <w:rFonts w:ascii="Courier New" w:cs="Courier New" w:eastAsia="Courier New" w:hAnsi="Courier New"/>
          <w:sz w:val="18"/>
          <w:szCs w:val="18"/>
          <w:color w:val="auto"/>
        </w:rPr>
      </w:pPr>
    </w:p>
    <w:p>
      <w:pPr>
        <w:ind w:left="960" w:right="1779" w:hanging="4"/>
        <w:spacing w:after="0" w:line="270" w:lineRule="auto"/>
        <w:tabs>
          <w:tab w:leader="none" w:pos="138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gross profits (the "Profit Targets") set forth below are achieved by ClearOne computed from March 15, 2002 and prior to or by the dates set forth below (each, a "Target Date") for sales of its "V-There"/"Vu-Link" set-top videoconferencing products, technologies, and variants and sub-elements thereof (including license products) (collectively, the "Product"), then the Sellers shall be entitled to receive the number of the Shares adjacent to a Target Date (the "Periodic Shares"), allocated in accordance with the Amended Shareholder Matrix. ClearOne hereby agrees that it shall deliver within fifteen (15) days following each Target Date (and within fifteen days of the end of each subsequent calendar quarter pursuant to Clause (d)(1), below) a statement showing the actual profits from the sale of Product during the preceding period (or calendar quarter, as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right="2739"/>
        <w:spacing w:after="0" w:line="235" w:lineRule="auto"/>
        <w:rPr>
          <w:sz w:val="20"/>
          <w:szCs w:val="20"/>
          <w:color w:val="auto"/>
        </w:rPr>
      </w:pPr>
      <w:r>
        <w:rPr>
          <w:rFonts w:ascii="Courier New" w:cs="Courier New" w:eastAsia="Courier New" w:hAnsi="Courier New"/>
          <w:sz w:val="18"/>
          <w:szCs w:val="18"/>
          <w:color w:val="auto"/>
        </w:rPr>
        <w:t>applicable). The parties agree that Purchaser may deliver such statement to Michael Peirce on behalf of all Sellers.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2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Target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Periodic Shares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Profit Targets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 Sales for Period</w:t>
      </w:r>
    </w:p>
    <w:p>
      <w:pPr>
        <w:spacing w:after="0" w:line="200" w:lineRule="exact"/>
        <w:rPr>
          <w:sz w:val="20"/>
          <w:szCs w:val="20"/>
          <w:color w:val="auto"/>
        </w:rPr>
      </w:pPr>
    </w:p>
    <w:p>
      <w:pPr>
        <w:sectPr>
          <w:pgSz w:w="11900" w:h="16838" w:orient="portrait"/>
          <w:cols w:equalWidth="0" w:num="3">
            <w:col w:w="2860" w:space="720"/>
            <w:col w:w="1600" w:space="720"/>
            <w:col w:w="4319"/>
          </w:cols>
          <w:pgMar w:left="240" w:top="136" w:right="1440" w:bottom="0" w:gutter="0" w:footer="0" w:header="0"/>
          <w:type w:val="continuous"/>
        </w:sectPr>
      </w:pP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March 15, 2002 through: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July 31, 2002</w:t>
            </w:r>
          </w:p>
        </w:tc>
        <w:tc>
          <w:tcPr>
            <w:tcW w:w="258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27,250</w:t>
            </w:r>
          </w:p>
        </w:tc>
        <w:tc>
          <w:tcPr>
            <w:tcW w:w="2380" w:type="dxa"/>
            <w:vAlign w:val="bottom"/>
          </w:tcPr>
          <w:p>
            <w:pPr>
              <w:ind w:left="1100"/>
              <w:spacing w:after="0"/>
              <w:rPr>
                <w:sz w:val="20"/>
                <w:szCs w:val="20"/>
                <w:color w:val="auto"/>
              </w:rPr>
            </w:pPr>
            <w:r>
              <w:rPr>
                <w:rFonts w:ascii="Courier New" w:cs="Courier New" w:eastAsia="Courier New" w:hAnsi="Courier New"/>
                <w:sz w:val="18"/>
                <w:szCs w:val="18"/>
                <w:color w:val="auto"/>
                <w:w w:val="97"/>
              </w:rPr>
              <w:t>US$1,687,500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January 15, 2003</w:t>
            </w:r>
          </w:p>
        </w:tc>
        <w:tc>
          <w:tcPr>
            <w:tcW w:w="2420" w:type="dxa"/>
            <w:vAlign w:val="bottom"/>
            <w:gridSpan w:val="2"/>
          </w:tcPr>
          <w:p>
            <w:pPr>
              <w:jc w:val="right"/>
              <w:ind w:right="1012"/>
              <w:spacing w:after="0"/>
              <w:rPr>
                <w:sz w:val="20"/>
                <w:szCs w:val="20"/>
                <w:color w:val="auto"/>
              </w:rPr>
            </w:pPr>
            <w:r>
              <w:rPr>
                <w:rFonts w:ascii="Courier New" w:cs="Courier New" w:eastAsia="Courier New" w:hAnsi="Courier New"/>
                <w:sz w:val="18"/>
                <w:szCs w:val="18"/>
                <w:color w:val="auto"/>
              </w:rPr>
              <w:t>27,250</w:t>
            </w:r>
          </w:p>
        </w:tc>
        <w:tc>
          <w:tcPr>
            <w:tcW w:w="384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US$3,375,000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April 15, 2003</w:t>
            </w:r>
          </w:p>
        </w:tc>
        <w:tc>
          <w:tcPr>
            <w:tcW w:w="2420" w:type="dxa"/>
            <w:vAlign w:val="bottom"/>
            <w:gridSpan w:val="2"/>
          </w:tcPr>
          <w:p>
            <w:pPr>
              <w:jc w:val="right"/>
              <w:ind w:right="1012"/>
              <w:spacing w:after="0" w:line="203" w:lineRule="exact"/>
              <w:rPr>
                <w:sz w:val="20"/>
                <w:szCs w:val="20"/>
                <w:color w:val="auto"/>
              </w:rPr>
            </w:pPr>
            <w:r>
              <w:rPr>
                <w:rFonts w:ascii="Courier New" w:cs="Courier New" w:eastAsia="Courier New" w:hAnsi="Courier New"/>
                <w:sz w:val="18"/>
                <w:szCs w:val="18"/>
                <w:color w:val="auto"/>
              </w:rPr>
              <w:t>27,250</w:t>
            </w:r>
          </w:p>
        </w:tc>
        <w:tc>
          <w:tcPr>
            <w:tcW w:w="38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US$5,062,500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July 15, 2003</w:t>
            </w:r>
          </w:p>
        </w:tc>
        <w:tc>
          <w:tcPr>
            <w:tcW w:w="2420" w:type="dxa"/>
            <w:vAlign w:val="bottom"/>
            <w:gridSpan w:val="2"/>
          </w:tcPr>
          <w:p>
            <w:pPr>
              <w:jc w:val="right"/>
              <w:ind w:right="1012"/>
              <w:spacing w:after="0" w:line="203" w:lineRule="exact"/>
              <w:rPr>
                <w:sz w:val="20"/>
                <w:szCs w:val="20"/>
                <w:color w:val="auto"/>
              </w:rPr>
            </w:pPr>
            <w:r>
              <w:rPr>
                <w:rFonts w:ascii="Courier New" w:cs="Courier New" w:eastAsia="Courier New" w:hAnsi="Courier New"/>
                <w:sz w:val="18"/>
                <w:szCs w:val="18"/>
                <w:color w:val="auto"/>
              </w:rPr>
              <w:t>27,250</w:t>
            </w:r>
          </w:p>
        </w:tc>
        <w:tc>
          <w:tcPr>
            <w:tcW w:w="38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US$6,750,000</w:t>
            </w:r>
          </w:p>
        </w:tc>
      </w:tr>
    </w:tbl>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8"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conditions shall apply to the issuance of Shares:</w:t>
      </w:r>
    </w:p>
    <w:p>
      <w:pPr>
        <w:spacing w:after="0" w:line="206" w:lineRule="exact"/>
        <w:rPr>
          <w:rFonts w:ascii="Courier New" w:cs="Courier New" w:eastAsia="Courier New" w:hAnsi="Courier New"/>
          <w:sz w:val="18"/>
          <w:szCs w:val="18"/>
          <w:color w:val="auto"/>
        </w:rPr>
      </w:pPr>
    </w:p>
    <w:p>
      <w:pPr>
        <w:ind w:left="2220" w:right="1879" w:hanging="737"/>
        <w:spacing w:after="0" w:line="290" w:lineRule="auto"/>
        <w:tabs>
          <w:tab w:leader="none" w:pos="2220" w:val="left"/>
        </w:tabs>
        <w:numPr>
          <w:ilvl w:val="2"/>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ClearOne exceeds Profit Targets by or prior to a Target Date, no additional Periodic Shares will</w:t>
      </w:r>
    </w:p>
    <w:p>
      <w:pPr>
        <w:sectPr>
          <w:pgSz w:w="11900" w:h="16838" w:orient="portrait"/>
          <w:cols w:equalWidth="0" w:num="1">
            <w:col w:w="10219"/>
          </w:cols>
          <w:pgMar w:left="240" w:top="136" w:right="1440" w:bottom="0" w:gutter="0" w:footer="0" w:header="0"/>
          <w:type w:val="continuous"/>
        </w:sectPr>
      </w:pPr>
    </w:p>
    <w:bookmarkStart w:id="5" w:name="page6"/>
    <w:bookmarkEnd w:id="5"/>
    <w:p>
      <w:pPr>
        <w:ind w:left="1264" w:right="1779"/>
        <w:spacing w:after="0" w:line="269" w:lineRule="auto"/>
        <w:rPr>
          <w:sz w:val="20"/>
          <w:szCs w:val="20"/>
          <w:color w:val="auto"/>
        </w:rPr>
      </w:pPr>
      <w:r>
        <w:rPr>
          <w:rFonts w:ascii="Courier New" w:cs="Courier New" w:eastAsia="Courier New" w:hAnsi="Courier New"/>
          <w:sz w:val="16"/>
          <w:szCs w:val="16"/>
          <w:color w:val="auto"/>
        </w:rPr>
        <w:t>be issued for exceeding such Profit Targets by or prior to a Target Date (i.e. if by July 31, 2002, US$3,000,000 in Profit Targets is achieved, 27,250 Periodic Shares will be issued as set forth in subsection (ii), below. However, the gross profits amounts in excess of the Profit Targets for July 15, 2002 will be applied to achieving the Profit Targets for succeeding Target Dates. Consistent with the preceding sentences of this subsection, the parties agree that the Profit Targets are aggregate targets such that the amount applied in reaching a Profit Targets is also credited towards the next Profit Targets. For example, amounts applied in achieving the Profits Target for July 31, 2002 (e.g. US$1,687,500) will be counted towards the Targets for January 15, 2003 (e.g. US$3,375,000), and towards each successive Profit Target, thereafter. In addition, if all Periodic Shares are not issued by July 15, 2003, but prior to June 30, 2005, then the parties shall measure within fifteen (15) days following the end of each calendar quarter, Profit Targets. If, during the preceding calendar quarter, Profit Targets are achieved, then corresponding Periodic Shares will be issued as set forth above. Any Shares that are unissued as of June 30, 2005 will not, thereafter, be issued to the Sellers;</w:t>
      </w:r>
    </w:p>
    <w:p>
      <w:pPr>
        <w:spacing w:after="0" w:line="200" w:lineRule="exact"/>
        <w:rPr>
          <w:sz w:val="20"/>
          <w:szCs w:val="20"/>
          <w:color w:val="auto"/>
        </w:rPr>
      </w:pPr>
    </w:p>
    <w:p>
      <w:pPr>
        <w:spacing w:after="0" w:line="396" w:lineRule="exact"/>
        <w:rPr>
          <w:sz w:val="20"/>
          <w:szCs w:val="20"/>
          <w:color w:val="auto"/>
        </w:rPr>
      </w:pPr>
    </w:p>
    <w:p>
      <w:pPr>
        <w:ind w:left="1264" w:right="1879" w:hanging="737"/>
        <w:spacing w:after="0" w:line="236" w:lineRule="auto"/>
        <w:tabs>
          <w:tab w:leader="none" w:pos="126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Periodic Shares will be issued within thirty (30) days of each Target Date, assuming that Profit Targets are achieved; and</w:t>
      </w:r>
    </w:p>
    <w:p>
      <w:pPr>
        <w:spacing w:after="0" w:line="208" w:lineRule="exact"/>
        <w:rPr>
          <w:rFonts w:ascii="Courier New" w:cs="Courier New" w:eastAsia="Courier New" w:hAnsi="Courier New"/>
          <w:sz w:val="18"/>
          <w:szCs w:val="18"/>
          <w:color w:val="auto"/>
        </w:rPr>
      </w:pPr>
    </w:p>
    <w:p>
      <w:pPr>
        <w:ind w:left="1264" w:right="1779" w:hanging="737"/>
        <w:spacing w:after="0" w:line="237" w:lineRule="auto"/>
        <w:tabs>
          <w:tab w:leader="none" w:pos="126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hereof, "Target Gross Profits" shall mean Product revenues minus Product costs of goods sold, as such terms are contemplated in U.S. generally accepted accounting principles.</w:t>
      </w:r>
    </w:p>
    <w:p>
      <w:pPr>
        <w:spacing w:after="0" w:line="207" w:lineRule="exact"/>
        <w:rPr>
          <w:rFonts w:ascii="Courier New" w:cs="Courier New" w:eastAsia="Courier New" w:hAnsi="Courier New"/>
          <w:sz w:val="18"/>
          <w:szCs w:val="18"/>
          <w:color w:val="auto"/>
        </w:rPr>
      </w:pPr>
    </w:p>
    <w:p>
      <w:pPr>
        <w:ind w:left="524" w:right="2739" w:hanging="524"/>
        <w:spacing w:after="0" w:line="290" w:lineRule="auto"/>
        <w:tabs>
          <w:tab w:leader="none" w:pos="52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ClearOne hereby covenants and agrees that it will use all commercially reasonable efforts to sell the Products.</w:t>
      </w:r>
    </w:p>
    <w:p>
      <w:pPr>
        <w:spacing w:after="0" w:line="169" w:lineRule="exact"/>
        <w:rPr>
          <w:rFonts w:ascii="Courier New" w:cs="Courier New" w:eastAsia="Courier New" w:hAnsi="Courier New"/>
          <w:sz w:val="16"/>
          <w:szCs w:val="16"/>
          <w:color w:val="auto"/>
        </w:rPr>
      </w:pPr>
    </w:p>
    <w:p>
      <w:pPr>
        <w:ind w:left="524" w:right="1779" w:hanging="524"/>
        <w:spacing w:after="0" w:line="275" w:lineRule="auto"/>
        <w:tabs>
          <w:tab w:leader="none" w:pos="52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following their issuance, the Periodic Shares will be registered for resale at the expense of ClearOne on an applicable registration form selected by ClearOne, under the Securities Act of 1933 (currently contemplated to be Form S-3).</w:t>
      </w:r>
    </w:p>
    <w:p>
      <w:pPr>
        <w:sectPr>
          <w:pgSz w:w="11900" w:h="16838" w:orient="portrait"/>
          <w:cols w:equalWidth="0" w:num="1">
            <w:col w:w="9263"/>
          </w:cols>
          <w:pgMar w:left="1196" w:top="142" w:right="1440" w:bottom="1440" w:gutter="0" w:footer="0" w:header="0"/>
        </w:sectPr>
      </w:pPr>
    </w:p>
    <w:bookmarkStart w:id="6" w:name="page7"/>
    <w:bookmarkEnd w:id="6"/>
    <w:p>
      <w:pPr>
        <w:ind w:left="1472" w:right="1779" w:hanging="524"/>
        <w:spacing w:after="0" w:line="237" w:lineRule="auto"/>
        <w:tabs>
          <w:tab w:leader="none" w:pos="147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number of Periodic Shares may be withheld by ClearOne for purposes of the payment of any taxes which may be assessed by any taxing authorities against ClearOne or the Purchaser, or other affiliated company, in connection with the payment of the Periodic Shares. The parties agree that each share will be deemed to have a value equal to the greater of (i) $12, or (ii) the closing price for ClearOne common stock on the last trading date prior the issuance of any Periodic Shares.</w:t>
      </w:r>
    </w:p>
    <w:p>
      <w:pPr>
        <w:spacing w:after="0" w:line="206"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5.4(a) is amended to read as follows, and renumbered as Clause</w:t>
      </w:r>
    </w:p>
    <w:p>
      <w:pPr>
        <w:ind w:left="9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w:t>
      </w:r>
    </w:p>
    <w:p>
      <w:pPr>
        <w:spacing w:after="0" w:line="207" w:lineRule="exact"/>
        <w:rPr>
          <w:rFonts w:ascii="Courier New" w:cs="Courier New" w:eastAsia="Courier New" w:hAnsi="Courier New"/>
          <w:sz w:val="18"/>
          <w:szCs w:val="18"/>
          <w:color w:val="auto"/>
        </w:rPr>
      </w:pPr>
    </w:p>
    <w:p>
      <w:pPr>
        <w:ind w:left="952"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Shares will be issued in a private placement pursuant to Section 4(2) of the Securities Act of 1933 to the Sellers. As soon as practicable following the issuance of the Shares, such shares will be registered for resale on an applicable registration form, under the Securities Act of 1933, currently contemplated to be Form S-3.</w:t>
      </w:r>
    </w:p>
    <w:p>
      <w:pPr>
        <w:spacing w:after="0" w:line="178"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5.4(b) is deleted in its entirety.</w:t>
      </w:r>
    </w:p>
    <w:p>
      <w:pPr>
        <w:spacing w:after="0" w:line="206" w:lineRule="exact"/>
        <w:rPr>
          <w:rFonts w:ascii="Courier New" w:cs="Courier New" w:eastAsia="Courier New" w:hAnsi="Courier New"/>
          <w:sz w:val="18"/>
          <w:szCs w:val="18"/>
          <w:color w:val="auto"/>
        </w:rPr>
      </w:pPr>
    </w:p>
    <w:p>
      <w:pPr>
        <w:ind w:left="952" w:right="1999" w:hanging="952"/>
        <w:spacing w:after="0" w:line="235" w:lineRule="auto"/>
        <w:tabs>
          <w:tab w:leader="none" w:pos="9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"July Shares" appearing in the Agreement are amended by replacing each such reference with "Periodic Shares".</w:t>
      </w:r>
    </w:p>
    <w:p>
      <w:pPr>
        <w:spacing w:after="0" w:line="208" w:lineRule="exact"/>
        <w:rPr>
          <w:rFonts w:ascii="Courier New" w:cs="Courier New" w:eastAsia="Courier New" w:hAnsi="Courier New"/>
          <w:sz w:val="18"/>
          <w:szCs w:val="18"/>
          <w:color w:val="auto"/>
        </w:rPr>
      </w:pPr>
    </w:p>
    <w:p>
      <w:pPr>
        <w:ind w:left="952" w:right="2199" w:hanging="952"/>
        <w:spacing w:after="0" w:line="235" w:lineRule="auto"/>
        <w:tabs>
          <w:tab w:leader="none" w:pos="9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7.9 of the Agreement is deleted in its entirety and replaced with the following new Clause 7.9:</w:t>
      </w:r>
    </w:p>
    <w:p>
      <w:pPr>
        <w:spacing w:after="0" w:line="208" w:lineRule="exact"/>
        <w:rPr>
          <w:rFonts w:ascii="Courier New" w:cs="Courier New" w:eastAsia="Courier New" w:hAnsi="Courier New"/>
          <w:sz w:val="18"/>
          <w:szCs w:val="18"/>
          <w:color w:val="auto"/>
        </w:rPr>
      </w:pPr>
    </w:p>
    <w:p>
      <w:pPr>
        <w:ind w:left="95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liability of the Seller (if any) under the Warranties shall be limited to the total amount that may be paid hereunder as the Purchase Price, including any Periodic Shares (whether paid or unpaid). For purposes of this limitation, the value of such shares at the time of issuance shall be used to determine the extent of the limitation on liability.</w:t>
      </w:r>
    </w:p>
    <w:p>
      <w:pPr>
        <w:spacing w:after="0" w:line="209" w:lineRule="exact"/>
        <w:rPr>
          <w:rFonts w:ascii="Courier New" w:cs="Courier New" w:eastAsia="Courier New" w:hAnsi="Courier New"/>
          <w:sz w:val="18"/>
          <w:szCs w:val="18"/>
          <w:color w:val="auto"/>
        </w:rPr>
      </w:pPr>
    </w:p>
    <w:p>
      <w:pPr>
        <w:ind w:left="952" w:right="2199" w:hanging="952"/>
        <w:spacing w:after="0" w:line="235" w:lineRule="auto"/>
        <w:tabs>
          <w:tab w:leader="none" w:pos="9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Clauses 7.10 (a) and (b) are deleted in their entirety and replaced with the following:</w:t>
      </w:r>
    </w:p>
    <w:p>
      <w:pPr>
        <w:spacing w:after="0" w:line="208" w:lineRule="exact"/>
        <w:rPr>
          <w:rFonts w:ascii="Courier New" w:cs="Courier New" w:eastAsia="Courier New" w:hAnsi="Courier New"/>
          <w:sz w:val="18"/>
          <w:szCs w:val="18"/>
          <w:color w:val="auto"/>
        </w:rPr>
      </w:pPr>
    </w:p>
    <w:p>
      <w:pPr>
        <w:ind w:left="952" w:right="1879" w:hanging="4"/>
        <w:spacing w:after="0" w:line="237" w:lineRule="auto"/>
        <w:tabs>
          <w:tab w:leader="none" w:pos="1373"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satisfying the indemnification obligations of the Sellers set forth in Clause 13.1, Purchaser shall have the right to set-off against amounts or Periodic Shares owing pursuant to the Periodic Shares, allocated against each Shareholder in accordance with his/her/its pro-rata interest in the Periodic Shares.</w:t>
      </w:r>
    </w:p>
    <w:p>
      <w:pPr>
        <w:spacing w:after="0" w:line="208" w:lineRule="exact"/>
        <w:rPr>
          <w:rFonts w:ascii="Courier New" w:cs="Courier New" w:eastAsia="Courier New" w:hAnsi="Courier New"/>
          <w:sz w:val="18"/>
          <w:szCs w:val="18"/>
          <w:color w:val="auto"/>
        </w:rPr>
      </w:pPr>
    </w:p>
    <w:p>
      <w:pPr>
        <w:ind w:left="952" w:right="1779" w:hanging="4"/>
        <w:spacing w:after="0" w:line="238" w:lineRule="auto"/>
        <w:tabs>
          <w:tab w:leader="none" w:pos="1373"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shall have the option of recouping all or any part of any Adverse Consequences it may suffer by notifying the Sellers in writing of such Adverse Consequences (the "Set-Off Claim") stating (i) the amount of such Adverse Consequences, and (ii) the basis for such claim of Adverse Consequences in sufficient details for Sellers to evaluate the Set-Off Claim; Sellers shall have ten (10) days to evaluate and respond to Buyer's Set-Off Claim in writing. If the Sellers do not dispute Purchaser's Set-Off Claim, Purchaser shall be entitled to set off such claim against the Periodic Shares. In the event of a dispute regarding a Set-Off Claim, the parties will agree on an a mutually acceptable independent firm of chartered accountants who shall act as an expert and not an arbitrator and whose decision shall be final and binding (save in the case of manifest error). The number of Periodic Shares and shall be determined using a quotient, the numerator of which is the amount of the Set-Off Claim, and the</w:t>
      </w:r>
    </w:p>
    <w:p>
      <w:pPr>
        <w:sectPr>
          <w:pgSz w:w="11900" w:h="16838" w:orient="portrait"/>
          <w:cols w:equalWidth="0" w:num="1">
            <w:col w:w="10211"/>
          </w:cols>
          <w:pgMar w:left="248" w:top="723" w:right="1440" w:bottom="1440" w:gutter="0" w:footer="0" w:header="0"/>
        </w:sectPr>
      </w:pPr>
    </w:p>
    <w:bookmarkStart w:id="7" w:name="page8"/>
    <w:bookmarkEnd w:id="7"/>
    <w:p>
      <w:pPr>
        <w:ind w:left="952" w:right="1999"/>
        <w:spacing w:after="0" w:line="235" w:lineRule="auto"/>
        <w:rPr>
          <w:sz w:val="20"/>
          <w:szCs w:val="20"/>
          <w:color w:val="auto"/>
        </w:rPr>
      </w:pPr>
      <w:r>
        <w:rPr>
          <w:rFonts w:ascii="Courier New" w:cs="Courier New" w:eastAsia="Courier New" w:hAnsi="Courier New"/>
          <w:sz w:val="18"/>
          <w:szCs w:val="18"/>
          <w:color w:val="auto"/>
        </w:rPr>
        <w:t>denominator of which is the average closing price for the ten trading days prior to the date of the Set-Off Claim.</w:t>
      </w:r>
    </w:p>
    <w:p>
      <w:pPr>
        <w:spacing w:after="0" w:line="208" w:lineRule="exact"/>
        <w:rPr>
          <w:sz w:val="20"/>
          <w:szCs w:val="20"/>
          <w:color w:val="auto"/>
        </w:rPr>
      </w:pPr>
    </w:p>
    <w:p>
      <w:pPr>
        <w:ind w:left="952" w:right="2319" w:hanging="952"/>
        <w:spacing w:after="0" w:line="235" w:lineRule="auto"/>
        <w:tabs>
          <w:tab w:leader="none" w:pos="95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5.1 (11) is deleted in its entirety and replaced with the following:</w:t>
      </w:r>
    </w:p>
    <w:p>
      <w:pPr>
        <w:spacing w:after="0" w:line="203"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(11) Calculation of Profit Targets</w:t>
      </w:r>
    </w:p>
    <w:p>
      <w:pPr>
        <w:ind w:left="952"/>
        <w:spacing w:after="0" w:line="238" w:lineRule="auto"/>
        <w:rPr>
          <w:sz w:val="20"/>
          <w:szCs w:val="20"/>
          <w:color w:val="auto"/>
        </w:rPr>
      </w:pPr>
      <w:r>
        <w:rPr>
          <w:rFonts w:ascii="Courier New" w:cs="Courier New" w:eastAsia="Courier New" w:hAnsi="Courier New"/>
          <w:sz w:val="18"/>
          <w:szCs w:val="18"/>
          <w:color w:val="auto"/>
        </w:rPr>
        <w:t>In relation to the calculation of Profit Targets in Clause 2.3 of the</w:t>
      </w:r>
    </w:p>
    <w:p>
      <w:pPr>
        <w:ind w:left="952"/>
        <w:spacing w:after="0"/>
        <w:rPr>
          <w:sz w:val="20"/>
          <w:szCs w:val="20"/>
          <w:color w:val="auto"/>
        </w:rPr>
      </w:pPr>
      <w:r>
        <w:rPr>
          <w:rFonts w:ascii="Courier New" w:cs="Courier New" w:eastAsia="Courier New" w:hAnsi="Courier New"/>
          <w:sz w:val="18"/>
          <w:szCs w:val="18"/>
          <w:color w:val="auto"/>
        </w:rPr>
        <w:t>Agreement, ClearOne will act in good faith in accordance with U.S.</w:t>
      </w:r>
    </w:p>
    <w:p>
      <w:pPr>
        <w:ind w:left="952"/>
        <w:spacing w:after="0" w:line="237" w:lineRule="auto"/>
        <w:rPr>
          <w:sz w:val="20"/>
          <w:szCs w:val="20"/>
          <w:color w:val="auto"/>
        </w:rPr>
      </w:pPr>
      <w:r>
        <w:rPr>
          <w:rFonts w:ascii="Courier New" w:cs="Courier New" w:eastAsia="Courier New" w:hAnsi="Courier New"/>
          <w:sz w:val="18"/>
          <w:szCs w:val="18"/>
          <w:color w:val="auto"/>
        </w:rPr>
        <w:t>generally accepted accounting principles in making the calculation of</w:t>
      </w:r>
    </w:p>
    <w:p>
      <w:pPr>
        <w:ind w:left="952"/>
        <w:spacing w:after="0" w:line="238" w:lineRule="auto"/>
        <w:rPr>
          <w:sz w:val="20"/>
          <w:szCs w:val="20"/>
          <w:color w:val="auto"/>
        </w:rPr>
      </w:pPr>
      <w:r>
        <w:rPr>
          <w:rFonts w:ascii="Courier New" w:cs="Courier New" w:eastAsia="Courier New" w:hAnsi="Courier New"/>
          <w:sz w:val="18"/>
          <w:szCs w:val="18"/>
          <w:color w:val="auto"/>
        </w:rPr>
        <w:t>Targets.</w:t>
      </w:r>
    </w:p>
    <w:p>
      <w:pPr>
        <w:spacing w:after="0" w:line="200" w:lineRule="exact"/>
        <w:rPr>
          <w:sz w:val="20"/>
          <w:szCs w:val="20"/>
          <w:color w:val="auto"/>
        </w:rPr>
      </w:pPr>
    </w:p>
    <w:p>
      <w:pPr>
        <w:spacing w:after="0" w:line="204" w:lineRule="exact"/>
        <w:rPr>
          <w:sz w:val="20"/>
          <w:szCs w:val="20"/>
          <w:color w:val="auto"/>
        </w:rPr>
      </w:pPr>
    </w:p>
    <w:p>
      <w:pPr>
        <w:ind w:left="952" w:hanging="952"/>
        <w:spacing w:after="0"/>
        <w:tabs>
          <w:tab w:leader="none" w:pos="9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5.1 (13) is deleted in its entirety.</w:t>
      </w:r>
    </w:p>
    <w:p>
      <w:pPr>
        <w:spacing w:after="0" w:line="206" w:lineRule="exact"/>
        <w:rPr>
          <w:rFonts w:ascii="Courier New" w:cs="Courier New" w:eastAsia="Courier New" w:hAnsi="Courier New"/>
          <w:sz w:val="18"/>
          <w:szCs w:val="18"/>
          <w:color w:val="auto"/>
        </w:rPr>
      </w:pPr>
    </w:p>
    <w:p>
      <w:pPr>
        <w:ind w:left="952" w:right="2319" w:hanging="952"/>
        <w:spacing w:after="0" w:line="235" w:lineRule="auto"/>
        <w:tabs>
          <w:tab w:leader="none" w:pos="9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5.2 (10) is deleted in its entirety and replaced with the following:</w:t>
      </w:r>
    </w:p>
    <w:p>
      <w:pPr>
        <w:spacing w:after="0" w:line="203"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(10) Calculations of Profit Targets</w:t>
      </w:r>
    </w:p>
    <w:p>
      <w:pPr>
        <w:spacing w:after="0" w:line="4" w:lineRule="exact"/>
        <w:rPr>
          <w:sz w:val="20"/>
          <w:szCs w:val="20"/>
          <w:color w:val="auto"/>
        </w:rPr>
      </w:pPr>
    </w:p>
    <w:p>
      <w:pPr>
        <w:ind w:left="952" w:right="1999"/>
        <w:spacing w:after="0" w:line="237" w:lineRule="auto"/>
        <w:rPr>
          <w:sz w:val="20"/>
          <w:szCs w:val="20"/>
          <w:color w:val="auto"/>
        </w:rPr>
      </w:pPr>
      <w:r>
        <w:rPr>
          <w:rFonts w:ascii="Courier New" w:cs="Courier New" w:eastAsia="Courier New" w:hAnsi="Courier New"/>
          <w:sz w:val="18"/>
          <w:szCs w:val="18"/>
          <w:color w:val="auto"/>
        </w:rPr>
        <w:t>In relation to the calculation of Profit Targets in Clause 2.3 of the Agreement, Purchaser will act in good faith in accordance with U.S. generally accepted accounting principles in making the calculation of Targets.</w:t>
      </w:r>
    </w:p>
    <w:p>
      <w:pPr>
        <w:spacing w:after="0" w:line="200" w:lineRule="exact"/>
        <w:rPr>
          <w:sz w:val="20"/>
          <w:szCs w:val="20"/>
          <w:color w:val="auto"/>
        </w:rPr>
      </w:pPr>
    </w:p>
    <w:p>
      <w:pPr>
        <w:spacing w:after="0" w:line="204" w:lineRule="exact"/>
        <w:rPr>
          <w:sz w:val="20"/>
          <w:szCs w:val="20"/>
          <w:color w:val="auto"/>
        </w:rPr>
      </w:pPr>
    </w:p>
    <w:p>
      <w:pPr>
        <w:ind w:left="952" w:hanging="952"/>
        <w:spacing w:after="0"/>
        <w:tabs>
          <w:tab w:leader="none" w:pos="9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5.2 (12) is deleted in its entirety.</w:t>
      </w:r>
    </w:p>
    <w:p>
      <w:pPr>
        <w:spacing w:after="0" w:line="206" w:lineRule="exact"/>
        <w:rPr>
          <w:rFonts w:ascii="Courier New" w:cs="Courier New" w:eastAsia="Courier New" w:hAnsi="Courier New"/>
          <w:sz w:val="18"/>
          <w:szCs w:val="18"/>
          <w:color w:val="auto"/>
        </w:rPr>
      </w:pPr>
    </w:p>
    <w:p>
      <w:pPr>
        <w:ind w:left="952" w:right="1779" w:hanging="952"/>
        <w:spacing w:after="0" w:line="270" w:lineRule="auto"/>
        <w:tabs>
          <w:tab w:leader="none" w:pos="95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Seller (i) understands that issuance of the Periodic Shares have not been, and will not be, registered under the Securities Act of 1933 (the "Securities Act"), or under any state securities laws, and that they are being offered and sold in reliance upon federal and state exemptions for transactions not involving any public offering, (ii) is acquiring the Periodic Shares solely for its own account for investment purposes, and not with a view to the distribution thereof, and (iii) is an "Accredited Investor" as defined in the rules promulgated pursuant to the Securities Act, or is a sophisticated investor with knowledge and experience in business and financial matters.</w:t>
      </w:r>
    </w:p>
    <w:p>
      <w:pPr>
        <w:spacing w:after="0" w:line="189" w:lineRule="exact"/>
        <w:rPr>
          <w:rFonts w:ascii="Courier New" w:cs="Courier New" w:eastAsia="Courier New" w:hAnsi="Courier New"/>
          <w:sz w:val="16"/>
          <w:szCs w:val="16"/>
          <w:color w:val="auto"/>
        </w:rPr>
      </w:pPr>
    </w:p>
    <w:p>
      <w:pPr>
        <w:ind w:left="952" w:right="1999" w:hanging="952"/>
        <w:spacing w:after="0" w:line="235" w:lineRule="auto"/>
        <w:tabs>
          <w:tab w:leader="none" w:pos="9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above, the Agreement shall remain in full force and effect with no amendment or modification.</w:t>
      </w:r>
    </w:p>
    <w:p>
      <w:pPr>
        <w:spacing w:after="0" w:line="208" w:lineRule="exact"/>
        <w:rPr>
          <w:rFonts w:ascii="Courier New" w:cs="Courier New" w:eastAsia="Courier New" w:hAnsi="Courier New"/>
          <w:sz w:val="18"/>
          <w:szCs w:val="18"/>
          <w:color w:val="auto"/>
        </w:rPr>
      </w:pPr>
    </w:p>
    <w:p>
      <w:pPr>
        <w:ind w:left="952" w:right="2099" w:hanging="952"/>
        <w:spacing w:after="0" w:line="235" w:lineRule="auto"/>
        <w:tabs>
          <w:tab w:leader="none" w:pos="9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shall be governed by and construed in accordance with the laws of Ireland.</w:t>
      </w:r>
    </w:p>
    <w:p>
      <w:pPr>
        <w:spacing w:after="0" w:line="208" w:lineRule="exact"/>
        <w:rPr>
          <w:rFonts w:ascii="Courier New" w:cs="Courier New" w:eastAsia="Courier New" w:hAnsi="Courier New"/>
          <w:sz w:val="18"/>
          <w:szCs w:val="18"/>
          <w:color w:val="auto"/>
        </w:rPr>
      </w:pPr>
    </w:p>
    <w:p>
      <w:pPr>
        <w:ind w:left="952" w:right="1999" w:hanging="952"/>
        <w:spacing w:after="0" w:line="235" w:lineRule="auto"/>
        <w:tabs>
          <w:tab w:leader="none" w:pos="9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may be executed in counterparts,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12"/>
        <w:spacing w:after="0"/>
        <w:rPr>
          <w:sz w:val="20"/>
          <w:szCs w:val="20"/>
          <w:color w:val="auto"/>
        </w:rPr>
      </w:pPr>
      <w:r>
        <w:rPr>
          <w:rFonts w:ascii="Courier New" w:cs="Courier New" w:eastAsia="Courier New" w:hAnsi="Courier New"/>
          <w:sz w:val="18"/>
          <w:szCs w:val="18"/>
          <w:color w:val="auto"/>
        </w:rPr>
        <w:t>[REMAINDER OF PAGE INTENTIONALLY BLANK]</w:t>
      </w:r>
    </w:p>
    <w:p>
      <w:pPr>
        <w:sectPr>
          <w:pgSz w:w="11900" w:h="16838" w:orient="portrait"/>
          <w:cols w:equalWidth="0" w:num="1">
            <w:col w:w="10211"/>
          </w:cols>
          <w:pgMar w:left="248" w:top="723" w:right="1440" w:bottom="1440" w:gutter="0" w:footer="0" w:header="0"/>
        </w:sectPr>
      </w:pPr>
    </w:p>
    <w:bookmarkStart w:id="8" w:name="page9"/>
    <w:bookmarkEnd w:id="8"/>
    <w:p>
      <w:pPr>
        <w:ind w:right="1779"/>
        <w:spacing w:after="0" w:line="236" w:lineRule="auto"/>
        <w:rPr>
          <w:sz w:val="20"/>
          <w:szCs w:val="20"/>
          <w:color w:val="auto"/>
        </w:rPr>
      </w:pPr>
      <w:r>
        <w:rPr>
          <w:rFonts w:ascii="Courier New" w:cs="Courier New" w:eastAsia="Courier New" w:hAnsi="Courier New"/>
          <w:sz w:val="18"/>
          <w:szCs w:val="18"/>
          <w:color w:val="auto"/>
        </w:rPr>
        <w:t>========================================================= ====================== SIGNED SEALED AND DELIVERED by the said Mike Peirce in /s/Michael Peirce the presence of:</w:t>
      </w:r>
    </w:p>
    <w:p>
      <w:pPr>
        <w:spacing w:after="0" w:line="200" w:lineRule="exact"/>
        <w:rPr>
          <w:sz w:val="20"/>
          <w:szCs w:val="20"/>
          <w:color w:val="auto"/>
        </w:rPr>
      </w:pP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 ====================== SIGNED SEALED AND DELIVERED by the said Joe Stockton in /s/Joe Stockton the presence of:</w:t>
      </w:r>
    </w:p>
    <w:p>
      <w:pPr>
        <w:spacing w:after="0" w:line="200" w:lineRule="exact"/>
        <w:rPr>
          <w:sz w:val="20"/>
          <w:szCs w:val="20"/>
          <w:color w:val="auto"/>
        </w:rPr>
      </w:pP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 ====================== SIGNED SEALED AND DELIVERED by the said David Smyth in /s/David Smyth the presence of:</w:t>
      </w:r>
    </w:p>
    <w:p>
      <w:pPr>
        <w:spacing w:after="0" w:line="200" w:lineRule="exact"/>
        <w:rPr>
          <w:sz w:val="20"/>
          <w:szCs w:val="20"/>
          <w:color w:val="auto"/>
        </w:rPr>
      </w:pP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 ====================== SIGNED SEALED AND DELIVERED by Dave Nelson in the /s/Dave Nelson presence 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8"/>
          <w:szCs w:val="18"/>
          <w:color w:val="auto"/>
        </w:rPr>
        <w:t>SIGNED SEALED AND DELIVERED by Alex Peirce in the</w:t>
      </w:r>
      <w:r>
        <w:rPr>
          <w:sz w:val="20"/>
          <w:szCs w:val="20"/>
          <w:color w:val="auto"/>
        </w:rPr>
        <w:tab/>
      </w:r>
      <w:r>
        <w:rPr>
          <w:rFonts w:ascii="Courier New" w:cs="Courier New" w:eastAsia="Courier New" w:hAnsi="Courier New"/>
          <w:sz w:val="16"/>
          <w:szCs w:val="16"/>
          <w:color w:val="auto"/>
        </w:rPr>
        <w:t>/s/Michael Peirce,</w:t>
      </w:r>
    </w:p>
    <w:p>
      <w:pPr>
        <w:spacing w:after="0"/>
        <w:tabs>
          <w:tab w:leader="none" w:pos="6200" w:val="left"/>
        </w:tabs>
        <w:rPr>
          <w:sz w:val="20"/>
          <w:szCs w:val="20"/>
          <w:color w:val="auto"/>
        </w:rPr>
      </w:pPr>
      <w:r>
        <w:rPr>
          <w:rFonts w:ascii="Courier New" w:cs="Courier New" w:eastAsia="Courier New" w:hAnsi="Courier New"/>
          <w:sz w:val="18"/>
          <w:szCs w:val="18"/>
          <w:color w:val="auto"/>
        </w:rPr>
        <w:t>presence of:</w:t>
      </w:r>
      <w:r>
        <w:rPr>
          <w:sz w:val="20"/>
          <w:szCs w:val="20"/>
          <w:color w:val="auto"/>
        </w:rPr>
        <w:tab/>
      </w:r>
      <w:r>
        <w:rPr>
          <w:rFonts w:ascii="Courier New" w:cs="Courier New" w:eastAsia="Courier New" w:hAnsi="Courier New"/>
          <w:sz w:val="16"/>
          <w:szCs w:val="16"/>
          <w:color w:val="auto"/>
        </w:rPr>
        <w:t>attorney in fact for</w:t>
      </w:r>
    </w:p>
    <w:p>
      <w:pPr>
        <w:ind w:left="6220"/>
        <w:spacing w:after="0"/>
        <w:rPr>
          <w:sz w:val="20"/>
          <w:szCs w:val="20"/>
          <w:color w:val="auto"/>
        </w:rPr>
      </w:pPr>
      <w:r>
        <w:rPr>
          <w:rFonts w:ascii="Courier New" w:cs="Courier New" w:eastAsia="Courier New" w:hAnsi="Courier New"/>
          <w:sz w:val="18"/>
          <w:szCs w:val="18"/>
          <w:color w:val="auto"/>
        </w:rPr>
        <w:t>Alex Peirce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PRESENT when the common seal of Mentor Capital, Ltd.</w:t>
      </w:r>
    </w:p>
    <w:p>
      <w:pPr>
        <w:spacing w:after="0"/>
        <w:tabs>
          <w:tab w:leader="none" w:pos="6100" w:val="left"/>
        </w:tabs>
        <w:rPr>
          <w:sz w:val="20"/>
          <w:szCs w:val="20"/>
          <w:color w:val="auto"/>
        </w:rPr>
      </w:pPr>
      <w:r>
        <w:rPr>
          <w:rFonts w:ascii="Courier New" w:cs="Courier New" w:eastAsia="Courier New" w:hAnsi="Courier New"/>
          <w:sz w:val="18"/>
          <w:szCs w:val="18"/>
          <w:color w:val="auto"/>
        </w:rPr>
        <w:t>was affixed hereto:</w:t>
      </w:r>
      <w:r>
        <w:rPr>
          <w:sz w:val="20"/>
          <w:szCs w:val="20"/>
          <w:color w:val="auto"/>
        </w:rPr>
        <w:tab/>
      </w:r>
      <w:r>
        <w:rPr>
          <w:rFonts w:ascii="Courier New" w:cs="Courier New" w:eastAsia="Courier New" w:hAnsi="Courier New"/>
          <w:sz w:val="16"/>
          <w:szCs w:val="16"/>
          <w:color w:val="auto"/>
        </w:rPr>
        <w:t>/s/Michael Peirce</w:t>
      </w:r>
    </w:p>
    <w:p>
      <w:pPr>
        <w:spacing w:after="0" w:line="200" w:lineRule="exact"/>
        <w:rPr>
          <w:sz w:val="20"/>
          <w:szCs w:val="20"/>
          <w:color w:val="auto"/>
        </w:rPr>
      </w:pPr>
    </w:p>
    <w:p>
      <w:pPr>
        <w:spacing w:after="0" w:line="21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 Executed as a Deed By Gentner Ventures,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By:/s/Randall J. Wichinski</w:t>
      </w:r>
    </w:p>
    <w:p>
      <w:pPr>
        <w:ind w:left="9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bookmarkStart w:id="9" w:name="page10"/>
    <w:bookmarkEnd w:id="9"/>
    <w:p>
      <w:pPr>
        <w:ind w:right="1779"/>
        <w:spacing w:after="0" w:line="290" w:lineRule="auto"/>
        <w:rPr>
          <w:sz w:val="20"/>
          <w:szCs w:val="20"/>
          <w:color w:val="auto"/>
        </w:rPr>
      </w:pPr>
      <w:r>
        <w:rPr>
          <w:rFonts w:ascii="Courier New" w:cs="Courier New" w:eastAsia="Courier New" w:hAnsi="Courier New"/>
          <w:sz w:val="16"/>
          <w:szCs w:val="16"/>
          <w:color w:val="auto"/>
        </w:rPr>
        <w:t>================================================================================ Executed as a Deed By ClearOne Communications,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/s/Frances Flood</w:t>
      </w:r>
    </w:p>
    <w:p>
      <w:pPr>
        <w:ind w:left="740"/>
        <w:spacing w:after="0" w:line="238" w:lineRule="auto"/>
        <w:rPr>
          <w:sz w:val="20"/>
          <w:szCs w:val="20"/>
          <w:color w:val="auto"/>
        </w:rPr>
      </w:pPr>
      <w:r>
        <w:rPr>
          <w:rFonts w:ascii="Courier New" w:cs="Courier New" w:eastAsia="Courier New" w:hAnsi="Courier New"/>
          <w:sz w:val="18"/>
          <w:szCs w:val="18"/>
          <w:color w:val="auto"/>
        </w:rPr>
        <w:t>President and Chief</w:t>
      </w:r>
    </w:p>
    <w:p>
      <w:pPr>
        <w:ind w:left="74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1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lowerLetter"/>
      <w:start w:val="2"/>
    </w:lvl>
  </w:abstractNum>
  <w:abstractNum w:abstractNumId="1">
    <w:nsid w:val="3D1B58BA"/>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2">
    <w:nsid w:val="507ED7AB"/>
    <w:multiLevelType w:val="hybridMultilevel"/>
    <w:lvl w:ilvl="0">
      <w:lvlJc w:val="left"/>
      <w:lvlText w:val="%1"/>
      <w:numFmt w:val="lowerLetter"/>
      <w:start w:val="1"/>
    </w:lvl>
    <w:lvl w:ilvl="1">
      <w:lvlJc w:val="left"/>
      <w:lvlText w:val="(%2)"/>
      <w:numFmt w:val="lowerRoman"/>
      <w:start w:val="2"/>
    </w:lvl>
  </w:abstractNum>
  <w:abstractNum w:abstractNumId="3">
    <w:nsid w:val="2EB141F2"/>
    <w:multiLevelType w:val="hybridMultilevel"/>
    <w:lvl w:ilvl="0">
      <w:lvlJc w:val="left"/>
      <w:lvlText w:val="(%1)"/>
      <w:numFmt w:val="lowerLetter"/>
      <w:start w:val="5"/>
    </w:lvl>
    <w:lvl w:ilvl="1">
      <w:lvlJc w:val="left"/>
      <w:lvlText w:val="%2"/>
      <w:numFmt w:val="lowerRoman"/>
      <w:start w:val="1"/>
    </w:lvl>
  </w:abstractNum>
  <w:abstractNum w:abstractNumId="4">
    <w:nsid w:val="41B71EFB"/>
    <w:multiLevelType w:val="hybridMultilevel"/>
    <w:lvl w:ilvl="0">
      <w:lvlJc w:val="left"/>
      <w:lvlText w:val="%1"/>
      <w:numFmt w:val="decimal"/>
      <w:start w:val="1"/>
    </w:lvl>
    <w:lvl w:ilvl="1">
      <w:lvlJc w:val="left"/>
      <w:lvlText w:val="(%2)"/>
      <w:numFmt w:val="lowerLetter"/>
      <w:start w:val="7"/>
    </w:lvl>
  </w:abstractNum>
  <w:abstractNum w:abstractNumId="5">
    <w:nsid w:val="79E2A9E3"/>
    <w:multiLevelType w:val="hybridMultilevel"/>
    <w:lvl w:ilvl="0">
      <w:lvlJc w:val="left"/>
      <w:lvlText w:val="%1."/>
      <w:numFmt w:val="decimal"/>
      <w:start w:val="4"/>
    </w:lvl>
    <w:lvl w:ilvl="1">
      <w:lvlJc w:val="left"/>
      <w:lvlText w:val="(%2)"/>
      <w:numFmt w:val="lowerLetter"/>
      <w:start w:val="1"/>
    </w:lvl>
  </w:abstractNum>
  <w:abstractNum w:abstractNumId="6">
    <w:nsid w:val="7545E146"/>
    <w:multiLevelType w:val="hybridMultilevel"/>
    <w:lvl w:ilvl="0">
      <w:lvlJc w:val="left"/>
      <w:lvlText w:val="%1."/>
      <w:numFmt w:val="decimal"/>
      <w:start w:val="9"/>
    </w:lvl>
  </w:abstractNum>
  <w:abstractNum w:abstractNumId="7">
    <w:nsid w:val="515F007C"/>
    <w:multiLevelType w:val="hybridMultilevel"/>
    <w:lvl w:ilvl="0">
      <w:lvlJc w:val="left"/>
      <w:lvlText w:val="%1."/>
      <w:numFmt w:val="decimal"/>
      <w:start w:val="10"/>
    </w:lvl>
  </w:abstractNum>
  <w:abstractNum w:abstractNumId="8">
    <w:nsid w:val="5BD062C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2019-12-13T17:47:04Z</dcterms:created>
  <dcterms:modified xsi:type="dcterms:W3CDTF">2019-12-13T17:47:04Z</dcterms:modified>
</cp:coreProperties>
</file>