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SCHEDULE 14A</w:t>
      </w:r>
    </w:p>
    <w:p>
      <w:pPr>
        <w:spacing w:after="0" w:line="2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(Rule 14a-101)</w:t>
      </w:r>
    </w:p>
    <w:p>
      <w:pPr>
        <w:spacing w:after="0" w:line="20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SCHEDULE 14A INFORMATION</w:t>
      </w:r>
    </w:p>
    <w:p>
      <w:pPr>
        <w:spacing w:after="0" w:line="229"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Proxy Statement Pursuant to Section 14(a) of</w:t>
      </w:r>
    </w:p>
    <w:p>
      <w:pPr>
        <w:spacing w:after="0" w:line="23"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the Securities Exchange Act of 1934</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 ]</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spacing w:after="0"/>
        <w:tabs>
          <w:tab w:leader="none" w:pos="64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Preliminary Proxy Statement.</w:t>
      </w:r>
    </w:p>
    <w:p>
      <w:pPr>
        <w:spacing w:after="0" w:line="23" w:lineRule="exact"/>
        <w:rPr>
          <w:sz w:val="24"/>
          <w:szCs w:val="24"/>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Confidential, for Use of the Commission Only (as permitted by Rule 14a-6(e)(2)).</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Definitive Proxy Statement.</w:t>
      </w:r>
    </w:p>
    <w:p>
      <w:pPr>
        <w:spacing w:after="0" w:line="9" w:lineRule="exact"/>
        <w:rPr>
          <w:sz w:val="24"/>
          <w:szCs w:val="24"/>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spacing w:after="0"/>
        <w:tabs>
          <w:tab w:leader="none" w:pos="64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Soliciting Material Pursuant to §240.14a-12.</w:t>
      </w:r>
    </w:p>
    <w:p>
      <w:pPr>
        <w:spacing w:after="0" w:line="211"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u w:val="single" w:color="auto"/>
          <w:color w:val="auto"/>
        </w:rPr>
        <w:t>ClearOne, Inc.</w:t>
      </w:r>
    </w:p>
    <w:p>
      <w:pPr>
        <w:spacing w:after="0" w:line="219"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(Name of Registrant as Specified in its Charter)</w:t>
      </w:r>
    </w:p>
    <w:p>
      <w:pPr>
        <w:spacing w:after="0" w:line="225" w:lineRule="exact"/>
        <w:rPr>
          <w:sz w:val="24"/>
          <w:szCs w:val="24"/>
          <w:color w:val="auto"/>
        </w:rPr>
      </w:pPr>
    </w:p>
    <w:p>
      <w:pPr>
        <w:ind w:left="3240"/>
        <w:spacing w:after="0"/>
        <w:rPr>
          <w:sz w:val="20"/>
          <w:szCs w:val="20"/>
          <w:color w:val="auto"/>
        </w:rPr>
      </w:pPr>
      <w:r>
        <w:rPr>
          <w:rFonts w:ascii="Arial" w:cs="Arial" w:eastAsia="Arial" w:hAnsi="Arial"/>
          <w:sz w:val="18"/>
          <w:szCs w:val="18"/>
          <w:color w:val="auto"/>
        </w:rPr>
        <w:t>(Name of Person(s) Filing Proxy Statement, if other than Registrant)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23" w:lineRule="exact"/>
        <w:rPr>
          <w:sz w:val="24"/>
          <w:szCs w:val="24"/>
          <w:color w:val="auto"/>
        </w:rPr>
      </w:pPr>
    </w:p>
    <w:p>
      <w:pPr>
        <w:ind w:left="120" w:hanging="112"/>
        <w:spacing w:after="0"/>
        <w:tabs>
          <w:tab w:leader="none" w:pos="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Fee computed on table below per Exchange Act Rules 14a-6(i)(4) and 0-11.</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w:t>
      </w:r>
    </w:p>
    <w:p>
      <w:pPr>
        <w:spacing w:after="0" w:line="9" w:lineRule="exact"/>
        <w:rPr>
          <w:rFonts w:ascii="Arial" w:cs="Arial" w:eastAsia="Arial" w:hAnsi="Arial"/>
          <w:sz w:val="18"/>
          <w:szCs w:val="18"/>
          <w:color w:val="auto"/>
        </w:rPr>
      </w:pPr>
    </w:p>
    <w:p>
      <w:pPr>
        <w:ind w:left="1300" w:right="60" w:hanging="644"/>
        <w:spacing w:after="0" w:line="250"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ind w:left="1300" w:hanging="64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9" w:lineRule="exact"/>
        <w:rPr>
          <w:sz w:val="24"/>
          <w:szCs w:val="24"/>
          <w:color w:val="auto"/>
        </w:rPr>
      </w:pPr>
    </w:p>
    <w:p>
      <w:pPr>
        <w:spacing w:after="0"/>
        <w:tabs>
          <w:tab w:leader="none" w:pos="64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Fee paid previously with preliminary materials.</w:t>
      </w:r>
    </w:p>
    <w:p>
      <w:pPr>
        <w:spacing w:after="0" w:line="9" w:lineRule="exact"/>
        <w:rPr>
          <w:sz w:val="24"/>
          <w:szCs w:val="24"/>
          <w:color w:val="auto"/>
        </w:rPr>
      </w:pPr>
    </w:p>
    <w:p>
      <w:pPr>
        <w:ind w:left="660" w:hanging="652"/>
        <w:spacing w:after="0" w:line="290" w:lineRule="auto"/>
        <w:tabs>
          <w:tab w:leader="none" w:pos="117"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61"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ectPr>
          <w:pgSz w:w="11900" w:h="16838" w:orient="portrait"/>
          <w:cols w:equalWidth="0" w:num="1">
            <w:col w:w="11180"/>
          </w:cols>
          <w:pgMar w:left="240" w:top="1121" w:right="479" w:bottom="1440" w:gutter="0" w:footer="0" w:header="0"/>
        </w:sectPr>
      </w:pPr>
    </w:p>
    <w:bookmarkStart w:id="1" w:name="page2"/>
    <w:bookmarkEnd w:id="1"/>
    <w:p>
      <w:pPr>
        <w:spacing w:after="0"/>
        <w:tabs>
          <w:tab w:leader="none" w:pos="13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6997700" cy="8832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6997700" cy="8832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tabs>
          <w:tab w:leader="none" w:pos="13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6997700" cy="88328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6997700" cy="883285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upperLetter"/>
      <w:start w:val="24"/>
    </w:lvl>
  </w:abstractNum>
  <w:abstractNum w:abstractNumId="2">
    <w:nsid w:val="625558EC"/>
    <w:multiLevelType w:val="hybridMultilevel"/>
    <w:lvl w:ilvl="0">
      <w:lvlJc w:val="left"/>
      <w:lvlText w:val="[%1]"/>
      <w:numFmt w:val="upperLetter"/>
      <w:start w:val="24"/>
    </w:lvl>
  </w:abstractNum>
  <w:abstractNum w:abstractNumId="3">
    <w:nsid w:val="238E1F29"/>
    <w:multiLevelType w:val="hybridMultilevel"/>
    <w:lvl w:ilvl="0">
      <w:lvlJc w:val="left"/>
      <w:lvlText w:val="["/>
      <w:numFmt w:val="bullet"/>
      <w:start w:val="1"/>
    </w:lvl>
    <w:lvl w:ilvl="1">
      <w:lvlJc w:val="left"/>
      <w:lvlText w:val="%2)"/>
      <w:numFmt w:val="decimal"/>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2019-12-06T02:54:14Z</dcterms:created>
  <dcterms:modified xsi:type="dcterms:W3CDTF">2019-12-06T02:54:14Z</dcterms:modified>
</cp:coreProperties>
</file>