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153035</wp:posOffset>
            </wp:positionH>
            <wp:positionV relativeFrom="page">
              <wp:posOffset>260350</wp:posOffset>
            </wp:positionV>
            <wp:extent cx="725614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6145" cy="37465"/>
                    </a:xfrm>
                    <a:prstGeom prst="rect">
                      <a:avLst/>
                    </a:prstGeom>
                    <a:noFill/>
                  </pic:spPr>
                </pic:pic>
              </a:graphicData>
            </a:graphic>
          </wp:anchor>
        </w:drawing>
        <w:t>UNITED STATES</w:t>
      </w:r>
    </w:p>
    <w:p>
      <w:pPr>
        <w:spacing w:after="0" w:line="41" w:lineRule="exact"/>
        <w:rPr>
          <w:sz w:val="24"/>
          <w:szCs w:val="24"/>
          <w:color w:val="auto"/>
        </w:rPr>
      </w:pPr>
    </w:p>
    <w:p>
      <w:pPr>
        <w:jc w:val="center"/>
        <w:ind w:right="-239"/>
        <w:spacing w:after="0"/>
        <w:rPr>
          <w:sz w:val="20"/>
          <w:szCs w:val="20"/>
          <w:color w:val="auto"/>
        </w:rPr>
      </w:pPr>
      <w:r>
        <w:rPr>
          <w:rFonts w:ascii="Arial" w:cs="Arial" w:eastAsia="Arial" w:hAnsi="Arial"/>
          <w:sz w:val="24"/>
          <w:szCs w:val="24"/>
          <w:b w:val="1"/>
          <w:bCs w:val="1"/>
          <w:color w:val="auto"/>
        </w:rPr>
        <w:t>SECURITIES AND EXCHANGE COMMISSION</w:t>
      </w:r>
    </w:p>
    <w:p>
      <w:pPr>
        <w:spacing w:after="0" w:line="18" w:lineRule="exact"/>
        <w:rPr>
          <w:sz w:val="24"/>
          <w:szCs w:val="24"/>
          <w:color w:val="auto"/>
        </w:rPr>
      </w:pPr>
    </w:p>
    <w:p>
      <w:pPr>
        <w:jc w:val="center"/>
        <w:ind w:right="-23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2896870</wp:posOffset>
            </wp:positionH>
            <wp:positionV relativeFrom="paragraph">
              <wp:posOffset>222250</wp:posOffset>
            </wp:positionV>
            <wp:extent cx="14636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36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239"/>
        <w:spacing w:after="0"/>
        <w:rPr>
          <w:sz w:val="20"/>
          <w:szCs w:val="20"/>
          <w:color w:val="auto"/>
        </w:rPr>
      </w:pPr>
      <w:r>
        <w:rPr>
          <w:rFonts w:ascii="Arial" w:cs="Arial" w:eastAsia="Arial" w:hAnsi="Arial"/>
          <w:sz w:val="35"/>
          <w:szCs w:val="35"/>
          <w:b w:val="1"/>
          <w:bCs w:val="1"/>
          <w:color w:val="auto"/>
        </w:rPr>
        <w:t>SCHEDULE TO</w:t>
      </w:r>
    </w:p>
    <w:p>
      <w:pPr>
        <w:spacing w:after="0" w:line="51" w:lineRule="exact"/>
        <w:rPr>
          <w:sz w:val="24"/>
          <w:szCs w:val="24"/>
          <w:color w:val="auto"/>
        </w:rPr>
      </w:pPr>
    </w:p>
    <w:p>
      <w:pPr>
        <w:jc w:val="center"/>
        <w:ind w:right="-239"/>
        <w:spacing w:after="0"/>
        <w:rPr>
          <w:sz w:val="20"/>
          <w:szCs w:val="20"/>
          <w:color w:val="auto"/>
        </w:rPr>
      </w:pPr>
      <w:r>
        <w:rPr>
          <w:rFonts w:ascii="Arial" w:cs="Arial" w:eastAsia="Arial" w:hAnsi="Arial"/>
          <w:sz w:val="17"/>
          <w:szCs w:val="17"/>
          <w:color w:val="auto"/>
        </w:rPr>
        <w:t>Tender Offer Statement under Section 14(d)(1) or 13(e)(1) of the</w:t>
      </w:r>
    </w:p>
    <w:p>
      <w:pPr>
        <w:spacing w:after="0" w:line="13" w:lineRule="exact"/>
        <w:rPr>
          <w:sz w:val="24"/>
          <w:szCs w:val="24"/>
          <w:color w:val="auto"/>
        </w:rPr>
      </w:pPr>
    </w:p>
    <w:p>
      <w:pPr>
        <w:jc w:val="center"/>
        <w:ind w:right="-239"/>
        <w:spacing w:after="0"/>
        <w:rPr>
          <w:sz w:val="20"/>
          <w:szCs w:val="20"/>
          <w:color w:val="auto"/>
        </w:rPr>
      </w:pPr>
      <w:r>
        <w:rPr>
          <w:rFonts w:ascii="Arial" w:cs="Arial" w:eastAsia="Arial" w:hAnsi="Arial"/>
          <w:sz w:val="17"/>
          <w:szCs w:val="17"/>
          <w:color w:val="auto"/>
        </w:rPr>
        <w:t>Securities Exchange Act of 1934</w:t>
      </w:r>
    </w:p>
    <w:p>
      <w:pPr>
        <w:spacing w:after="0" w:line="13" w:lineRule="exact"/>
        <w:rPr>
          <w:sz w:val="24"/>
          <w:szCs w:val="24"/>
          <w:color w:val="auto"/>
        </w:rPr>
      </w:pPr>
    </w:p>
    <w:p>
      <w:pPr>
        <w:jc w:val="center"/>
        <w:ind w:right="-239"/>
        <w:spacing w:after="0"/>
        <w:rPr>
          <w:sz w:val="20"/>
          <w:szCs w:val="20"/>
          <w:color w:val="auto"/>
        </w:rPr>
      </w:pPr>
      <w:r>
        <w:rPr>
          <w:rFonts w:ascii="Arial" w:cs="Arial" w:eastAsia="Arial" w:hAnsi="Arial"/>
          <w:sz w:val="17"/>
          <w:szCs w:val="17"/>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2896870</wp:posOffset>
            </wp:positionH>
            <wp:positionV relativeFrom="paragraph">
              <wp:posOffset>223520</wp:posOffset>
            </wp:positionV>
            <wp:extent cx="14636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36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239"/>
        <w:spacing w:after="0"/>
        <w:rPr>
          <w:sz w:val="20"/>
          <w:szCs w:val="20"/>
          <w:color w:val="auto"/>
        </w:rPr>
      </w:pPr>
      <w:r>
        <w:rPr>
          <w:rFonts w:ascii="Arial" w:cs="Arial" w:eastAsia="Arial" w:hAnsi="Arial"/>
          <w:sz w:val="31"/>
          <w:szCs w:val="31"/>
          <w:b w:val="1"/>
          <w:bCs w:val="1"/>
          <w:color w:val="auto"/>
        </w:rPr>
        <w:t>CLEARONE COMMUNICATIONS, INC.</w:t>
      </w:r>
    </w:p>
    <w:p>
      <w:pPr>
        <w:spacing w:after="0" w:line="51" w:lineRule="exact"/>
        <w:rPr>
          <w:sz w:val="24"/>
          <w:szCs w:val="24"/>
          <w:color w:val="auto"/>
        </w:rPr>
      </w:pPr>
    </w:p>
    <w:p>
      <w:pPr>
        <w:jc w:val="center"/>
        <w:ind w:right="-239"/>
        <w:spacing w:after="0"/>
        <w:rPr>
          <w:sz w:val="20"/>
          <w:szCs w:val="20"/>
          <w:color w:val="auto"/>
        </w:rPr>
      </w:pPr>
      <w:r>
        <w:rPr>
          <w:rFonts w:ascii="Arial" w:cs="Arial" w:eastAsia="Arial" w:hAnsi="Arial"/>
          <w:sz w:val="17"/>
          <w:szCs w:val="17"/>
          <w:color w:val="auto"/>
        </w:rPr>
        <w:t>(Name of Subject Company (Issuer))</w:t>
      </w:r>
    </w:p>
    <w:p>
      <w:pPr>
        <w:spacing w:after="0" w:line="257"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CLEARONE COMMUNICATIONS, INC.</w:t>
      </w:r>
    </w:p>
    <w:p>
      <w:pPr>
        <w:spacing w:after="0" w:line="51" w:lineRule="exact"/>
        <w:rPr>
          <w:sz w:val="24"/>
          <w:szCs w:val="24"/>
          <w:color w:val="auto"/>
        </w:rPr>
      </w:pPr>
    </w:p>
    <w:p>
      <w:pPr>
        <w:jc w:val="center"/>
        <w:ind w:right="-239"/>
        <w:spacing w:after="0"/>
        <w:rPr>
          <w:sz w:val="20"/>
          <w:szCs w:val="20"/>
          <w:color w:val="auto"/>
        </w:rPr>
      </w:pPr>
      <w:r>
        <w:rPr>
          <w:rFonts w:ascii="Arial" w:cs="Arial" w:eastAsia="Arial" w:hAnsi="Arial"/>
          <w:sz w:val="17"/>
          <w:szCs w:val="17"/>
          <w:color w:val="auto"/>
        </w:rPr>
        <w:t>(Name of Filing Persons (Issuer))</w:t>
      </w:r>
    </w:p>
    <w:p>
      <w:pPr>
        <w:spacing w:after="0" w:line="253" w:lineRule="exact"/>
        <w:rPr>
          <w:sz w:val="24"/>
          <w:szCs w:val="24"/>
          <w:color w:val="auto"/>
        </w:rPr>
      </w:pPr>
    </w:p>
    <w:p>
      <w:pPr>
        <w:jc w:val="center"/>
        <w:ind w:right="-239"/>
        <w:spacing w:after="0"/>
        <w:rPr>
          <w:sz w:val="20"/>
          <w:szCs w:val="20"/>
          <w:color w:val="auto"/>
        </w:rPr>
      </w:pPr>
      <w:r>
        <w:rPr>
          <w:rFonts w:ascii="Arial" w:cs="Arial" w:eastAsia="Arial" w:hAnsi="Arial"/>
          <w:sz w:val="17"/>
          <w:szCs w:val="17"/>
          <w:b w:val="1"/>
          <w:bCs w:val="1"/>
          <w:color w:val="auto"/>
        </w:rPr>
        <w:t>Common Stock, $0.001 Par Value Per Share</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17"/>
          <w:szCs w:val="17"/>
          <w:color w:val="auto"/>
        </w:rPr>
        <w:t>(Title of Class of Securities)</w:t>
      </w:r>
    </w:p>
    <w:p>
      <w:pPr>
        <w:spacing w:after="0" w:line="255" w:lineRule="exact"/>
        <w:rPr>
          <w:sz w:val="24"/>
          <w:szCs w:val="24"/>
          <w:color w:val="auto"/>
        </w:rPr>
      </w:pPr>
    </w:p>
    <w:p>
      <w:pPr>
        <w:jc w:val="center"/>
        <w:ind w:right="-239"/>
        <w:spacing w:after="0"/>
        <w:rPr>
          <w:sz w:val="20"/>
          <w:szCs w:val="20"/>
          <w:color w:val="auto"/>
        </w:rPr>
      </w:pPr>
      <w:r>
        <w:rPr>
          <w:rFonts w:ascii="Arial" w:cs="Arial" w:eastAsia="Arial" w:hAnsi="Arial"/>
          <w:sz w:val="17"/>
          <w:szCs w:val="17"/>
          <w:b w:val="1"/>
          <w:bCs w:val="1"/>
          <w:color w:val="auto"/>
        </w:rPr>
        <w:t>185060100</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17"/>
          <w:szCs w:val="17"/>
          <w:color w:val="auto"/>
        </w:rPr>
        <w:t>(Cusip Number of Class of Securities)</w:t>
      </w:r>
    </w:p>
    <w:p>
      <w:pPr>
        <w:spacing w:after="0" w:line="255" w:lineRule="exact"/>
        <w:rPr>
          <w:sz w:val="24"/>
          <w:szCs w:val="24"/>
          <w:color w:val="auto"/>
        </w:rPr>
      </w:pPr>
    </w:p>
    <w:p>
      <w:pPr>
        <w:ind w:left="5080"/>
        <w:spacing w:after="0"/>
        <w:rPr>
          <w:sz w:val="20"/>
          <w:szCs w:val="20"/>
          <w:color w:val="auto"/>
        </w:rPr>
      </w:pPr>
      <w:r>
        <w:rPr>
          <w:rFonts w:ascii="Arial" w:cs="Arial" w:eastAsia="Arial" w:hAnsi="Arial"/>
          <w:sz w:val="17"/>
          <w:szCs w:val="17"/>
          <w:b w:val="1"/>
          <w:bCs w:val="1"/>
          <w:color w:val="auto"/>
        </w:rPr>
        <w:t>Greg A. LeClaire</w:t>
      </w:r>
    </w:p>
    <w:p>
      <w:pPr>
        <w:spacing w:after="0" w:line="52" w:lineRule="exact"/>
        <w:rPr>
          <w:sz w:val="24"/>
          <w:szCs w:val="24"/>
          <w:color w:val="auto"/>
        </w:rPr>
      </w:pPr>
    </w:p>
    <w:p>
      <w:pPr>
        <w:ind w:left="4580"/>
        <w:spacing w:after="0"/>
        <w:rPr>
          <w:sz w:val="20"/>
          <w:szCs w:val="20"/>
          <w:color w:val="auto"/>
        </w:rPr>
      </w:pPr>
      <w:r>
        <w:rPr>
          <w:rFonts w:ascii="Arial" w:cs="Arial" w:eastAsia="Arial" w:hAnsi="Arial"/>
          <w:sz w:val="17"/>
          <w:szCs w:val="17"/>
          <w:b w:val="1"/>
          <w:bCs w:val="1"/>
          <w:color w:val="auto"/>
        </w:rPr>
        <w:t>Chief Financial Officer</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17"/>
          <w:szCs w:val="17"/>
          <w:b w:val="1"/>
          <w:bCs w:val="1"/>
          <w:color w:val="auto"/>
        </w:rPr>
        <w:t>ClearOne Communications, Inc.</w:t>
      </w:r>
    </w:p>
    <w:p>
      <w:pPr>
        <w:spacing w:after="0" w:line="26" w:lineRule="exact"/>
        <w:rPr>
          <w:sz w:val="24"/>
          <w:szCs w:val="24"/>
          <w:color w:val="auto"/>
        </w:rPr>
      </w:pPr>
    </w:p>
    <w:p>
      <w:pPr>
        <w:jc w:val="center"/>
        <w:ind w:right="-239"/>
        <w:spacing w:after="0"/>
        <w:rPr>
          <w:sz w:val="20"/>
          <w:szCs w:val="20"/>
          <w:color w:val="auto"/>
        </w:rPr>
      </w:pPr>
      <w:r>
        <w:rPr>
          <w:rFonts w:ascii="Arial" w:cs="Arial" w:eastAsia="Arial" w:hAnsi="Arial"/>
          <w:sz w:val="17"/>
          <w:szCs w:val="17"/>
          <w:b w:val="1"/>
          <w:bCs w:val="1"/>
          <w:color w:val="auto"/>
        </w:rPr>
        <w:t>5225 Wiley Post Way, Suite 500</w:t>
      </w:r>
    </w:p>
    <w:p>
      <w:pPr>
        <w:spacing w:after="0" w:line="13" w:lineRule="exact"/>
        <w:rPr>
          <w:sz w:val="24"/>
          <w:szCs w:val="24"/>
          <w:color w:val="auto"/>
        </w:rPr>
      </w:pPr>
    </w:p>
    <w:p>
      <w:pPr>
        <w:jc w:val="center"/>
        <w:ind w:right="-239"/>
        <w:spacing w:after="0"/>
        <w:rPr>
          <w:sz w:val="20"/>
          <w:szCs w:val="20"/>
          <w:color w:val="auto"/>
        </w:rPr>
      </w:pPr>
      <w:r>
        <w:rPr>
          <w:rFonts w:ascii="Arial" w:cs="Arial" w:eastAsia="Arial" w:hAnsi="Arial"/>
          <w:sz w:val="17"/>
          <w:szCs w:val="17"/>
          <w:b w:val="1"/>
          <w:bCs w:val="1"/>
          <w:color w:val="auto"/>
        </w:rPr>
        <w:t>Salt Lake City, Utah 84116</w:t>
      </w:r>
    </w:p>
    <w:p>
      <w:pPr>
        <w:spacing w:after="0" w:line="13" w:lineRule="exact"/>
        <w:rPr>
          <w:sz w:val="24"/>
          <w:szCs w:val="24"/>
          <w:color w:val="auto"/>
        </w:rPr>
      </w:pPr>
    </w:p>
    <w:p>
      <w:pPr>
        <w:jc w:val="center"/>
        <w:ind w:right="-199"/>
        <w:spacing w:after="0"/>
        <w:rPr>
          <w:sz w:val="20"/>
          <w:szCs w:val="20"/>
          <w:color w:val="auto"/>
        </w:rPr>
      </w:pPr>
      <w:r>
        <w:rPr>
          <w:rFonts w:ascii="Arial" w:cs="Arial" w:eastAsia="Arial" w:hAnsi="Arial"/>
          <w:sz w:val="17"/>
          <w:szCs w:val="17"/>
          <w:b w:val="1"/>
          <w:bCs w:val="1"/>
          <w:u w:val="single" w:color="auto"/>
          <w:color w:val="auto"/>
        </w:rPr>
        <w:t>(801) 975-7200</w:t>
      </w:r>
    </w:p>
    <w:p>
      <w:pPr>
        <w:spacing w:after="0" w:line="13" w:lineRule="exact"/>
        <w:rPr>
          <w:sz w:val="24"/>
          <w:szCs w:val="24"/>
          <w:color w:val="auto"/>
        </w:rPr>
      </w:pPr>
    </w:p>
    <w:p>
      <w:pPr>
        <w:jc w:val="center"/>
        <w:ind w:right="-239"/>
        <w:spacing w:after="0"/>
        <w:rPr>
          <w:sz w:val="20"/>
          <w:szCs w:val="20"/>
          <w:color w:val="auto"/>
        </w:rPr>
      </w:pPr>
      <w:r>
        <w:rPr>
          <w:rFonts w:ascii="Arial" w:cs="Arial" w:eastAsia="Arial" w:hAnsi="Arial"/>
          <w:sz w:val="17"/>
          <w:szCs w:val="17"/>
          <w:color w:val="auto"/>
        </w:rPr>
        <w:t>(Name, address and telephone numbers of person authorized to receive</w:t>
      </w:r>
    </w:p>
    <w:p>
      <w:pPr>
        <w:spacing w:after="0" w:line="13" w:lineRule="exact"/>
        <w:rPr>
          <w:sz w:val="24"/>
          <w:szCs w:val="24"/>
          <w:color w:val="auto"/>
        </w:rPr>
      </w:pPr>
    </w:p>
    <w:p>
      <w:pPr>
        <w:jc w:val="center"/>
        <w:ind w:right="-239"/>
        <w:spacing w:after="0"/>
        <w:rPr>
          <w:sz w:val="20"/>
          <w:szCs w:val="20"/>
          <w:color w:val="auto"/>
        </w:rPr>
      </w:pPr>
      <w:r>
        <w:rPr>
          <w:rFonts w:ascii="Arial" w:cs="Arial" w:eastAsia="Arial" w:hAnsi="Arial"/>
          <w:sz w:val="17"/>
          <w:szCs w:val="17"/>
          <w:color w:val="auto"/>
        </w:rPr>
        <w:t>notices and communications on behalf of filing persons)</w:t>
      </w:r>
    </w:p>
    <w:p>
      <w:pPr>
        <w:spacing w:after="0" w:line="261" w:lineRule="exact"/>
        <w:rPr>
          <w:sz w:val="24"/>
          <w:szCs w:val="24"/>
          <w:color w:val="auto"/>
        </w:rPr>
      </w:pPr>
    </w:p>
    <w:p>
      <w:pPr>
        <w:jc w:val="center"/>
        <w:ind w:right="-239"/>
        <w:spacing w:after="0"/>
        <w:rPr>
          <w:sz w:val="20"/>
          <w:szCs w:val="20"/>
          <w:color w:val="auto"/>
        </w:rPr>
      </w:pPr>
      <w:r>
        <w:rPr>
          <w:rFonts w:ascii="Arial" w:cs="Arial" w:eastAsia="Arial" w:hAnsi="Arial"/>
          <w:sz w:val="17"/>
          <w:szCs w:val="17"/>
          <w:color w:val="auto"/>
        </w:rPr>
        <w:t>CALCULATION OF FILING FEE</w:t>
      </w:r>
    </w:p>
    <w:p>
      <w:pPr>
        <w:spacing w:after="0" w:line="262" w:lineRule="exact"/>
        <w:rPr>
          <w:sz w:val="24"/>
          <w:szCs w:val="24"/>
          <w:color w:val="auto"/>
        </w:rPr>
      </w:pPr>
    </w:p>
    <w:tbl>
      <w:tblPr>
        <w:tblLayout w:type="fixed"/>
        <w:tblInd w:w="2310" w:type="dxa"/>
        <w:tblCellMar>
          <w:top w:w="0" w:type="dxa"/>
          <w:left w:w="0" w:type="dxa"/>
          <w:bottom w:w="0" w:type="dxa"/>
          <w:right w:w="0" w:type="dxa"/>
        </w:tblCellMar>
      </w:tblPr>
      <w:tr>
        <w:trPr>
          <w:trHeight w:val="225"/>
        </w:trPr>
        <w:tc>
          <w:tcPr>
            <w:tcW w:w="39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Transaction Valuation*</w:t>
            </w:r>
          </w:p>
        </w:tc>
        <w:tc>
          <w:tcPr>
            <w:tcW w:w="2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8"/>
              </w:rPr>
              <w:t>Amount of Filing Fee**</w:t>
            </w:r>
          </w:p>
        </w:tc>
      </w:tr>
      <w:tr>
        <w:trPr>
          <w:trHeight w:val="230"/>
        </w:trPr>
        <w:tc>
          <w:tcPr>
            <w:tcW w:w="3900" w:type="dxa"/>
            <w:vAlign w:val="bottom"/>
            <w:tcBorders>
              <w:left w:val="single" w:sz="8" w:color="auto"/>
              <w:bottom w:val="single" w:sz="8" w:color="auto"/>
              <w:right w:val="single" w:sz="8" w:color="auto"/>
            </w:tcBorders>
          </w:tcPr>
          <w:p>
            <w:pPr>
              <w:jc w:val="right"/>
              <w:ind w:right="1453"/>
              <w:spacing w:after="0"/>
              <w:rPr>
                <w:sz w:val="20"/>
                <w:szCs w:val="20"/>
                <w:color w:val="auto"/>
              </w:rPr>
            </w:pPr>
            <w:r>
              <w:rPr>
                <w:rFonts w:ascii="Arial" w:cs="Arial" w:eastAsia="Arial" w:hAnsi="Arial"/>
                <w:sz w:val="17"/>
                <w:szCs w:val="17"/>
                <w:color w:val="auto"/>
              </w:rPr>
              <w:t>$10,000,000</w:t>
            </w:r>
          </w:p>
        </w:tc>
        <w:tc>
          <w:tcPr>
            <w:tcW w:w="2940" w:type="dxa"/>
            <w:vAlign w:val="bottom"/>
            <w:tcBorders>
              <w:bottom w:val="single" w:sz="8" w:color="auto"/>
              <w:right w:val="single" w:sz="8" w:color="auto"/>
            </w:tcBorders>
          </w:tcPr>
          <w:p>
            <w:pPr>
              <w:jc w:val="right"/>
              <w:ind w:right="1173"/>
              <w:spacing w:after="0"/>
              <w:rPr>
                <w:sz w:val="20"/>
                <w:szCs w:val="20"/>
                <w:color w:val="auto"/>
              </w:rPr>
            </w:pPr>
            <w:r>
              <w:rPr>
                <w:rFonts w:ascii="Arial" w:cs="Arial" w:eastAsia="Arial" w:hAnsi="Arial"/>
                <w:sz w:val="17"/>
                <w:szCs w:val="17"/>
                <w:color w:val="auto"/>
              </w:rPr>
              <w:t>$1,070</w:t>
            </w:r>
          </w:p>
        </w:tc>
      </w:tr>
    </w:tbl>
    <w:p>
      <w:pPr>
        <w:spacing w:after="0" w:line="245" w:lineRule="exact"/>
        <w:rPr>
          <w:sz w:val="24"/>
          <w:szCs w:val="24"/>
          <w:color w:val="auto"/>
        </w:rPr>
      </w:pPr>
    </w:p>
    <w:p>
      <w:pPr>
        <w:ind w:firstLine="4"/>
        <w:spacing w:after="0" w:line="286" w:lineRule="auto"/>
        <w:tabs>
          <w:tab w:leader="none" w:pos="130" w:val="left"/>
        </w:tabs>
        <w:numPr>
          <w:ilvl w:val="0"/>
          <w:numId w:val="1"/>
        </w:numPr>
        <w:rPr>
          <w:rFonts w:ascii="Arial" w:cs="Arial" w:eastAsia="Arial" w:hAnsi="Arial"/>
          <w:sz w:val="17"/>
          <w:szCs w:val="17"/>
          <w:color w:val="auto"/>
        </w:rPr>
      </w:pPr>
      <w:r>
        <w:rPr>
          <w:rFonts w:ascii="Arial" w:cs="Arial" w:eastAsia="Arial" w:hAnsi="Arial"/>
          <w:sz w:val="17"/>
          <w:szCs w:val="17"/>
          <w:color w:val="auto"/>
        </w:rPr>
        <w:t>Calculated solely for the purpose of determining the amount of the filing fee, based on the purchase of 2,353,000 shares of Common Stock, par value $.001 per share, at the tender offer price of $4.25 per share.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 Calculated at $107.00 per $1,000,000 of the Transaction Valuation.</w:t>
      </w:r>
    </w:p>
    <w:p>
      <w:pPr>
        <w:spacing w:after="0" w:line="273" w:lineRule="exact"/>
        <w:rPr>
          <w:sz w:val="24"/>
          <w:szCs w:val="24"/>
          <w:color w:val="auto"/>
        </w:rPr>
      </w:pPr>
    </w:p>
    <w:p>
      <w:pPr>
        <w:ind w:right="20" w:firstLine="4"/>
        <w:spacing w:after="0" w:line="286" w:lineRule="auto"/>
        <w:tabs>
          <w:tab w:leader="none" w:pos="284" w:val="left"/>
        </w:tabs>
        <w:numPr>
          <w:ilvl w:val="0"/>
          <w:numId w:val="2"/>
        </w:numPr>
        <w:rPr>
          <w:rFonts w:ascii="Arial" w:cs="Arial" w:eastAsia="Arial" w:hAnsi="Arial"/>
          <w:sz w:val="17"/>
          <w:szCs w:val="17"/>
          <w:color w:val="auto"/>
        </w:rPr>
      </w:pPr>
      <w:r>
        <w:rPr>
          <w:rFonts w:ascii="Arial" w:cs="Arial" w:eastAsia="Arial" w:hAnsi="Arial"/>
          <w:sz w:val="17"/>
          <w:szCs w:val="17"/>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Amount Previously Paid: $1,070 Filing Party: ClearOne Communications, Inc.</w:t>
      </w:r>
    </w:p>
    <w:p>
      <w:pPr>
        <w:spacing w:after="0" w:line="25" w:lineRule="exact"/>
        <w:rPr>
          <w:sz w:val="24"/>
          <w:szCs w:val="24"/>
          <w:color w:val="auto"/>
        </w:rPr>
      </w:pPr>
    </w:p>
    <w:p>
      <w:pPr>
        <w:spacing w:after="0"/>
        <w:rPr>
          <w:sz w:val="20"/>
          <w:szCs w:val="20"/>
          <w:color w:val="auto"/>
        </w:rPr>
      </w:pPr>
      <w:r>
        <w:rPr>
          <w:rFonts w:ascii="Arial" w:cs="Arial" w:eastAsia="Arial" w:hAnsi="Arial"/>
          <w:sz w:val="17"/>
          <w:szCs w:val="17"/>
          <w:color w:val="auto"/>
        </w:rPr>
        <w:t>Form or Registration No.: Schedule TO Date Filed: November 6, 2006</w:t>
      </w:r>
    </w:p>
    <w:p>
      <w:pPr>
        <w:spacing w:after="0" w:line="261" w:lineRule="exact"/>
        <w:rPr>
          <w:sz w:val="24"/>
          <w:szCs w:val="24"/>
          <w:color w:val="auto"/>
        </w:rPr>
      </w:pPr>
    </w:p>
    <w:p>
      <w:pPr>
        <w:ind w:right="2440" w:firstLine="4"/>
        <w:spacing w:after="0" w:line="575" w:lineRule="auto"/>
        <w:tabs>
          <w:tab w:leader="none" w:pos="145" w:val="left"/>
        </w:tabs>
        <w:numPr>
          <w:ilvl w:val="0"/>
          <w:numId w:val="3"/>
        </w:numPr>
        <w:rPr>
          <w:rFonts w:ascii="Arial" w:cs="Arial" w:eastAsia="Arial" w:hAnsi="Arial"/>
          <w:sz w:val="17"/>
          <w:szCs w:val="17"/>
          <w:color w:val="auto"/>
        </w:rPr>
      </w:pPr>
      <w:r>
        <w:rPr>
          <w:rFonts w:ascii="Arial" w:cs="Arial" w:eastAsia="Arial" w:hAnsi="Arial"/>
          <w:sz w:val="17"/>
          <w:szCs w:val="17"/>
          <w:color w:val="auto"/>
        </w:rPr>
        <w:t>] Check the box if the filing relates solely to preliminary communications made before the commencement of a tender offer. Check the appropriate boxes below to designate any transaction to which the statement relates:</w:t>
      </w:r>
    </w:p>
    <w:p>
      <w:pPr>
        <w:spacing w:after="0" w:line="1" w:lineRule="exact"/>
        <w:rPr>
          <w:sz w:val="24"/>
          <w:szCs w:val="24"/>
          <w:color w:val="auto"/>
        </w:rPr>
      </w:pPr>
    </w:p>
    <w:p>
      <w:pPr>
        <w:ind w:right="7780" w:firstLine="4"/>
        <w:spacing w:after="0" w:line="279" w:lineRule="auto"/>
        <w:tabs>
          <w:tab w:leader="none" w:pos="145" w:val="left"/>
        </w:tabs>
        <w:numPr>
          <w:ilvl w:val="0"/>
          <w:numId w:val="4"/>
        </w:numPr>
        <w:rPr>
          <w:rFonts w:ascii="Arial" w:cs="Arial" w:eastAsia="Arial" w:hAnsi="Arial"/>
          <w:sz w:val="16"/>
          <w:szCs w:val="16"/>
          <w:color w:val="auto"/>
        </w:rPr>
      </w:pPr>
      <w:r>
        <w:rPr>
          <w:rFonts w:ascii="Arial" w:cs="Arial" w:eastAsia="Arial" w:hAnsi="Arial"/>
          <w:sz w:val="16"/>
          <w:szCs w:val="16"/>
          <w:color w:val="auto"/>
        </w:rPr>
        <w:t>] third-party tender offer subject to Rule 14d-1. [x] issuer tender offer subject to Rule 13e-4.</w:t>
      </w:r>
    </w:p>
    <w:p>
      <w:pPr>
        <w:spacing w:after="0" w:line="1" w:lineRule="exact"/>
        <w:rPr>
          <w:rFonts w:ascii="Arial" w:cs="Arial" w:eastAsia="Arial" w:hAnsi="Arial"/>
          <w:sz w:val="16"/>
          <w:szCs w:val="16"/>
          <w:color w:val="auto"/>
        </w:rPr>
      </w:pPr>
    </w:p>
    <w:p>
      <w:pPr>
        <w:ind w:left="140" w:hanging="136"/>
        <w:spacing w:after="0"/>
        <w:tabs>
          <w:tab w:leader="none" w:pos="140" w:val="left"/>
        </w:tabs>
        <w:numPr>
          <w:ilvl w:val="0"/>
          <w:numId w:val="4"/>
        </w:numPr>
        <w:rPr>
          <w:rFonts w:ascii="Arial" w:cs="Arial" w:eastAsia="Arial" w:hAnsi="Arial"/>
          <w:sz w:val="17"/>
          <w:szCs w:val="17"/>
          <w:color w:val="auto"/>
        </w:rPr>
      </w:pPr>
      <w:r>
        <w:rPr>
          <w:rFonts w:ascii="Arial" w:cs="Arial" w:eastAsia="Arial" w:hAnsi="Arial"/>
          <w:sz w:val="17"/>
          <w:szCs w:val="17"/>
          <w:color w:val="auto"/>
        </w:rPr>
        <w:t>] going-private transaction subject to Rule 13e-3</w:t>
      </w:r>
    </w:p>
    <w:p>
      <w:pPr>
        <w:spacing w:after="0" w:line="12" w:lineRule="exact"/>
        <w:rPr>
          <w:rFonts w:ascii="Arial" w:cs="Arial" w:eastAsia="Arial" w:hAnsi="Arial"/>
          <w:sz w:val="17"/>
          <w:szCs w:val="17"/>
          <w:color w:val="auto"/>
        </w:rPr>
      </w:pPr>
    </w:p>
    <w:p>
      <w:pPr>
        <w:ind w:left="140" w:hanging="136"/>
        <w:spacing w:after="0"/>
        <w:tabs>
          <w:tab w:leader="none" w:pos="140" w:val="left"/>
        </w:tabs>
        <w:numPr>
          <w:ilvl w:val="0"/>
          <w:numId w:val="4"/>
        </w:numPr>
        <w:rPr>
          <w:rFonts w:ascii="Arial" w:cs="Arial" w:eastAsia="Arial" w:hAnsi="Arial"/>
          <w:sz w:val="17"/>
          <w:szCs w:val="17"/>
          <w:color w:val="auto"/>
        </w:rPr>
      </w:pPr>
      <w:r>
        <w:rPr>
          <w:rFonts w:ascii="Arial" w:cs="Arial" w:eastAsia="Arial" w:hAnsi="Arial"/>
          <w:sz w:val="17"/>
          <w:szCs w:val="17"/>
          <w:color w:val="auto"/>
        </w:rPr>
        <w:t>] amendment to Schedule 13D under Rule 13d-2</w:t>
      </w:r>
    </w:p>
    <w:p>
      <w:pPr>
        <w:spacing w:after="0" w:line="261" w:lineRule="exact"/>
        <w:rPr>
          <w:sz w:val="24"/>
          <w:szCs w:val="24"/>
          <w:color w:val="auto"/>
        </w:rPr>
      </w:pPr>
    </w:p>
    <w:p>
      <w:pPr>
        <w:spacing w:after="0"/>
        <w:rPr>
          <w:sz w:val="20"/>
          <w:szCs w:val="20"/>
          <w:color w:val="auto"/>
        </w:rPr>
      </w:pPr>
      <w:r>
        <w:rPr>
          <w:rFonts w:ascii="Arial" w:cs="Arial" w:eastAsia="Arial" w:hAnsi="Arial"/>
          <w:sz w:val="17"/>
          <w:szCs w:val="17"/>
          <w:color w:val="auto"/>
        </w:rPr>
        <w:t>Check the following box if the filing is a final amendment reporting the results of the tender offer: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104775</wp:posOffset>
            </wp:positionV>
            <wp:extent cx="7256145" cy="43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6145" cy="43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ind w:right="-239"/>
        <w:spacing w:after="0"/>
        <w:rPr>
          <w:sz w:val="20"/>
          <w:szCs w:val="20"/>
          <w:color w:val="auto"/>
        </w:rPr>
      </w:pPr>
      <w:r>
        <w:rPr>
          <w:rFonts w:ascii="Arial" w:cs="Arial" w:eastAsia="Arial" w:hAnsi="Arial"/>
          <w:sz w:val="17"/>
          <w:szCs w:val="17"/>
          <w:color w:val="auto"/>
        </w:rPr>
        <w: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80010</wp:posOffset>
            </wp:positionV>
            <wp:extent cx="725614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200"/>
          </w:cols>
          <w:pgMar w:left="240" w:top="806" w:right="459" w:bottom="221" w:gutter="0" w:footer="0" w:header="0"/>
        </w:sectPr>
      </w:pPr>
    </w:p>
    <w:bookmarkStart w:id="1" w:name="page2"/>
    <w:bookmarkEnd w:id="1"/>
    <w:p>
      <w:pPr>
        <w:ind w:right="40"/>
        <w:spacing w:after="0" w:line="261" w:lineRule="auto"/>
        <w:rPr>
          <w:sz w:val="20"/>
          <w:szCs w:val="20"/>
          <w:color w:val="auto"/>
        </w:rPr>
      </w:pPr>
      <w:r>
        <w:rPr>
          <w:rFonts w:ascii="Arial" w:cs="Arial" w:eastAsia="Arial" w:hAnsi="Arial"/>
          <w:sz w:val="17"/>
          <w:szCs w:val="17"/>
          <w:color w:val="auto"/>
        </w:rPr>
        <w:t>This Amendment No. 1 to the Tender Offer Statement on Schedule TO relates to the tender offer by ClearOne Communications, Inc., a Utah corporation ("CLRO" or the "Company"), to purchase 2,353,000 shares, or such lesser number of shares as are validly tendered and not withdrawn, of its Common Stock, par value $.001 per share, at a price of $4.25 per Share, upon the terms and subject to the conditions set forth in the Offer to Purchase dated November 6, 2006 (the "Offer to Purchase"), and in the related Letter of Transmittal which, as they may be amended from time to time, together constitute the "Offer," copies of which were previously filed on Schedule TO as Exhibit (a)(1)(A) and (a)(1)(B), respectively. This Amendment No. 1 to the Schedule TO is intended to satisfy the reporting requirements of Rule 13e-4(c)(1) of the Securities Exchange Act of 1934, as amended.</w:t>
      </w:r>
    </w:p>
    <w:p>
      <w:pPr>
        <w:spacing w:after="0" w:line="23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information in the Tender Offer, including all schedules and annexes thereto, which was previously filed with the Schedule TO, is hereby expressly incorporated by reference into this Amendment, except that such information is hereby amended and supplemented to the extent specifically provided in this Amendment.</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11. </w:t>
      </w:r>
      <w:r>
        <w:rPr>
          <w:rFonts w:ascii="Arial" w:cs="Arial" w:eastAsia="Arial" w:hAnsi="Arial"/>
          <w:sz w:val="17"/>
          <w:szCs w:val="17"/>
          <w:b w:val="1"/>
          <w:bCs w:val="1"/>
          <w:i w:val="1"/>
          <w:iCs w:val="1"/>
          <w:color w:val="auto"/>
        </w:rPr>
        <w:t>Additional Information.</w:t>
      </w:r>
    </w:p>
    <w:p>
      <w:pPr>
        <w:spacing w:after="0" w:line="27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Item 11 of the Schedule TO is hereby amended and supplemented by adding the following:</w:t>
      </w:r>
    </w:p>
    <w:p>
      <w:pPr>
        <w:spacing w:after="0" w:line="273" w:lineRule="exact"/>
        <w:rPr>
          <w:sz w:val="20"/>
          <w:szCs w:val="20"/>
          <w:color w:val="auto"/>
        </w:rPr>
      </w:pPr>
    </w:p>
    <w:p>
      <w:pPr>
        <w:ind w:right="80" w:firstLine="469"/>
        <w:spacing w:after="0" w:line="319" w:lineRule="auto"/>
        <w:rPr>
          <w:sz w:val="20"/>
          <w:szCs w:val="20"/>
          <w:color w:val="auto"/>
        </w:rPr>
      </w:pPr>
      <w:r>
        <w:rPr>
          <w:rFonts w:ascii="Arial" w:cs="Arial" w:eastAsia="Arial" w:hAnsi="Arial"/>
          <w:sz w:val="16"/>
          <w:szCs w:val="16"/>
          <w:color w:val="auto"/>
        </w:rPr>
        <w:t>On December 7, 2006, the Company issued a press release announcing the preliminary results of the Tender Offer, which expired at 12:00 midnight, Eastern time, on December 6, 2006. A copy of the press release is filed as Exhibit (a)(5)(B) to this Schedule TO and is incorporated herein by reference.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Exhibits</w:t>
      </w:r>
      <w:r>
        <w:rPr>
          <w:rFonts w:ascii="Arial" w:cs="Arial" w:eastAsia="Arial" w:hAnsi="Arial"/>
          <w:sz w:val="17"/>
          <w:szCs w:val="17"/>
          <w:b w:val="1"/>
          <w:bCs w:val="1"/>
          <w:color w:val="auto"/>
        </w:rPr>
        <w:t>.</w:t>
      </w:r>
    </w:p>
    <w:p>
      <w:pPr>
        <w:spacing w:after="0" w:line="27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Item 12 of the Schedule TO is hereby amended and supplemented by adding the following exhibit:</w:t>
      </w:r>
    </w:p>
    <w:p>
      <w:pPr>
        <w:spacing w:after="0" w:line="27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(a)(5)(B)  Press Release, dated December 7, 2006, announcing preliminary results of the Tender Offer</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After due inquiry and to the best of my knowledge and belief, I certify that the information set forth in this statement is true, complete and correct.</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460" w:type="dxa"/>
            <w:vAlign w:val="bottom"/>
          </w:tcPr>
          <w:p>
            <w:pPr>
              <w:spacing w:after="0"/>
              <w:rPr>
                <w:sz w:val="20"/>
                <w:szCs w:val="20"/>
                <w:color w:val="auto"/>
              </w:rPr>
            </w:pPr>
            <w:r>
              <w:rPr>
                <w:rFonts w:ascii="Arial" w:cs="Arial" w:eastAsia="Arial" w:hAnsi="Arial"/>
                <w:sz w:val="17"/>
                <w:szCs w:val="17"/>
                <w:color w:val="auto"/>
              </w:rPr>
              <w:t>DATE: December 7, 2006</w:t>
            </w:r>
          </w:p>
        </w:tc>
        <w:tc>
          <w:tcPr>
            <w:tcW w:w="3960" w:type="dxa"/>
            <w:vAlign w:val="bottom"/>
            <w:gridSpan w:val="3"/>
          </w:tcPr>
          <w:p>
            <w:pPr>
              <w:jc w:val="center"/>
              <w:ind w:left="493"/>
              <w:spacing w:after="0"/>
              <w:rPr>
                <w:sz w:val="20"/>
                <w:szCs w:val="20"/>
                <w:color w:val="auto"/>
              </w:rPr>
            </w:pPr>
            <w:r>
              <w:rPr>
                <w:rFonts w:ascii="Arial" w:cs="Arial" w:eastAsia="Arial" w:hAnsi="Arial"/>
                <w:sz w:val="17"/>
                <w:szCs w:val="17"/>
                <w:color w:val="auto"/>
                <w:w w:val="99"/>
              </w:rPr>
              <w:t>CLEARONE COMMUNICATIONS, INC.</w:t>
            </w:r>
          </w:p>
        </w:tc>
      </w:tr>
      <w:tr>
        <w:trPr>
          <w:trHeight w:val="690"/>
        </w:trPr>
        <w:tc>
          <w:tcPr>
            <w:tcW w:w="7460" w:type="dxa"/>
            <w:vAlign w:val="bottom"/>
          </w:tcPr>
          <w:p>
            <w:pPr>
              <w:jc w:val="right"/>
              <w:ind w:right="853"/>
              <w:spacing w:after="0"/>
              <w:rPr>
                <w:sz w:val="20"/>
                <w:szCs w:val="20"/>
                <w:color w:val="auto"/>
              </w:rPr>
            </w:pPr>
            <w:r>
              <w:rPr>
                <w:rFonts w:ascii="Arial" w:cs="Arial" w:eastAsia="Arial" w:hAnsi="Arial"/>
                <w:sz w:val="17"/>
                <w:szCs w:val="17"/>
                <w:color w:val="auto"/>
              </w:rPr>
              <w:t>&amp;# 160;</w:t>
            </w:r>
          </w:p>
        </w:tc>
        <w:tc>
          <w:tcPr>
            <w:tcW w:w="3960" w:type="dxa"/>
            <w:vAlign w:val="bottom"/>
            <w:gridSpan w:val="3"/>
          </w:tcPr>
          <w:p>
            <w:pPr>
              <w:jc w:val="center"/>
              <w:ind w:left="473"/>
              <w:spacing w:after="0"/>
              <w:rPr>
                <w:sz w:val="20"/>
                <w:szCs w:val="20"/>
                <w:color w:val="auto"/>
              </w:rPr>
            </w:pPr>
            <w:r>
              <w:rPr>
                <w:rFonts w:ascii="Arial" w:cs="Arial" w:eastAsia="Arial" w:hAnsi="Arial"/>
                <w:sz w:val="17"/>
                <w:szCs w:val="17"/>
                <w:color w:val="auto"/>
                <w:w w:val="95"/>
              </w:rPr>
              <w:t>By /s/ Zeynep Hakimoglu</w:t>
            </w:r>
          </w:p>
        </w:tc>
      </w:tr>
      <w:tr>
        <w:trPr>
          <w:trHeight w:val="20"/>
        </w:trPr>
        <w:tc>
          <w:tcPr>
            <w:tcW w:w="7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5"/>
        </w:trPr>
        <w:tc>
          <w:tcPr>
            <w:tcW w:w="7460" w:type="dxa"/>
            <w:vAlign w:val="bottom"/>
          </w:tcPr>
          <w:p>
            <w:pPr>
              <w:jc w:val="right"/>
              <w:ind w:right="713"/>
              <w:spacing w:after="0"/>
              <w:rPr>
                <w:sz w:val="20"/>
                <w:szCs w:val="20"/>
                <w:color w:val="auto"/>
              </w:rPr>
            </w:pPr>
            <w:r>
              <w:rPr>
                <w:rFonts w:ascii="Arial" w:cs="Arial" w:eastAsia="Arial" w:hAnsi="Arial"/>
                <w:sz w:val="17"/>
                <w:szCs w:val="17"/>
                <w:color w:val="auto"/>
              </w:rPr>
              <w:t>&amp;# 160;</w:t>
            </w:r>
          </w:p>
        </w:tc>
        <w:tc>
          <w:tcPr>
            <w:tcW w:w="3960" w:type="dxa"/>
            <w:vAlign w:val="bottom"/>
            <w:gridSpan w:val="3"/>
          </w:tcPr>
          <w:p>
            <w:pPr>
              <w:ind w:left="1560"/>
              <w:spacing w:after="0"/>
              <w:rPr>
                <w:sz w:val="20"/>
                <w:szCs w:val="20"/>
                <w:color w:val="auto"/>
              </w:rPr>
            </w:pPr>
            <w:r>
              <w:rPr>
                <w:rFonts w:ascii="Arial" w:cs="Arial" w:eastAsia="Arial" w:hAnsi="Arial"/>
                <w:sz w:val="17"/>
                <w:szCs w:val="17"/>
                <w:color w:val="auto"/>
                <w:w w:val="93"/>
              </w:rPr>
              <w:t>President, Chief Executive Officer</w:t>
            </w:r>
          </w:p>
        </w:tc>
      </w:tr>
      <w:tr>
        <w:trPr>
          <w:trHeight w:val="221"/>
        </w:trPr>
        <w:tc>
          <w:tcPr>
            <w:tcW w:w="7460" w:type="dxa"/>
            <w:vAlign w:val="bottom"/>
          </w:tcPr>
          <w:p>
            <w:pPr>
              <w:spacing w:after="0"/>
              <w:rPr>
                <w:sz w:val="20"/>
                <w:szCs w:val="20"/>
                <w:color w:val="auto"/>
              </w:rPr>
            </w:pPr>
            <w:r>
              <w:rPr>
                <w:rFonts w:ascii="Arial" w:cs="Arial" w:eastAsia="Arial" w:hAnsi="Arial"/>
                <w:sz w:val="17"/>
                <w:szCs w:val="17"/>
                <w:color w:val="auto"/>
              </w:rPr>
              <w:t>and Director</w:t>
            </w:r>
          </w:p>
        </w:tc>
        <w:tc>
          <w:tcPr>
            <w:tcW w:w="16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0" w:type="dxa"/>
            <w:vAlign w:val="bottom"/>
          </w:tcPr>
          <w:p>
            <w:pPr>
              <w:spacing w:after="0"/>
              <w:rPr>
                <w:sz w:val="19"/>
                <w:szCs w:val="19"/>
                <w:color w:val="auto"/>
              </w:rPr>
            </w:pPr>
          </w:p>
        </w:tc>
      </w:tr>
    </w:tbl>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80010</wp:posOffset>
            </wp:positionV>
            <wp:extent cx="725614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622" w:right="2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Exhibits.</w:t>
      </w:r>
    </w:p>
    <w:p>
      <w:pPr>
        <w:spacing w:after="0" w:line="318" w:lineRule="exact"/>
        <w:rPr>
          <w:sz w:val="20"/>
          <w:szCs w:val="20"/>
          <w:color w:val="auto"/>
        </w:rPr>
      </w:pPr>
    </w:p>
    <w:p>
      <w:pPr>
        <w:spacing w:after="0"/>
        <w:tabs>
          <w:tab w:leader="none" w:pos="3920" w:val="left"/>
        </w:tabs>
        <w:rPr>
          <w:sz w:val="20"/>
          <w:szCs w:val="20"/>
          <w:color w:val="auto"/>
        </w:rPr>
      </w:pPr>
      <w:r>
        <w:rPr>
          <w:rFonts w:ascii="Arial" w:cs="Arial" w:eastAsia="Arial" w:hAnsi="Arial"/>
          <w:sz w:val="17"/>
          <w:szCs w:val="17"/>
          <w:color w:val="auto"/>
        </w:rPr>
        <w:t>Exhibit Number</w:t>
      </w:r>
      <w:r>
        <w:rPr>
          <w:sz w:val="20"/>
          <w:szCs w:val="20"/>
          <w:color w:val="auto"/>
        </w:rPr>
        <w:tab/>
      </w:r>
      <w:r>
        <w:rPr>
          <w:rFonts w:ascii="Arial" w:cs="Arial" w:eastAsia="Arial" w:hAnsi="Arial"/>
          <w:sz w:val="15"/>
          <w:szCs w:val="15"/>
          <w:color w:val="auto"/>
        </w:rPr>
        <w:t>Description</w:t>
      </w:r>
    </w:p>
    <w:p>
      <w:pPr>
        <w:spacing w:after="0" w:line="325" w:lineRule="exact"/>
        <w:rPr>
          <w:sz w:val="20"/>
          <w:szCs w:val="20"/>
          <w:color w:val="auto"/>
        </w:rPr>
      </w:pPr>
    </w:p>
    <w:p>
      <w:pPr>
        <w:spacing w:after="0"/>
        <w:tabs>
          <w:tab w:leader="none" w:pos="2000" w:val="left"/>
        </w:tabs>
        <w:rPr>
          <w:sz w:val="20"/>
          <w:szCs w:val="20"/>
          <w:color w:val="auto"/>
        </w:rPr>
      </w:pPr>
      <w:r>
        <w:rPr>
          <w:rFonts w:ascii="Arial" w:cs="Arial" w:eastAsia="Arial" w:hAnsi="Arial"/>
          <w:sz w:val="17"/>
          <w:szCs w:val="17"/>
          <w:color w:val="auto"/>
        </w:rPr>
        <w:t>(a)(1)(A)*</w:t>
      </w:r>
      <w:r>
        <w:rPr>
          <w:sz w:val="20"/>
          <w:szCs w:val="20"/>
          <w:color w:val="auto"/>
        </w:rPr>
        <w:tab/>
      </w:r>
      <w:r>
        <w:rPr>
          <w:rFonts w:ascii="Arial" w:cs="Arial" w:eastAsia="Arial" w:hAnsi="Arial"/>
          <w:sz w:val="17"/>
          <w:szCs w:val="17"/>
          <w:color w:val="auto"/>
        </w:rPr>
        <w:t>Offer to Purchase, dated November 6, 2006</w:t>
      </w:r>
    </w:p>
    <w:p>
      <w:pPr>
        <w:spacing w:after="0" w:line="325" w:lineRule="exact"/>
        <w:rPr>
          <w:sz w:val="20"/>
          <w:szCs w:val="20"/>
          <w:color w:val="auto"/>
        </w:rPr>
      </w:pPr>
    </w:p>
    <w:p>
      <w:pPr>
        <w:spacing w:after="0"/>
        <w:tabs>
          <w:tab w:leader="none" w:pos="1980" w:val="left"/>
        </w:tabs>
        <w:rPr>
          <w:sz w:val="20"/>
          <w:szCs w:val="20"/>
          <w:color w:val="auto"/>
        </w:rPr>
      </w:pPr>
      <w:r>
        <w:rPr>
          <w:rFonts w:ascii="Arial" w:cs="Arial" w:eastAsia="Arial" w:hAnsi="Arial"/>
          <w:sz w:val="17"/>
          <w:szCs w:val="17"/>
          <w:color w:val="auto"/>
        </w:rPr>
        <w:t>(a)(1)(B)*</w:t>
      </w:r>
      <w:r>
        <w:rPr>
          <w:sz w:val="20"/>
          <w:szCs w:val="20"/>
          <w:color w:val="auto"/>
        </w:rPr>
        <w:tab/>
      </w:r>
      <w:r>
        <w:rPr>
          <w:rFonts w:ascii="Arial" w:cs="Arial" w:eastAsia="Arial" w:hAnsi="Arial"/>
          <w:sz w:val="17"/>
          <w:szCs w:val="17"/>
          <w:color w:val="auto"/>
        </w:rPr>
        <w:t>Letter of Transmittal</w:t>
      </w:r>
    </w:p>
    <w:p>
      <w:pPr>
        <w:spacing w:after="0" w:line="325" w:lineRule="exact"/>
        <w:rPr>
          <w:sz w:val="20"/>
          <w:szCs w:val="20"/>
          <w:color w:val="auto"/>
        </w:rPr>
      </w:pPr>
    </w:p>
    <w:p>
      <w:pPr>
        <w:spacing w:after="0"/>
        <w:tabs>
          <w:tab w:leader="none" w:pos="1980" w:val="left"/>
        </w:tabs>
        <w:rPr>
          <w:sz w:val="20"/>
          <w:szCs w:val="20"/>
          <w:color w:val="auto"/>
        </w:rPr>
      </w:pPr>
      <w:r>
        <w:rPr>
          <w:rFonts w:ascii="Arial" w:cs="Arial" w:eastAsia="Arial" w:hAnsi="Arial"/>
          <w:sz w:val="17"/>
          <w:szCs w:val="17"/>
          <w:color w:val="auto"/>
        </w:rPr>
        <w:t>(a)(1)(C)*</w:t>
      </w:r>
      <w:r>
        <w:rPr>
          <w:sz w:val="20"/>
          <w:szCs w:val="20"/>
          <w:color w:val="auto"/>
        </w:rPr>
        <w:tab/>
      </w:r>
      <w:r>
        <w:rPr>
          <w:rFonts w:ascii="Arial" w:cs="Arial" w:eastAsia="Arial" w:hAnsi="Arial"/>
          <w:sz w:val="17"/>
          <w:szCs w:val="17"/>
          <w:color w:val="auto"/>
        </w:rPr>
        <w:t>Notice of Guaranteed Delivery</w:t>
      </w:r>
    </w:p>
    <w:p>
      <w:pPr>
        <w:spacing w:after="0" w:line="325" w:lineRule="exact"/>
        <w:rPr>
          <w:sz w:val="20"/>
          <w:szCs w:val="20"/>
          <w:color w:val="auto"/>
        </w:rPr>
      </w:pPr>
    </w:p>
    <w:p>
      <w:pPr>
        <w:spacing w:after="0"/>
        <w:tabs>
          <w:tab w:leader="none" w:pos="2000" w:val="left"/>
        </w:tabs>
        <w:rPr>
          <w:sz w:val="20"/>
          <w:szCs w:val="20"/>
          <w:color w:val="auto"/>
        </w:rPr>
      </w:pPr>
      <w:r>
        <w:rPr>
          <w:rFonts w:ascii="Arial" w:cs="Arial" w:eastAsia="Arial" w:hAnsi="Arial"/>
          <w:sz w:val="17"/>
          <w:szCs w:val="17"/>
          <w:color w:val="auto"/>
        </w:rPr>
        <w:t>(a)(1)(D)*</w:t>
      </w:r>
      <w:r>
        <w:rPr>
          <w:sz w:val="20"/>
          <w:szCs w:val="20"/>
          <w:color w:val="auto"/>
        </w:rPr>
        <w:tab/>
      </w:r>
      <w:r>
        <w:rPr>
          <w:rFonts w:ascii="Arial" w:cs="Arial" w:eastAsia="Arial" w:hAnsi="Arial"/>
          <w:sz w:val="17"/>
          <w:szCs w:val="17"/>
          <w:color w:val="auto"/>
        </w:rPr>
        <w:t>Letter to Brokers, Dealers, Commercial Banks, Trust Companies and Other Nominees</w:t>
      </w:r>
    </w:p>
    <w:p>
      <w:pPr>
        <w:spacing w:after="0" w:line="325" w:lineRule="exact"/>
        <w:rPr>
          <w:sz w:val="20"/>
          <w:szCs w:val="20"/>
          <w:color w:val="auto"/>
        </w:rPr>
      </w:pPr>
    </w:p>
    <w:p>
      <w:pPr>
        <w:spacing w:after="0"/>
        <w:tabs>
          <w:tab w:leader="none" w:pos="1980" w:val="left"/>
        </w:tabs>
        <w:rPr>
          <w:sz w:val="20"/>
          <w:szCs w:val="20"/>
          <w:color w:val="auto"/>
        </w:rPr>
      </w:pPr>
      <w:r>
        <w:rPr>
          <w:rFonts w:ascii="Arial" w:cs="Arial" w:eastAsia="Arial" w:hAnsi="Arial"/>
          <w:sz w:val="17"/>
          <w:szCs w:val="17"/>
          <w:color w:val="auto"/>
        </w:rPr>
        <w:t>(a)(1)(E)*</w:t>
      </w:r>
      <w:r>
        <w:rPr>
          <w:sz w:val="20"/>
          <w:szCs w:val="20"/>
          <w:color w:val="auto"/>
        </w:rPr>
        <w:tab/>
      </w:r>
      <w:r>
        <w:rPr>
          <w:rFonts w:ascii="Arial" w:cs="Arial" w:eastAsia="Arial" w:hAnsi="Arial"/>
          <w:sz w:val="17"/>
          <w:szCs w:val="17"/>
          <w:color w:val="auto"/>
        </w:rPr>
        <w:t>Letter to Clients for use by Brokers, Dealers, Commercial Banks, Trust Companies and Other Nominees</w:t>
      </w:r>
    </w:p>
    <w:p>
      <w:pPr>
        <w:spacing w:after="0" w:line="325" w:lineRule="exact"/>
        <w:rPr>
          <w:sz w:val="20"/>
          <w:szCs w:val="20"/>
          <w:color w:val="auto"/>
        </w:rPr>
      </w:pPr>
    </w:p>
    <w:p>
      <w:pPr>
        <w:spacing w:after="0"/>
        <w:tabs>
          <w:tab w:leader="none" w:pos="1960" w:val="left"/>
        </w:tabs>
        <w:rPr>
          <w:sz w:val="20"/>
          <w:szCs w:val="20"/>
          <w:color w:val="auto"/>
        </w:rPr>
      </w:pPr>
      <w:r>
        <w:rPr>
          <w:rFonts w:ascii="Arial" w:cs="Arial" w:eastAsia="Arial" w:hAnsi="Arial"/>
          <w:sz w:val="17"/>
          <w:szCs w:val="17"/>
          <w:color w:val="auto"/>
        </w:rPr>
        <w:t>(a)(1)(F)*</w:t>
      </w:r>
      <w:r>
        <w:rPr>
          <w:sz w:val="20"/>
          <w:szCs w:val="20"/>
          <w:color w:val="auto"/>
        </w:rPr>
        <w:tab/>
      </w:r>
      <w:r>
        <w:rPr>
          <w:rFonts w:ascii="Arial" w:cs="Arial" w:eastAsia="Arial" w:hAnsi="Arial"/>
          <w:sz w:val="17"/>
          <w:szCs w:val="17"/>
          <w:color w:val="auto"/>
        </w:rPr>
        <w:t>Guidelines for Certification of Taxpayer Identification Number on Substitute Form W-9</w:t>
      </w:r>
    </w:p>
    <w:p>
      <w:pPr>
        <w:spacing w:after="0" w:line="286" w:lineRule="exact"/>
        <w:rPr>
          <w:sz w:val="20"/>
          <w:szCs w:val="20"/>
          <w:color w:val="auto"/>
        </w:rPr>
      </w:pPr>
    </w:p>
    <w:p>
      <w:pPr>
        <w:spacing w:after="0"/>
        <w:tabs>
          <w:tab w:leader="none" w:pos="2000" w:val="left"/>
        </w:tabs>
        <w:rPr>
          <w:sz w:val="20"/>
          <w:szCs w:val="20"/>
          <w:color w:val="auto"/>
        </w:rPr>
      </w:pPr>
      <w:r>
        <w:rPr>
          <w:rFonts w:ascii="Arial" w:cs="Arial" w:eastAsia="Arial" w:hAnsi="Arial"/>
          <w:sz w:val="17"/>
          <w:szCs w:val="17"/>
          <w:color w:val="auto"/>
        </w:rPr>
        <w:t>(a)(1)(G)*</w:t>
      </w:r>
      <w:r>
        <w:rPr>
          <w:sz w:val="20"/>
          <w:szCs w:val="20"/>
          <w:color w:val="auto"/>
        </w:rPr>
        <w:tab/>
      </w:r>
      <w:r>
        <w:rPr>
          <w:rFonts w:ascii="Arial" w:cs="Arial" w:eastAsia="Arial" w:hAnsi="Arial"/>
          <w:sz w:val="17"/>
          <w:szCs w:val="17"/>
          <w:color w:val="auto"/>
        </w:rPr>
        <w:t>Letter to Shareholders</w:t>
      </w:r>
    </w:p>
    <w:p>
      <w:pPr>
        <w:spacing w:after="0" w:line="312" w:lineRule="exact"/>
        <w:rPr>
          <w:sz w:val="20"/>
          <w:szCs w:val="20"/>
          <w:color w:val="auto"/>
        </w:rPr>
      </w:pPr>
    </w:p>
    <w:p>
      <w:pPr>
        <w:spacing w:after="0"/>
        <w:tabs>
          <w:tab w:leader="none" w:pos="1720" w:val="left"/>
        </w:tabs>
        <w:rPr>
          <w:sz w:val="20"/>
          <w:szCs w:val="20"/>
          <w:color w:val="auto"/>
        </w:rPr>
      </w:pPr>
      <w:r>
        <w:rPr>
          <w:rFonts w:ascii="Arial" w:cs="Arial" w:eastAsia="Arial" w:hAnsi="Arial"/>
          <w:sz w:val="17"/>
          <w:szCs w:val="17"/>
          <w:color w:val="auto"/>
        </w:rPr>
        <w:t>(a)(2)</w:t>
      </w:r>
      <w:r>
        <w:rPr>
          <w:sz w:val="20"/>
          <w:szCs w:val="20"/>
          <w:color w:val="auto"/>
        </w:rPr>
        <w:tab/>
      </w:r>
      <w:r>
        <w:rPr>
          <w:rFonts w:ascii="Arial" w:cs="Arial" w:eastAsia="Arial" w:hAnsi="Arial"/>
          <w:sz w:val="17"/>
          <w:szCs w:val="17"/>
          <w:color w:val="auto"/>
        </w:rPr>
        <w:t>Not applicable</w:t>
      </w:r>
    </w:p>
    <w:p>
      <w:pPr>
        <w:spacing w:after="0" w:line="325" w:lineRule="exact"/>
        <w:rPr>
          <w:sz w:val="20"/>
          <w:szCs w:val="20"/>
          <w:color w:val="auto"/>
        </w:rPr>
      </w:pPr>
    </w:p>
    <w:p>
      <w:pPr>
        <w:spacing w:after="0"/>
        <w:tabs>
          <w:tab w:leader="none" w:pos="1720" w:val="left"/>
        </w:tabs>
        <w:rPr>
          <w:sz w:val="20"/>
          <w:szCs w:val="20"/>
          <w:color w:val="auto"/>
        </w:rPr>
      </w:pPr>
      <w:r>
        <w:rPr>
          <w:rFonts w:ascii="Arial" w:cs="Arial" w:eastAsia="Arial" w:hAnsi="Arial"/>
          <w:sz w:val="17"/>
          <w:szCs w:val="17"/>
          <w:color w:val="auto"/>
        </w:rPr>
        <w:t>(a)(3)</w:t>
      </w:r>
      <w:r>
        <w:rPr>
          <w:sz w:val="20"/>
          <w:szCs w:val="20"/>
          <w:color w:val="auto"/>
        </w:rPr>
        <w:tab/>
      </w:r>
      <w:r>
        <w:rPr>
          <w:rFonts w:ascii="Arial" w:cs="Arial" w:eastAsia="Arial" w:hAnsi="Arial"/>
          <w:sz w:val="17"/>
          <w:szCs w:val="17"/>
          <w:color w:val="auto"/>
        </w:rPr>
        <w:t>Not applicable</w:t>
      </w:r>
    </w:p>
    <w:p>
      <w:pPr>
        <w:spacing w:after="0" w:line="325" w:lineRule="exact"/>
        <w:rPr>
          <w:sz w:val="20"/>
          <w:szCs w:val="20"/>
          <w:color w:val="auto"/>
        </w:rPr>
      </w:pPr>
    </w:p>
    <w:p>
      <w:pPr>
        <w:spacing w:after="0"/>
        <w:tabs>
          <w:tab w:leader="none" w:pos="1720" w:val="left"/>
        </w:tabs>
        <w:rPr>
          <w:sz w:val="20"/>
          <w:szCs w:val="20"/>
          <w:color w:val="auto"/>
        </w:rPr>
      </w:pPr>
      <w:r>
        <w:rPr>
          <w:rFonts w:ascii="Arial" w:cs="Arial" w:eastAsia="Arial" w:hAnsi="Arial"/>
          <w:sz w:val="17"/>
          <w:szCs w:val="17"/>
          <w:color w:val="auto"/>
        </w:rPr>
        <w:t>(a)(4)</w:t>
      </w:r>
      <w:r>
        <w:rPr>
          <w:sz w:val="20"/>
          <w:szCs w:val="20"/>
          <w:color w:val="auto"/>
        </w:rPr>
        <w:tab/>
      </w:r>
      <w:r>
        <w:rPr>
          <w:rFonts w:ascii="Arial" w:cs="Arial" w:eastAsia="Arial" w:hAnsi="Arial"/>
          <w:sz w:val="17"/>
          <w:szCs w:val="17"/>
          <w:color w:val="auto"/>
        </w:rPr>
        <w:t>Not applicable</w:t>
      </w:r>
    </w:p>
    <w:p>
      <w:pPr>
        <w:spacing w:after="0" w:line="286" w:lineRule="exact"/>
        <w:rPr>
          <w:sz w:val="20"/>
          <w:szCs w:val="20"/>
          <w:color w:val="auto"/>
        </w:rPr>
      </w:pPr>
    </w:p>
    <w:p>
      <w:pPr>
        <w:spacing w:after="0"/>
        <w:tabs>
          <w:tab w:leader="none" w:pos="1660" w:val="left"/>
        </w:tabs>
        <w:rPr>
          <w:sz w:val="20"/>
          <w:szCs w:val="20"/>
          <w:color w:val="auto"/>
        </w:rPr>
      </w:pPr>
      <w:r>
        <w:rPr>
          <w:rFonts w:ascii="Arial" w:cs="Arial" w:eastAsia="Arial" w:hAnsi="Arial"/>
          <w:sz w:val="17"/>
          <w:szCs w:val="17"/>
          <w:color w:val="auto"/>
        </w:rPr>
        <w:t>(a)(5)(A)*</w:t>
      </w:r>
      <w:r>
        <w:rPr>
          <w:sz w:val="20"/>
          <w:szCs w:val="20"/>
          <w:color w:val="auto"/>
        </w:rPr>
        <w:tab/>
      </w:r>
      <w:r>
        <w:rPr>
          <w:rFonts w:ascii="Arial" w:cs="Arial" w:eastAsia="Arial" w:hAnsi="Arial"/>
          <w:sz w:val="17"/>
          <w:szCs w:val="17"/>
          <w:color w:val="auto"/>
        </w:rPr>
        <w:t>Advertisement/Press Release, dated October 30, 2006,</w:t>
      </w:r>
    </w:p>
    <w:p>
      <w:pPr>
        <w:spacing w:after="0" w:line="273" w:lineRule="exact"/>
        <w:rPr>
          <w:sz w:val="20"/>
          <w:szCs w:val="20"/>
          <w:color w:val="auto"/>
        </w:rPr>
      </w:pPr>
    </w:p>
    <w:p>
      <w:pPr>
        <w:spacing w:after="0"/>
        <w:tabs>
          <w:tab w:leader="none" w:pos="1660" w:val="left"/>
        </w:tabs>
        <w:rPr>
          <w:sz w:val="20"/>
          <w:szCs w:val="20"/>
          <w:color w:val="auto"/>
        </w:rPr>
      </w:pPr>
      <w:r>
        <w:rPr>
          <w:rFonts w:ascii="Arial" w:cs="Arial" w:eastAsia="Arial" w:hAnsi="Arial"/>
          <w:sz w:val="17"/>
          <w:szCs w:val="17"/>
          <w:color w:val="auto"/>
        </w:rPr>
        <w:t>(a)(5)(B)</w:t>
      </w:r>
      <w:r>
        <w:rPr>
          <w:sz w:val="20"/>
          <w:szCs w:val="20"/>
          <w:color w:val="auto"/>
        </w:rPr>
        <w:tab/>
      </w:r>
      <w:r>
        <w:rPr>
          <w:rFonts w:ascii="Arial" w:cs="Arial" w:eastAsia="Arial" w:hAnsi="Arial"/>
          <w:sz w:val="17"/>
          <w:szCs w:val="17"/>
          <w:color w:val="auto"/>
        </w:rPr>
        <w:t>Advertisement/Press Release announcing preliminary results of the Tender Offer, dated December 7, 2006,</w:t>
      </w:r>
    </w:p>
    <w:p>
      <w:pPr>
        <w:spacing w:after="0" w:line="312" w:lineRule="exact"/>
        <w:rPr>
          <w:sz w:val="20"/>
          <w:szCs w:val="20"/>
          <w:color w:val="auto"/>
        </w:rPr>
      </w:pPr>
    </w:p>
    <w:p>
      <w:pPr>
        <w:spacing w:after="0"/>
        <w:tabs>
          <w:tab w:leader="none" w:pos="1660" w:val="left"/>
        </w:tabs>
        <w:rPr>
          <w:sz w:val="20"/>
          <w:szCs w:val="20"/>
          <w:color w:val="auto"/>
        </w:rPr>
      </w:pPr>
      <w:r>
        <w:rPr>
          <w:rFonts w:ascii="Arial" w:cs="Arial" w:eastAsia="Arial" w:hAnsi="Arial"/>
          <w:sz w:val="17"/>
          <w:szCs w:val="17"/>
          <w:color w:val="auto"/>
        </w:rPr>
        <w:t>(b)</w:t>
      </w:r>
      <w:r>
        <w:rPr>
          <w:sz w:val="20"/>
          <w:szCs w:val="20"/>
          <w:color w:val="auto"/>
        </w:rPr>
        <w:tab/>
      </w:r>
      <w:r>
        <w:rPr>
          <w:rFonts w:ascii="Arial" w:cs="Arial" w:eastAsia="Arial" w:hAnsi="Arial"/>
          <w:sz w:val="17"/>
          <w:szCs w:val="17"/>
          <w:color w:val="auto"/>
        </w:rPr>
        <w:t>Not applicable</w:t>
      </w:r>
    </w:p>
    <w:p>
      <w:pPr>
        <w:spacing w:after="0" w:line="325" w:lineRule="exact"/>
        <w:rPr>
          <w:sz w:val="20"/>
          <w:szCs w:val="20"/>
          <w:color w:val="auto"/>
        </w:rPr>
      </w:pPr>
    </w:p>
    <w:p>
      <w:pPr>
        <w:spacing w:after="0"/>
        <w:tabs>
          <w:tab w:leader="none" w:pos="1640" w:val="left"/>
        </w:tabs>
        <w:rPr>
          <w:sz w:val="20"/>
          <w:szCs w:val="20"/>
          <w:color w:val="auto"/>
        </w:rPr>
      </w:pPr>
      <w:r>
        <w:rPr>
          <w:rFonts w:ascii="Arial" w:cs="Arial" w:eastAsia="Arial" w:hAnsi="Arial"/>
          <w:sz w:val="17"/>
          <w:szCs w:val="17"/>
          <w:color w:val="auto"/>
        </w:rPr>
        <w:t>(d)(1)</w:t>
      </w:r>
      <w:r>
        <w:rPr>
          <w:sz w:val="20"/>
          <w:szCs w:val="20"/>
          <w:color w:val="auto"/>
        </w:rPr>
        <w:tab/>
      </w:r>
      <w:r>
        <w:rPr>
          <w:rFonts w:ascii="Arial" w:cs="Arial" w:eastAsia="Arial" w:hAnsi="Arial"/>
          <w:sz w:val="17"/>
          <w:szCs w:val="17"/>
          <w:color w:val="auto"/>
        </w:rPr>
        <w:t>Clearone Communications, Inc. 1998 Stock Option Plan</w:t>
      </w:r>
    </w:p>
    <w:p>
      <w:pPr>
        <w:spacing w:after="0" w:line="325" w:lineRule="exact"/>
        <w:rPr>
          <w:sz w:val="20"/>
          <w:szCs w:val="20"/>
          <w:color w:val="auto"/>
        </w:rPr>
      </w:pPr>
    </w:p>
    <w:p>
      <w:pPr>
        <w:spacing w:after="0"/>
        <w:tabs>
          <w:tab w:leader="none" w:pos="1640" w:val="left"/>
        </w:tabs>
        <w:rPr>
          <w:sz w:val="20"/>
          <w:szCs w:val="20"/>
          <w:color w:val="auto"/>
        </w:rPr>
      </w:pPr>
      <w:r>
        <w:rPr>
          <w:rFonts w:ascii="Arial" w:cs="Arial" w:eastAsia="Arial" w:hAnsi="Arial"/>
          <w:sz w:val="17"/>
          <w:szCs w:val="17"/>
          <w:color w:val="auto"/>
        </w:rPr>
        <w:t>(d)(2)</w:t>
      </w:r>
      <w:r>
        <w:rPr>
          <w:sz w:val="20"/>
          <w:szCs w:val="20"/>
          <w:color w:val="auto"/>
        </w:rPr>
        <w:tab/>
      </w:r>
      <w:r>
        <w:rPr>
          <w:rFonts w:ascii="Arial" w:cs="Arial" w:eastAsia="Arial" w:hAnsi="Arial"/>
          <w:sz w:val="17"/>
          <w:szCs w:val="17"/>
          <w:color w:val="auto"/>
        </w:rPr>
        <w:t>Clearone Communications, Inc. 1997 Employee Stock Purchase Plan</w:t>
      </w:r>
    </w:p>
    <w:p>
      <w:pPr>
        <w:spacing w:after="0" w:line="325" w:lineRule="exact"/>
        <w:rPr>
          <w:sz w:val="20"/>
          <w:szCs w:val="20"/>
          <w:color w:val="auto"/>
        </w:rPr>
      </w:pPr>
    </w:p>
    <w:p>
      <w:pPr>
        <w:spacing w:after="0"/>
        <w:tabs>
          <w:tab w:leader="none" w:pos="1660" w:val="left"/>
        </w:tabs>
        <w:rPr>
          <w:sz w:val="20"/>
          <w:szCs w:val="20"/>
          <w:color w:val="auto"/>
        </w:rPr>
      </w:pPr>
      <w:r>
        <w:rPr>
          <w:rFonts w:ascii="Arial" w:cs="Arial" w:eastAsia="Arial" w:hAnsi="Arial"/>
          <w:sz w:val="17"/>
          <w:szCs w:val="17"/>
          <w:color w:val="auto"/>
        </w:rPr>
        <w:t>(g)</w:t>
      </w:r>
      <w:r>
        <w:rPr>
          <w:sz w:val="20"/>
          <w:szCs w:val="20"/>
          <w:color w:val="auto"/>
        </w:rPr>
        <w:tab/>
      </w:r>
      <w:r>
        <w:rPr>
          <w:rFonts w:ascii="Arial" w:cs="Arial" w:eastAsia="Arial" w:hAnsi="Arial"/>
          <w:sz w:val="17"/>
          <w:szCs w:val="17"/>
          <w:color w:val="auto"/>
        </w:rPr>
        <w:t>Not applicable</w:t>
      </w:r>
    </w:p>
    <w:p>
      <w:pPr>
        <w:spacing w:after="0" w:line="286" w:lineRule="exact"/>
        <w:rPr>
          <w:sz w:val="20"/>
          <w:szCs w:val="20"/>
          <w:color w:val="auto"/>
        </w:rPr>
      </w:pPr>
    </w:p>
    <w:p>
      <w:pPr>
        <w:spacing w:after="0"/>
        <w:tabs>
          <w:tab w:leader="none" w:pos="1660" w:val="left"/>
        </w:tabs>
        <w:rPr>
          <w:sz w:val="20"/>
          <w:szCs w:val="20"/>
          <w:color w:val="auto"/>
        </w:rPr>
      </w:pPr>
      <w:r>
        <w:rPr>
          <w:rFonts w:ascii="Arial" w:cs="Arial" w:eastAsia="Arial" w:hAnsi="Arial"/>
          <w:sz w:val="17"/>
          <w:szCs w:val="17"/>
          <w:color w:val="auto"/>
        </w:rPr>
        <w:t>(h)</w:t>
      </w:r>
      <w:r>
        <w:rPr>
          <w:sz w:val="20"/>
          <w:szCs w:val="20"/>
          <w:color w:val="auto"/>
        </w:rPr>
        <w:tab/>
      </w:r>
      <w:r>
        <w:rPr>
          <w:rFonts w:ascii="Arial" w:cs="Arial" w:eastAsia="Arial" w:hAnsi="Arial"/>
          <w:sz w:val="17"/>
          <w:szCs w:val="17"/>
          <w:color w:val="auto"/>
        </w:rPr>
        <w:t>Not applicable</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w:t>
      </w:r>
    </w:p>
    <w:p>
      <w:pPr>
        <w:spacing w:after="0" w:line="312" w:lineRule="exact"/>
        <w:rPr>
          <w:sz w:val="20"/>
          <w:szCs w:val="20"/>
          <w:color w:val="auto"/>
        </w:rPr>
      </w:pPr>
    </w:p>
    <w:p>
      <w:pPr>
        <w:ind w:left="620" w:hanging="616"/>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Previously filed with Schedule TO on November 6, 2006.</w:t>
      </w:r>
    </w:p>
    <w:p>
      <w:pPr>
        <w:spacing w:after="0" w:line="286" w:lineRule="exact"/>
        <w:rPr>
          <w:sz w:val="20"/>
          <w:szCs w:val="20"/>
          <w:color w:val="auto"/>
        </w:rPr>
      </w:pPr>
    </w:p>
    <w:p>
      <w:pPr>
        <w:ind w:left="240" w:hanging="236"/>
        <w:spacing w:after="0"/>
        <w:tabs>
          <w:tab w:leader="none" w:pos="24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Incorporated by reference to Exhibit 4.8 of the Company’s Registration Statement on Form S-8 filed October 6, 2006 (File No.333-137859).</w:t>
      </w:r>
    </w:p>
    <w:p>
      <w:pPr>
        <w:spacing w:after="0" w:line="296" w:lineRule="exact"/>
        <w:rPr>
          <w:rFonts w:ascii="Arial" w:cs="Arial" w:eastAsia="Arial" w:hAnsi="Arial"/>
          <w:sz w:val="15"/>
          <w:szCs w:val="15"/>
          <w:color w:val="auto"/>
        </w:rPr>
      </w:pPr>
    </w:p>
    <w:p>
      <w:pPr>
        <w:ind w:left="240" w:hanging="236"/>
        <w:spacing w:after="0"/>
        <w:tabs>
          <w:tab w:leader="none" w:pos="24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Incorporated by reference to Exhibit 4.9 of the Company’s Registration Statement on Form S-8 filed October 6, 2006 (File No.333-137859).</w:t>
      </w:r>
    </w:p>
    <w:p>
      <w:pPr>
        <w:spacing w:after="0" w:line="296" w:lineRule="exact"/>
        <w:rPr>
          <w:rFonts w:ascii="Arial" w:cs="Arial" w:eastAsia="Arial" w:hAnsi="Arial"/>
          <w:sz w:val="15"/>
          <w:szCs w:val="15"/>
          <w:color w:val="auto"/>
        </w:rPr>
      </w:pPr>
    </w:p>
    <w:p>
      <w:pPr>
        <w:ind w:left="5680" w:hanging="91"/>
        <w:spacing w:after="0"/>
        <w:tabs>
          <w:tab w:leader="none" w:pos="5680" w:val="left"/>
        </w:tabs>
        <w:numPr>
          <w:ilvl w:val="1"/>
          <w:numId w:val="6"/>
        </w:numPr>
        <w:rPr>
          <w:rFonts w:ascii="Arial" w:cs="Arial" w:eastAsia="Arial" w:hAnsi="Arial"/>
          <w:sz w:val="17"/>
          <w:szCs w:val="17"/>
          <w:color w:val="auto"/>
        </w:rPr>
      </w:pPr>
      <w:r>
        <w:rPr>
          <w:rFonts w:ascii="Arial" w:cs="Arial" w:eastAsia="Arial" w:hAnsi="Arial"/>
          <w:sz w:val="17"/>
          <w:szCs w:val="17"/>
          <w:color w:val="auto"/>
        </w:rPr>
        <w:t>i -</w:t>
      </w:r>
    </w:p>
    <w:p>
      <w:pPr>
        <w:sectPr>
          <w:pgSz w:w="11900" w:h="16838" w:orient="portrait"/>
          <w:cols w:equalWidth="0" w:num="1">
            <w:col w:w="10219"/>
          </w:cols>
          <w:pgMar w:left="240" w:top="355" w:right="1440" w:bottom="1440" w:gutter="0" w:footer="0" w:header="0"/>
        </w:sectPr>
      </w:pPr>
    </w:p>
    <w:bookmarkStart w:id="3" w:name="page4"/>
    <w:bookmarkEnd w:id="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304165</wp:posOffset>
            </wp:positionV>
            <wp:extent cx="72682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8210" cy="8255"/>
                    </a:xfrm>
                    <a:prstGeom prst="rect">
                      <a:avLst/>
                    </a:prstGeom>
                    <a:noFill/>
                  </pic:spPr>
                </pic:pic>
              </a:graphicData>
            </a:graphic>
          </wp:anchor>
        </w:drawing>
        <w:t>EXHIBIT (a)(5)(B)</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PRESS RELEASE</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420" w:type="dxa"/>
            <w:vAlign w:val="bottom"/>
          </w:tcPr>
          <w:p>
            <w:pPr>
              <w:spacing w:after="0"/>
              <w:rPr>
                <w:sz w:val="20"/>
                <w:szCs w:val="20"/>
                <w:color w:val="auto"/>
              </w:rPr>
            </w:pPr>
            <w:r>
              <w:rPr>
                <w:rFonts w:ascii="Arial" w:cs="Arial" w:eastAsia="Arial" w:hAnsi="Arial"/>
                <w:sz w:val="17"/>
                <w:szCs w:val="17"/>
                <w:color w:val="auto"/>
              </w:rPr>
              <w:t>Contacts:</w:t>
            </w:r>
          </w:p>
        </w:tc>
        <w:tc>
          <w:tcPr>
            <w:tcW w:w="3100" w:type="dxa"/>
            <w:vAlign w:val="bottom"/>
          </w:tcPr>
          <w:p>
            <w:pPr>
              <w:ind w:left="2460"/>
              <w:spacing w:after="0"/>
              <w:rPr>
                <w:sz w:val="20"/>
                <w:szCs w:val="20"/>
                <w:color w:val="auto"/>
              </w:rPr>
            </w:pPr>
            <w:r>
              <w:rPr>
                <w:rFonts w:ascii="Arial" w:cs="Arial" w:eastAsia="Arial" w:hAnsi="Arial"/>
                <w:sz w:val="17"/>
                <w:szCs w:val="17"/>
                <w:color w:val="auto"/>
                <w:w w:val="85"/>
              </w:rPr>
              <w:t>ClearOne</w:t>
            </w:r>
          </w:p>
        </w:tc>
        <w:tc>
          <w:tcPr>
            <w:tcW w:w="0" w:type="dxa"/>
            <w:vAlign w:val="bottom"/>
          </w:tcPr>
          <w:p>
            <w:pPr>
              <w:spacing w:after="0"/>
              <w:rPr>
                <w:sz w:val="1"/>
                <w:szCs w:val="1"/>
                <w:color w:val="auto"/>
              </w:rPr>
            </w:pPr>
          </w:p>
        </w:tc>
      </w:tr>
      <w:tr>
        <w:trPr>
          <w:trHeight w:val="221"/>
        </w:trPr>
        <w:tc>
          <w:tcPr>
            <w:tcW w:w="8420" w:type="dxa"/>
            <w:vAlign w:val="bottom"/>
          </w:tcPr>
          <w:p>
            <w:pPr>
              <w:spacing w:after="0"/>
              <w:rPr>
                <w:sz w:val="20"/>
                <w:szCs w:val="20"/>
                <w:color w:val="auto"/>
              </w:rPr>
            </w:pPr>
            <w:r>
              <w:rPr>
                <w:rFonts w:ascii="Arial" w:cs="Arial" w:eastAsia="Arial" w:hAnsi="Arial"/>
                <w:sz w:val="17"/>
                <w:szCs w:val="17"/>
                <w:color w:val="auto"/>
              </w:rPr>
              <w:t>Communications, Inc.</w:t>
            </w:r>
          </w:p>
        </w:tc>
        <w:tc>
          <w:tcPr>
            <w:tcW w:w="3100" w:type="dxa"/>
            <w:vAlign w:val="bottom"/>
            <w:vMerge w:val="restart"/>
          </w:tcPr>
          <w:p>
            <w:pPr>
              <w:ind w:left="2100"/>
              <w:spacing w:after="0"/>
              <w:rPr>
                <w:sz w:val="20"/>
                <w:szCs w:val="20"/>
                <w:color w:val="auto"/>
              </w:rPr>
            </w:pPr>
            <w:r>
              <w:rPr>
                <w:rFonts w:ascii="Arial" w:cs="Arial" w:eastAsia="Arial" w:hAnsi="Arial"/>
                <w:sz w:val="17"/>
                <w:szCs w:val="17"/>
                <w:color w:val="auto"/>
              </w:rPr>
              <w:t>Investor</w:t>
            </w:r>
          </w:p>
        </w:tc>
        <w:tc>
          <w:tcPr>
            <w:tcW w:w="0" w:type="dxa"/>
            <w:vAlign w:val="bottom"/>
          </w:tcPr>
          <w:p>
            <w:pPr>
              <w:spacing w:after="0"/>
              <w:rPr>
                <w:sz w:val="1"/>
                <w:szCs w:val="1"/>
                <w:color w:val="auto"/>
              </w:rPr>
            </w:pPr>
          </w:p>
        </w:tc>
      </w:tr>
      <w:tr>
        <w:trPr>
          <w:trHeight w:val="208"/>
        </w:trPr>
        <w:tc>
          <w:tcPr>
            <w:tcW w:w="8420" w:type="dxa"/>
            <w:vAlign w:val="bottom"/>
            <w:vMerge w:val="restart"/>
          </w:tcPr>
          <w:p>
            <w:pPr>
              <w:spacing w:after="0"/>
              <w:rPr>
                <w:sz w:val="20"/>
                <w:szCs w:val="20"/>
                <w:color w:val="auto"/>
              </w:rPr>
            </w:pPr>
            <w:r>
              <w:rPr>
                <w:rFonts w:ascii="Arial" w:cs="Arial" w:eastAsia="Arial" w:hAnsi="Arial"/>
                <w:sz w:val="17"/>
                <w:szCs w:val="17"/>
                <w:color w:val="auto"/>
              </w:rPr>
              <w:t>Relations</w:t>
            </w:r>
          </w:p>
        </w:tc>
        <w:tc>
          <w:tcPr>
            <w:tcW w:w="3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420" w:type="dxa"/>
            <w:vAlign w:val="bottom"/>
            <w:vMerge w:val="continue"/>
          </w:tcPr>
          <w:p>
            <w:pPr>
              <w:spacing w:after="0"/>
              <w:rPr>
                <w:sz w:val="18"/>
                <w:szCs w:val="18"/>
                <w:color w:val="auto"/>
              </w:rPr>
            </w:pPr>
          </w:p>
        </w:tc>
        <w:tc>
          <w:tcPr>
            <w:tcW w:w="3100" w:type="dxa"/>
            <w:vAlign w:val="bottom"/>
            <w:vMerge w:val="restart"/>
          </w:tcPr>
          <w:p>
            <w:pPr>
              <w:ind w:left="1900"/>
              <w:spacing w:after="0"/>
              <w:rPr>
                <w:sz w:val="20"/>
                <w:szCs w:val="20"/>
                <w:color w:val="auto"/>
              </w:rPr>
            </w:pPr>
            <w:r>
              <w:rPr>
                <w:rFonts w:ascii="Arial" w:cs="Arial" w:eastAsia="Arial" w:hAnsi="Arial"/>
                <w:sz w:val="17"/>
                <w:szCs w:val="17"/>
                <w:color w:val="auto"/>
              </w:rPr>
              <w:t>(801) 303-3555</w:t>
            </w:r>
          </w:p>
        </w:tc>
        <w:tc>
          <w:tcPr>
            <w:tcW w:w="0" w:type="dxa"/>
            <w:vAlign w:val="bottom"/>
          </w:tcPr>
          <w:p>
            <w:pPr>
              <w:spacing w:after="0"/>
              <w:rPr>
                <w:sz w:val="1"/>
                <w:szCs w:val="1"/>
                <w:color w:val="auto"/>
              </w:rPr>
            </w:pPr>
          </w:p>
        </w:tc>
      </w:tr>
      <w:tr>
        <w:trPr>
          <w:trHeight w:val="208"/>
        </w:trPr>
        <w:tc>
          <w:tcPr>
            <w:tcW w:w="8420" w:type="dxa"/>
            <w:vAlign w:val="bottom"/>
          </w:tcPr>
          <w:p>
            <w:pPr>
              <w:spacing w:after="0"/>
              <w:rPr>
                <w:sz w:val="18"/>
                <w:szCs w:val="18"/>
                <w:color w:val="auto"/>
              </w:rPr>
            </w:pPr>
          </w:p>
        </w:tc>
        <w:tc>
          <w:tcPr>
            <w:tcW w:w="3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8420" w:type="dxa"/>
            <w:vAlign w:val="bottom"/>
          </w:tcPr>
          <w:p>
            <w:pPr>
              <w:ind w:left="7020"/>
              <w:spacing w:after="0"/>
              <w:rPr>
                <w:sz w:val="20"/>
                <w:szCs w:val="20"/>
                <w:color w:val="auto"/>
              </w:rPr>
            </w:pPr>
            <w:r>
              <w:rPr>
                <w:rFonts w:ascii="Arial" w:cs="Arial" w:eastAsia="Arial" w:hAnsi="Arial"/>
                <w:sz w:val="17"/>
                <w:szCs w:val="17"/>
                <w:color w:val="auto"/>
              </w:rPr>
              <w:t>&amp; #160;</w:t>
            </w:r>
          </w:p>
        </w:tc>
        <w:tc>
          <w:tcPr>
            <w:tcW w:w="3100" w:type="dxa"/>
            <w:vAlign w:val="bottom"/>
          </w:tcPr>
          <w:p>
            <w:pPr>
              <w:ind w:left="2380"/>
              <w:spacing w:after="0"/>
              <w:rPr>
                <w:sz w:val="20"/>
                <w:szCs w:val="20"/>
                <w:color w:val="auto"/>
              </w:rPr>
            </w:pPr>
            <w:r>
              <w:rPr>
                <w:rFonts w:ascii="Arial" w:cs="Arial" w:eastAsia="Arial" w:hAnsi="Arial"/>
                <w:sz w:val="17"/>
                <w:szCs w:val="17"/>
                <w:color w:val="auto"/>
              </w:rPr>
              <w:t>Robert</w:t>
            </w:r>
          </w:p>
        </w:tc>
        <w:tc>
          <w:tcPr>
            <w:tcW w:w="0" w:type="dxa"/>
            <w:vAlign w:val="bottom"/>
          </w:tcPr>
          <w:p>
            <w:pPr>
              <w:spacing w:after="0"/>
              <w:rPr>
                <w:sz w:val="1"/>
                <w:szCs w:val="1"/>
                <w:color w:val="auto"/>
              </w:rPr>
            </w:pPr>
          </w:p>
        </w:tc>
      </w:tr>
      <w:tr>
        <w:trPr>
          <w:trHeight w:val="208"/>
        </w:trPr>
        <w:tc>
          <w:tcPr>
            <w:tcW w:w="8420" w:type="dxa"/>
            <w:vAlign w:val="bottom"/>
          </w:tcPr>
          <w:p>
            <w:pPr>
              <w:ind w:left="5620"/>
              <w:spacing w:after="0"/>
              <w:rPr>
                <w:sz w:val="20"/>
                <w:szCs w:val="20"/>
                <w:color w:val="auto"/>
              </w:rPr>
            </w:pPr>
            <w:r>
              <w:rPr>
                <w:rFonts w:ascii="Arial" w:cs="Arial" w:eastAsia="Arial" w:hAnsi="Arial"/>
                <w:sz w:val="17"/>
                <w:szCs w:val="17"/>
                <w:color w:val="auto"/>
              </w:rPr>
              <w:t>Jaffe</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420" w:type="dxa"/>
            <w:vAlign w:val="bottom"/>
          </w:tcPr>
          <w:p>
            <w:pPr>
              <w:ind w:left="7020"/>
              <w:spacing w:after="0"/>
              <w:rPr>
                <w:sz w:val="20"/>
                <w:szCs w:val="20"/>
                <w:color w:val="auto"/>
              </w:rPr>
            </w:pPr>
            <w:r>
              <w:rPr>
                <w:rFonts w:ascii="Arial" w:cs="Arial" w:eastAsia="Arial" w:hAnsi="Arial"/>
                <w:sz w:val="17"/>
                <w:szCs w:val="17"/>
                <w:color w:val="auto"/>
              </w:rPr>
              <w:t>&amp;</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420" w:type="dxa"/>
            <w:vAlign w:val="bottom"/>
          </w:tcPr>
          <w:p>
            <w:pPr>
              <w:ind w:left="5620"/>
              <w:spacing w:after="0"/>
              <w:rPr>
                <w:sz w:val="20"/>
                <w:szCs w:val="20"/>
                <w:color w:val="auto"/>
              </w:rPr>
            </w:pPr>
            <w:r>
              <w:rPr>
                <w:rFonts w:ascii="Arial" w:cs="Arial" w:eastAsia="Arial" w:hAnsi="Arial"/>
                <w:sz w:val="17"/>
                <w:szCs w:val="17"/>
                <w:color w:val="auto"/>
              </w:rPr>
              <w:t>#160;</w:t>
            </w:r>
          </w:p>
        </w:tc>
        <w:tc>
          <w:tcPr>
            <w:tcW w:w="3100" w:type="dxa"/>
            <w:vAlign w:val="bottom"/>
          </w:tcPr>
          <w:p>
            <w:pPr>
              <w:ind w:left="820"/>
              <w:spacing w:after="0"/>
              <w:rPr>
                <w:sz w:val="20"/>
                <w:szCs w:val="20"/>
                <w:color w:val="auto"/>
              </w:rPr>
            </w:pPr>
            <w:r>
              <w:rPr>
                <w:rFonts w:ascii="Arial" w:cs="Arial" w:eastAsia="Arial" w:hAnsi="Arial"/>
                <w:sz w:val="17"/>
                <w:szCs w:val="17"/>
                <w:color w:val="auto"/>
              </w:rPr>
              <w:t>PondelWilkinson Inc.</w:t>
            </w:r>
          </w:p>
        </w:tc>
        <w:tc>
          <w:tcPr>
            <w:tcW w:w="0" w:type="dxa"/>
            <w:vAlign w:val="bottom"/>
          </w:tcPr>
          <w:p>
            <w:pPr>
              <w:spacing w:after="0"/>
              <w:rPr>
                <w:sz w:val="1"/>
                <w:szCs w:val="1"/>
                <w:color w:val="auto"/>
              </w:rPr>
            </w:pPr>
          </w:p>
        </w:tc>
      </w:tr>
      <w:tr>
        <w:trPr>
          <w:trHeight w:val="208"/>
        </w:trPr>
        <w:tc>
          <w:tcPr>
            <w:tcW w:w="8420" w:type="dxa"/>
            <w:vAlign w:val="bottom"/>
          </w:tcPr>
          <w:p>
            <w:pPr>
              <w:ind w:left="7020"/>
              <w:spacing w:after="0"/>
              <w:rPr>
                <w:sz w:val="20"/>
                <w:szCs w:val="20"/>
                <w:color w:val="auto"/>
              </w:rPr>
            </w:pPr>
            <w:r>
              <w:rPr>
                <w:rFonts w:ascii="Arial" w:cs="Arial" w:eastAsia="Arial" w:hAnsi="Arial"/>
                <w:sz w:val="17"/>
                <w:szCs w:val="17"/>
                <w:color w:val="auto"/>
              </w:rPr>
              <w:t>&amp; #160;</w:t>
            </w:r>
          </w:p>
        </w:tc>
        <w:tc>
          <w:tcPr>
            <w:tcW w:w="3100" w:type="dxa"/>
            <w:vAlign w:val="bottom"/>
          </w:tcPr>
          <w:p>
            <w:pPr>
              <w:ind w:left="2380"/>
              <w:spacing w:after="0"/>
              <w:rPr>
                <w:sz w:val="20"/>
                <w:szCs w:val="20"/>
                <w:color w:val="auto"/>
              </w:rPr>
            </w:pPr>
            <w:r>
              <w:rPr>
                <w:rFonts w:ascii="Arial" w:cs="Arial" w:eastAsia="Arial" w:hAnsi="Arial"/>
                <w:sz w:val="17"/>
                <w:szCs w:val="17"/>
                <w:color w:val="auto"/>
              </w:rPr>
              <w:t>(310)</w:t>
            </w:r>
          </w:p>
        </w:tc>
        <w:tc>
          <w:tcPr>
            <w:tcW w:w="0" w:type="dxa"/>
            <w:vAlign w:val="bottom"/>
          </w:tcPr>
          <w:p>
            <w:pPr>
              <w:spacing w:after="0"/>
              <w:rPr>
                <w:sz w:val="1"/>
                <w:szCs w:val="1"/>
                <w:color w:val="auto"/>
              </w:rPr>
            </w:pPr>
          </w:p>
        </w:tc>
      </w:tr>
      <w:tr>
        <w:trPr>
          <w:trHeight w:val="221"/>
        </w:trPr>
        <w:tc>
          <w:tcPr>
            <w:tcW w:w="8420" w:type="dxa"/>
            <w:vAlign w:val="bottom"/>
          </w:tcPr>
          <w:p>
            <w:pPr>
              <w:ind w:left="5620"/>
              <w:spacing w:after="0"/>
              <w:rPr>
                <w:sz w:val="20"/>
                <w:szCs w:val="20"/>
                <w:color w:val="auto"/>
              </w:rPr>
            </w:pPr>
            <w:r>
              <w:rPr>
                <w:rFonts w:ascii="Arial" w:cs="Arial" w:eastAsia="Arial" w:hAnsi="Arial"/>
                <w:sz w:val="17"/>
                <w:szCs w:val="17"/>
                <w:color w:val="auto"/>
              </w:rPr>
              <w:t>279-5980</w:t>
            </w:r>
          </w:p>
        </w:tc>
        <w:tc>
          <w:tcPr>
            <w:tcW w:w="3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9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CLEARONE ANNOUNCES PRELIMINARY RESULTS OF TENDER OFFER</w:t>
      </w:r>
    </w:p>
    <w:p>
      <w:pPr>
        <w:spacing w:after="0" w:line="221" w:lineRule="exact"/>
        <w:rPr>
          <w:sz w:val="20"/>
          <w:szCs w:val="20"/>
          <w:color w:val="auto"/>
        </w:rPr>
      </w:pPr>
    </w:p>
    <w:p>
      <w:pPr>
        <w:ind w:right="340"/>
        <w:spacing w:after="0" w:line="294" w:lineRule="auto"/>
        <w:rPr>
          <w:sz w:val="20"/>
          <w:szCs w:val="20"/>
          <w:color w:val="auto"/>
        </w:rPr>
      </w:pPr>
      <w:r>
        <w:rPr>
          <w:rFonts w:ascii="Arial" w:cs="Arial" w:eastAsia="Arial" w:hAnsi="Arial"/>
          <w:sz w:val="17"/>
          <w:szCs w:val="17"/>
          <w:b w:val="1"/>
          <w:bCs w:val="1"/>
          <w:color w:val="auto"/>
        </w:rPr>
        <w:t xml:space="preserve">Salt Lake City, UT - December 7, 2006 - </w:t>
      </w:r>
      <w:r>
        <w:rPr>
          <w:rFonts w:ascii="Arial" w:cs="Arial" w:eastAsia="Arial" w:hAnsi="Arial"/>
          <w:sz w:val="17"/>
          <w:szCs w:val="17"/>
          <w:color w:val="auto"/>
        </w:rPr>
        <w:t>ClearOne Communications, Inc. (OTC: CLRO.OB) today announced the preliminary results of its tender offer, which</w:t>
      </w:r>
      <w:r>
        <w:rPr>
          <w:rFonts w:ascii="Arial" w:cs="Arial" w:eastAsia="Arial" w:hAnsi="Arial"/>
          <w:sz w:val="17"/>
          <w:szCs w:val="17"/>
          <w:b w:val="1"/>
          <w:bCs w:val="1"/>
          <w:color w:val="auto"/>
        </w:rPr>
        <w:t xml:space="preserve"> </w:t>
      </w:r>
      <w:r>
        <w:rPr>
          <w:rFonts w:ascii="Arial" w:cs="Arial" w:eastAsia="Arial" w:hAnsi="Arial"/>
          <w:sz w:val="17"/>
          <w:szCs w:val="17"/>
          <w:color w:val="auto"/>
        </w:rPr>
        <w:t>expired at 12:00 midnight, Eastern Time, on Wednesday, December 6, 2006.</w:t>
      </w:r>
    </w:p>
    <w:p>
      <w:pPr>
        <w:spacing w:after="0" w:line="152"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Based on the preliminary count by the depositary for the tender offer, ClearOne expects to acquire approximately 1,074,000 shares of its common stock at a price of $4.25 per share for a total cost of approximately $4.6 million. These shares represent approximately 9 percent of the shares outstanding. Final results for the tender offer will be determined subject to confirmation by the depositary of the proper delivery of the shares validly tendered and not withdrawn. The actual number of shares to be purchased will be announced following the completion of the confirmation process. Payment for the shares accepted for purchase will occur promptly thereafter.</w:t>
      </w:r>
    </w:p>
    <w:p>
      <w:pPr>
        <w:spacing w:after="0" w:line="179"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On October 30, 2006, ClearOne announced its intention to repurchase up to 2,353,000 of its shares at a price of $4.25 per share, representing a premium of approximately 33% based on the average closing price over the previous 12 months. The tender offer commenced on November 6, 2006 and will be financed from the company’s existing cash and short term investments.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ClearOne</w:t>
      </w:r>
    </w:p>
    <w:p>
      <w:pPr>
        <w:spacing w:after="0" w:line="31"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ClearOne is a communications solutions company that develops and sells audio conferencing systems and other related products for audio, video, and web conferencing applications. The reliability, flexibility, and performance of ClearOne’s comprehensive solutions create a natural communications environment, which saves organizations time and money by enabling more effective and efficient communication. For more information, visit ClearOne’s website at www.clearone.com.</w:t>
      </w:r>
    </w:p>
    <w:p>
      <w:pPr>
        <w:spacing w:after="0" w:line="17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 # #</w:t>
      </w:r>
    </w:p>
    <w:sectPr>
      <w:pgSz w:w="11900" w:h="16838" w:orient="portrait"/>
      <w:cols w:equalWidth="0" w:num="1">
        <w:col w:w="11520"/>
      </w:cols>
      <w:pgMar w:left="240" w:top="817"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upperLetter"/>
      <w:start w:val="2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2019-12-13T17:37:27Z</dcterms:created>
  <dcterms:modified xsi:type="dcterms:W3CDTF">2019-12-13T17:37:27Z</dcterms:modified>
</cp:coreProperties>
</file>