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CURRENT REPORT FOR ISSUERS SUBJECT TO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1934 ACT REPORTING REQUIREMENTS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Pursuant to Section 13 or 15(d) of the Securities Exchange Act</w:t>
      </w:r>
      <w:r>
        <w:rPr>
          <w:sz w:val="20"/>
          <w:szCs w:val="20"/>
          <w:color w:val="auto"/>
        </w:rPr>
        <w:tab/>
      </w:r>
      <w:r>
        <w:rPr>
          <w:rFonts w:ascii="Courier New" w:cs="Courier New" w:eastAsia="Courier New" w:hAnsi="Courier New"/>
          <w:sz w:val="16"/>
          <w:szCs w:val="16"/>
          <w:color w:val="auto"/>
        </w:rPr>
        <w:t>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October 3,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(Commission</w:t>
      </w:r>
    </w:p>
    <w:p>
      <w:pPr>
        <w:ind w:left="5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160" w:space="220"/>
            <w:col w:w="2320" w:space="200"/>
            <w:col w:w="4319"/>
          </w:cols>
          <w:pgMar w:left="240" w:top="852" w:right="1440" w:bottom="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1825 Research Way, Salt Lake City, Utah 84119</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previously reported in a Current Report on Form 8-K filed on October 18, 2001(the "Original Filing"), Gentner Communications Corporation on October 3, 2001 caused its wholly owned subsidiary, Gentner Ventures, Inc., to purchase all of the issued and outstanding shares of Ivron Systems, Ltd., of Dublin, Ireland. The terms and conditions of the purchase are more fully described in the Original Filing.</w:t>
      </w:r>
    </w:p>
    <w:p>
      <w:pPr>
        <w:spacing w:after="0" w:line="210"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We are amending the Original Filing to present revised Financial Statements of the business acquired, as set forth in Item 7(a) of Form 8-K.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207" w:lineRule="exact"/>
        <w:rPr>
          <w:sz w:val="24"/>
          <w:szCs w:val="24"/>
          <w:color w:val="auto"/>
        </w:rPr>
      </w:pPr>
    </w:p>
    <w:p>
      <w:pPr>
        <w:jc w:val="both"/>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Audited financial statements of Ivron Systems, Ltd. for fiscal years ended December 31, 1998, 1999, and 2000 and the unaudited condensed consolidated interim financial information of Ivron Systems, Ltd. for the nine month periods ended September 30, 2000 and 2001.</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Auditors' report</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F-1</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Accounting policies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F-2</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F-5</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Reconciliation of net cash flow to movement in net funds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Notes forming part of the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F-26</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Notes to the</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unaudited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F-27</w:t>
            </w:r>
          </w:p>
        </w:tc>
      </w:tr>
    </w:tbl>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 Information</w:t>
      </w:r>
    </w:p>
    <w:p>
      <w:pPr>
        <w:spacing w:after="0" w:line="200" w:lineRule="exact"/>
        <w:rPr>
          <w:sz w:val="20"/>
          <w:szCs w:val="20"/>
          <w:color w:val="auto"/>
        </w:rPr>
      </w:pPr>
    </w:p>
    <w:p>
      <w:pPr>
        <w:spacing w:after="0" w:line="20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pro forma information of Gentner  Communications</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Corporation and Ivron Systems,  Ltd as of and for the period</w:t>
            </w:r>
          </w:p>
        </w:tc>
        <w:tc>
          <w:tcPr>
            <w:tcW w:w="6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July</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 2001 to September 30, 2001. The unaudited pro</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forma information as of and for the fiscal year ended June 30,</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2001 of  Gentner  Communications  Corporation  and  Ivron</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Systems, Ltd., was included in the Original Filing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Financial Information (unaudited)</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PF-2</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Balance Sheet as of September 30,</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2001 (unaudited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PF-3</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Statement of Operations for the</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Three Months Ended September</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2001 (unaudited)</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PF-4</w:t>
            </w:r>
          </w:p>
        </w:tc>
      </w:tr>
      <w:tr>
        <w:trPr>
          <w:trHeight w:val="405"/>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w w:val="98"/>
              </w:rPr>
              <w:t>Notes to Pro Forma Condensed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Consolidated Financial Information</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PF-5</w:t>
            </w:r>
          </w:p>
        </w:tc>
      </w:tr>
      <w:tr>
        <w:trPr>
          <w:trHeight w:val="810"/>
        </w:trPr>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rPr>
              <w:t>1</w:t>
            </w:r>
          </w:p>
        </w:tc>
        <w:tc>
          <w:tcPr>
            <w:tcW w:w="640" w:type="dxa"/>
            <w:vAlign w:val="bottom"/>
          </w:tcPr>
          <w:p>
            <w:pPr>
              <w:spacing w:after="0"/>
              <w:rPr>
                <w:sz w:val="24"/>
                <w:szCs w:val="24"/>
                <w:color w:val="auto"/>
              </w:rPr>
            </w:pPr>
          </w:p>
        </w:tc>
      </w:tr>
    </w:tbl>
    <w:p>
      <w:pPr>
        <w:sectPr>
          <w:pgSz w:w="11900" w:h="16838" w:orient="portrait"/>
          <w:cols w:equalWidth="0" w:num="1">
            <w:col w:w="10211"/>
          </w:cols>
          <w:pgMar w:left="248" w:top="136" w:right="1440" w:bottom="1440" w:gutter="0" w:footer="0" w:header="0"/>
        </w:sectPr>
      </w:pPr>
    </w:p>
    <w:bookmarkStart w:id="2" w:name="page3"/>
    <w:bookmarkEnd w:id="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Gentner Communications Corporation</w:t>
      </w:r>
    </w:p>
    <w:p>
      <w:pPr>
        <w:ind w:left="274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Randall J. Wichinski</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Randall J. Wichinski</w:t>
      </w:r>
    </w:p>
    <w:p>
      <w:pPr>
        <w:ind w:left="2740"/>
        <w:spacing w:after="0" w:line="237" w:lineRule="auto"/>
        <w:rPr>
          <w:sz w:val="20"/>
          <w:szCs w:val="20"/>
          <w:color w:val="auto"/>
        </w:rPr>
      </w:pPr>
      <w:r>
        <w:rPr>
          <w:rFonts w:ascii="Courier New" w:cs="Courier New" w:eastAsia="Courier New" w:hAnsi="Courier New"/>
          <w:sz w:val="18"/>
          <w:szCs w:val="18"/>
          <w:color w:val="auto"/>
        </w:rPr>
        <w:t>Vice President Chief Financial Officer</w:t>
      </w:r>
    </w:p>
    <w:p>
      <w:pPr>
        <w:ind w:left="2740"/>
        <w:spacing w:after="0" w:line="238" w:lineRule="auto"/>
        <w:rPr>
          <w:sz w:val="20"/>
          <w:szCs w:val="20"/>
          <w:color w:val="auto"/>
        </w:rPr>
      </w:pPr>
      <w:r>
        <w:rPr>
          <w:rFonts w:ascii="Courier New" w:cs="Courier New" w:eastAsia="Courier New" w:hAnsi="Courier New"/>
          <w:sz w:val="18"/>
          <w:szCs w:val="18"/>
          <w:color w:val="auto"/>
        </w:rPr>
        <w:t>(Duly authorized Officer and Principal</w:t>
      </w:r>
    </w:p>
    <w:p>
      <w:pPr>
        <w:ind w:left="274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23,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40" w:right="1440" w:bottom="1440" w:gutter="0" w:footer="0" w:header="0"/>
        </w:sectPr>
      </w:pPr>
    </w:p>
    <w:bookmarkStart w:id="3" w:name="page4"/>
    <w:bookmarkEnd w:id="3"/>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Ivron Systems, Ltd., Audited Financial Statements for fiscal years ended December 31, 1998, 1999, and 2000.</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Auditors' report to the Directors and Stockholders of 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Ivron Systems Limited and its subsidiary at 31 December 2000 and 1999 and the related consolidated profit and loss accounts and statements of consolidated cash flows for the years ended 31 December 2000, 1999 and 1998, all expressed in US Dollars. The financial statements are the responsibility of the directors of Ivron Systems Limited. Our responsibility is to express an opinion on those consolidated financial statements based on our audits.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have been prepared assuming that Ivron Systems Limited and its subsidiary will continue as a going concern. As discussed in note 1 to the consolidated financial statements, Ivron Systems Limited and its subsidiary have suffered recurring negative cash flows and losses from operations since inception. As also discussed in note 1, Ivron Systems Limited and its subsidiary require additional funding to fund future operations. These issues raise substantial doubts about the ability of Ivron Systems Limited and its subsidiary to continue as a going concern. The directors plan in regard to these matters are also described in note 1. The consolidated financial statements do not include any adjustment that might result from the outcome of this uncertainty.</w:t>
      </w:r>
    </w:p>
    <w:p>
      <w:pPr>
        <w:spacing w:after="0" w:line="216"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Ivron Systems Limited and its subsidiary as of 31 December 2000 and 1999, results of operations and cash flows for each of the years ended 31 December 2000, 1999 and 1998 in conformity with accounting principles generally accepted in the Republic of Ireland.</w:t>
      </w:r>
    </w:p>
    <w:p>
      <w:pPr>
        <w:spacing w:after="0" w:line="185"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Generally accepted accounting principles in Ireland vary in certain respects from generally accepted accounting principles in the United States. Application of generally accepted accounting principles in the United States would have affected results of operations and shareholders' equity as of and for the years ended 3l December 1999 and 3l December 2000 for Ivron Systems Limited to the extent summarized in note 26 to the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w:t>
      </w:r>
    </w:p>
    <w:p>
      <w:pPr>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rPr>
          <w:sz w:val="20"/>
          <w:szCs w:val="20"/>
          <w:color w:val="auto"/>
        </w:rPr>
      </w:pPr>
      <w:r>
        <w:rPr>
          <w:rFonts w:ascii="Courier New" w:cs="Courier New" w:eastAsia="Courier New" w:hAnsi="Courier New"/>
          <w:sz w:val="18"/>
          <w:szCs w:val="18"/>
          <w:color w:val="auto"/>
        </w:rPr>
        <w:t>Dublin, Ireland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July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133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Ivron Systems Limited and its subsidiary (the group) has operations in Ireland and the United States. Ivron Systems Limited operates in Ireland and Ivron Systems Inc operates in the United States.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1 -- Accounting policies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consolidated financial statements of Ivron Systems Limited and its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are presented in United States dollars (US$) and prepared in accordance with Irish generally accepted accounting principles (GAAP) under the historical cost convention and comply with financial reporting standards of the Accounting Standards Board. Significant differences between Irish GAAP and US GAAP are described in note 26.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audited financial statements of the company and its subsidiary. All significant intercompany profits, transactions and account balances have been eliminated on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 Revenue is recognised at the point at which title passes.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are stated at cost less accumulated depreciation.</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charge for depreciation is calculated to write down the cost of tangible fixed assets over their expected useful lives on a straight-line basis at the following annual rate:</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Equipment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 1/3%</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Stocks</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Stocks</w:t>
        <w:tab/>
        <w:t>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valued at the lower of cost and 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realisable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on an actual</w:t>
      </w:r>
    </w:p>
    <w:p>
      <w:pPr>
        <w:spacing w:after="0" w:line="16" w:lineRule="exact"/>
        <w:rPr>
          <w:sz w:val="20"/>
          <w:szCs w:val="20"/>
          <w:color w:val="auto"/>
        </w:rPr>
      </w:pPr>
    </w:p>
    <w:p>
      <w:pPr>
        <w:sectPr>
          <w:pgSz w:w="11900" w:h="16838" w:orient="portrait"/>
          <w:cols w:equalWidth="0" w:num="4">
            <w:col w:w="1160" w:space="220"/>
            <w:col w:w="3680" w:space="220"/>
            <w:col w:w="1040" w:space="220"/>
            <w:col w:w="36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cost basis.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Cost includes all expenditure which has been incurred in the normal course of business in bringing the products to their present location and condition. In the case of finished goods, cost is defined as the aggregate cost of raw materials, direct labour and the attributable proportion of direct production overheads.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Net realisable value is the actual or estimated selling price net of trade discounts less all further costs to completion and all costs likely to be incurred in the realisation of such selling price.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919"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Deferred tax assets and liabilities are recognised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these differences are expected to be recovered or settled.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functional currency of Ivron Systems Limited and its US subsidiary is the US dollar. Transactions during the period in currencies other than the functional currency, for each of the entities, have been translated at the rate of exchange prevailing at the date of the transaction. The resulting monetary assets and liabilities denominated in currencies other than the functional currency are translated at the balance sheet rate and the exchange differences are dealt with in the profit and loss account.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Tangible fixed assets acquired under finance leases are included in the balance sheet at their fair value and depreciated over the shorter of the lease term and their useful lives. The corresponding liabilities are recorded as a creditor and the interest element of the finance lease rentals is charged to the profit and loss account during the lease term to reflect a constant rate of interest on the remaining balance of the obligation for each accounting period.</w:t>
      </w:r>
    </w:p>
    <w:p>
      <w:pPr>
        <w:spacing w:after="0" w:line="18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Operating lease rentals are charged to the profit and loss account on a straight line basis over the lease term.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year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Intangible fixed assets relate to software licenses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Purchased goodwill arising on the acquisition of a business represents the excess of the acquisition cost over the fair value of the identifiable net assets when they were acquired. Purchased goodwill arising on the acquisition of a business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9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Notes</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US$</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US$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17"/>
                <w:szCs w:val="17"/>
                <w:color w:val="auto"/>
              </w:rPr>
            </w:pP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1,443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1,626</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2,843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(1,363)</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(1,139)</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(1,823)</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487</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1,020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(2,385)</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(2,282)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(2,635)</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Operating loss - continuing operations</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(2,305)</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(1,795)</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Interest receivable and similar income</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3</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(1,614)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8</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(1,614)</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There were no recognised gains or losses in the financial period other than those dealt with in the profit and loss account and accordingly neither consolidated movements on the profit and loss accounts nor a statement of total recognised gains and losses has been prepared.</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238" w:lineRule="auto"/>
        <w:rPr>
          <w:sz w:val="20"/>
          <w:szCs w:val="20"/>
          <w:color w:val="auto"/>
        </w:rPr>
      </w:pPr>
      <w:r>
        <w:rPr>
          <w:rFonts w:ascii="Courier New" w:cs="Courier New" w:eastAsia="Courier New" w:hAnsi="Courier New"/>
          <w:sz w:val="18"/>
          <w:szCs w:val="18"/>
          <w:color w:val="auto"/>
        </w:rPr>
        <w:t>at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Note</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1,453</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478</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1,905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758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(841)</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current assets/(liabilities)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1,220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2,417</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1,370</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3,664</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1,965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(5,724)</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The  accompanying  notes and  accounting</w:t>
            </w:r>
          </w:p>
        </w:tc>
        <w:tc>
          <w:tcPr>
            <w:tcW w:w="43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8"/>
              </w:rPr>
              <w:t>policies are an integral part of these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4380" w:type="dxa"/>
            <w:vAlign w:val="bottom"/>
          </w:tcPr>
          <w:p>
            <w:pPr>
              <w:ind w:left="4020"/>
              <w:spacing w:after="0"/>
              <w:rPr>
                <w:sz w:val="20"/>
                <w:szCs w:val="20"/>
                <w:color w:val="auto"/>
              </w:rPr>
            </w:pPr>
            <w:r>
              <w:rPr>
                <w:rFonts w:ascii="Courier New" w:cs="Courier New" w:eastAsia="Courier New" w:hAnsi="Courier New"/>
                <w:sz w:val="18"/>
                <w:szCs w:val="18"/>
                <w:color w:val="auto"/>
              </w:rPr>
              <w:t>F-5</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(1,188)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Returns on investments and servicing of finance</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Acquisitions and disposals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(1,893)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Management of liquid resources</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3,369</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1,213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w w:val="99"/>
              </w:rPr>
              <w:t>Reconciliation of net cash flow to movement in net funds</w:t>
            </w: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years ended 31 December</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for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Cash outflow/(inflow) from decrease/(increase)</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debt and lease financing</w:t>
            </w: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Movement in net funds/(debt)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931</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 at beginning of year</w:t>
            </w:r>
          </w:p>
        </w:tc>
        <w:tc>
          <w:tcPr>
            <w:tcW w:w="11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funds/(debt) at end of year</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210</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(721)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consolidated financial statements have been prepared on a going concern basis which contemplates the continuation and expansion of trading activities as well as the realisation of assets and liquidation of liabilities in the ordinary course of business. Ivron Systems Limited has generated negative cash flows and losses from operating activities.</w:t>
      </w:r>
    </w:p>
    <w:p>
      <w:pPr>
        <w:spacing w:after="0" w:line="208"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generated losses of US$5.7 million since incorporation and the losses have been financed principally by shareholders' equity. The directors have prepared a business plan incorporating cash flow projections for the period through to 30 June 2002. The company's business plan envisages that additional finance will be required to fund the company's activities and certain directors and shareholders have indicated that they are willing to provide the necessary financial support for the foreseeable future to enable the company to trade at it's projected level of operation. Accordingly, the directors consider it appropriate to prepare the financial statements on a going concern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1,602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1,165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1,419</w:t>
            </w:r>
          </w:p>
        </w:tc>
      </w:tr>
      <w:tr>
        <w:trPr>
          <w:trHeight w:val="203"/>
        </w:trPr>
        <w:tc>
          <w:tcPr>
            <w:tcW w:w="32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1,216</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2,385</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2,282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2,635</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104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178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320" w:type="dxa"/>
            <w:vAlign w:val="bottom"/>
          </w:tcPr>
          <w:p>
            <w:pPr>
              <w:spacing w:after="0"/>
              <w:rPr>
                <w:sz w:val="17"/>
                <w:szCs w:val="17"/>
                <w:color w:val="auto"/>
              </w:rPr>
            </w:pP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178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weekly number of employees, analysed by category,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 31 December</w:t>
            </w:r>
          </w:p>
        </w:tc>
        <w:tc>
          <w:tcPr>
            <w:tcW w:w="6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Number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(continued)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payroll costs of these employees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Wages and salaries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1,088</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1,402</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Pension cost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1,195</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1,252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1,565</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 and transactions</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remuneration including pension contributions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spacing w:after="0"/>
              <w:rPr>
                <w:sz w:val="24"/>
                <w:szCs w:val="24"/>
                <w:color w:val="auto"/>
              </w:rPr>
            </w:pPr>
          </w:p>
        </w:tc>
        <w:tc>
          <w:tcPr>
            <w:tcW w:w="69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Details of  directors'  interests in shares are provided in the</w:t>
            </w:r>
          </w:p>
        </w:tc>
        <w:tc>
          <w:tcPr>
            <w:tcW w:w="1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directors'</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on loss on ordinary activities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corporation tax was payable on the loss on ordinary activities for the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2800" w:type="dxa"/>
            <w:vAlign w:val="bottom"/>
          </w:tcPr>
          <w:p>
            <w:pPr>
              <w:spacing w:after="0"/>
              <w:rPr>
                <w:sz w:val="17"/>
                <w:szCs w:val="17"/>
                <w:color w:val="auto"/>
              </w:rPr>
            </w:pP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280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Cost</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414</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319</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book value</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1999</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3420" w:type="dxa"/>
            <w:vAlign w:val="bottom"/>
          </w:tcPr>
          <w:p>
            <w:pPr>
              <w:spacing w:after="0"/>
              <w:rPr>
                <w:sz w:val="17"/>
                <w:szCs w:val="17"/>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342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Intangible fixed assets</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Licences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118</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Goodwill</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Purchased</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goodwill</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450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1,200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919" w:right="1440" w:bottom="97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assets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 subsidiary at cost</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29 August 2000, Ivron Systems Limited established a wholly owned subsidiary (1 ordinary share at US$1 each) of Ivron Systems Inc, a company incorporated in the United States. The activity of this company is similar in nature to that of Ivron Systems Limited. The registered office of Ivron Systems Inc is located at 110 Wild Basin Road, Suite 270, Austin TX 78746, USA.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13   Stocks</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111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440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172</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14   Debtors: amounts falling due within one year</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369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 income</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debtors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478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503</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tcPr>
          <w:p>
            <w:pPr>
              <w:ind w:left="4020"/>
              <w:spacing w:after="0"/>
              <w:rPr>
                <w:sz w:val="20"/>
                <w:szCs w:val="20"/>
                <w:color w:val="auto"/>
              </w:rPr>
            </w:pPr>
            <w:r>
              <w:rPr>
                <w:rFonts w:ascii="Courier New" w:cs="Courier New" w:eastAsia="Courier New" w:hAnsi="Courier New"/>
                <w:sz w:val="18"/>
                <w:szCs w:val="18"/>
                <w:color w:val="auto"/>
              </w:rPr>
              <w:t>F-12</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Creditors: amounts falling due within one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470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72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685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841</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rPr>
              <w:t>16   Creditors: amounts falling due after one year</w:t>
            </w: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58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24"/>
                <w:szCs w:val="24"/>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Loan (note 17)</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725</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4"/>
                <w:szCs w:val="24"/>
                <w:color w:val="auto"/>
              </w:rPr>
            </w:pP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767</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17   Details of borrowings</w:t>
            </w: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Between</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Between</w:t>
            </w:r>
          </w:p>
        </w:tc>
        <w:tc>
          <w:tcPr>
            <w:tcW w:w="90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Within</w:t>
            </w:r>
          </w:p>
        </w:tc>
        <w:tc>
          <w:tcPr>
            <w:tcW w:w="3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one and two two and five</w:t>
            </w:r>
          </w:p>
        </w:tc>
        <w:tc>
          <w:tcPr>
            <w:tcW w:w="9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one year</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years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Repayable by instalments</w:t>
            </w: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from Mentec Limited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At 3l December 2000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Called up share capital</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US$</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780" w:type="dxa"/>
            <w:vAlign w:val="bottom"/>
          </w:tcPr>
          <w:p>
            <w:pPr>
              <w:spacing w:after="0"/>
              <w:rPr>
                <w:sz w:val="17"/>
                <w:szCs w:val="17"/>
                <w:color w:val="auto"/>
              </w:rPr>
            </w:pP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Equity</w:t>
            </w: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5,000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Allotted, called up and fully paid: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2,054</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1,416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during the period: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1,698</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Closing share capital</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3,752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2,054</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On 27 February 1998, a special resolution was passed to convert the authorised share capital from IR(pound)100 to US$5,000,000 by the creation of 150,000 "A" ordinary shares of US$1 each and 4,850,000 ordinary shares of US$1 each.</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At 3l December 2000 the company had granted 290,000 options over ordinary shares at an exercise price of US$2 per share, the market price of the company's shares on the date the options were granted, accordingly no compensation cost has been recognised.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Reserves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Profit and</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premium</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account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account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6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Opening balance</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1998</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638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638</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1999</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2,054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1,965</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(3,416)</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1,699</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(2,308)</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2000</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3,752</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3,664</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(5,724)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20   Reconciliation of movement in shareholders' funds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3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 December</w:t>
            </w:r>
          </w:p>
        </w:tc>
        <w:tc>
          <w:tcPr>
            <w:tcW w:w="132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2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beginning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603</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1,129</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year</w:t>
            </w: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3,397</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year</w:t>
            </w:r>
          </w:p>
        </w:tc>
        <w:tc>
          <w:tcPr>
            <w:tcW w:w="2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(2,308)</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(1,614)</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end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1,692</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603</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580" w:type="dxa"/>
            <w:vAlign w:val="bottom"/>
          </w:tcPr>
          <w:p>
            <w:pPr>
              <w:spacing w:after="0"/>
              <w:rPr>
                <w:sz w:val="24"/>
                <w:szCs w:val="24"/>
                <w:color w:val="auto"/>
              </w:rPr>
            </w:pPr>
          </w:p>
        </w:tc>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F-15</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Commitments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Capital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620" w:type="dxa"/>
            <w:vAlign w:val="bottom"/>
          </w:tcPr>
          <w:p>
            <w:pPr>
              <w:spacing w:after="0"/>
              <w:rPr>
                <w:sz w:val="20"/>
                <w:szCs w:val="20"/>
                <w:color w:val="auto"/>
              </w:rPr>
            </w:pPr>
            <w:r>
              <w:rPr>
                <w:rFonts w:ascii="Courier New" w:cs="Courier New" w:eastAsia="Courier New" w:hAnsi="Courier New"/>
                <w:sz w:val="18"/>
                <w:szCs w:val="18"/>
                <w:color w:val="auto"/>
              </w:rPr>
              <w:t>Operating lease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Annual commitments cost under non cancellable operating leases as follows:</w:t>
            </w:r>
          </w:p>
        </w:tc>
        <w:tc>
          <w:tcPr>
            <w:tcW w:w="1320" w:type="dxa"/>
            <w:vAlign w:val="bottom"/>
          </w:tcPr>
          <w:p>
            <w:pPr>
              <w:spacing w:after="0"/>
              <w:rPr>
                <w:sz w:val="17"/>
                <w:szCs w:val="17"/>
                <w:color w:val="auto"/>
              </w:rPr>
            </w:pPr>
          </w:p>
        </w:tc>
      </w:tr>
      <w:tr>
        <w:trPr>
          <w:trHeight w:val="810"/>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Land and</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IR(pound)</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440"/>
          </w:cols>
          <w:pgMar w:left="240" w:top="717" w:right="12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Ivron Systems Limited.</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material related parties as defined by FRS 8 - Related Party Disclosures and the extent of transactions are summarised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1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Mentec</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Mentec</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Limited</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Limited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US$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120" w:type="dxa"/>
            <w:vAlign w:val="bottom"/>
          </w:tcPr>
          <w:p>
            <w:pPr>
              <w:spacing w:after="0"/>
              <w:rPr>
                <w:sz w:val="17"/>
                <w:szCs w:val="17"/>
                <w:color w:val="auto"/>
              </w:rPr>
            </w:pPr>
          </w:p>
        </w:tc>
      </w:tr>
      <w:tr>
        <w:trPr>
          <w:trHeight w:val="608"/>
        </w:trPr>
        <w:tc>
          <w:tcPr>
            <w:tcW w:w="4360" w:type="dxa"/>
            <w:vAlign w:val="bottom"/>
          </w:tcPr>
          <w:p>
            <w:pPr>
              <w:spacing w:after="0"/>
              <w:rPr>
                <w:sz w:val="20"/>
                <w:szCs w:val="20"/>
                <w:color w:val="auto"/>
              </w:rPr>
            </w:pPr>
            <w:r>
              <w:rPr>
                <w:rFonts w:ascii="Courier New" w:cs="Courier New" w:eastAsia="Courier New" w:hAnsi="Courier New"/>
                <w:sz w:val="18"/>
                <w:szCs w:val="18"/>
                <w:color w:val="auto"/>
              </w:rPr>
              <w:t>Cost of goods/services supplied</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Ivron Systems Limited on</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20" w:type="dxa"/>
            <w:vAlign w:val="bottom"/>
            <w:gridSpan w:val="2"/>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2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Mentec Limited provided an interest bearing loan to Ivron Systems Limited for US$750,000. The terms of the loan required repayment of US$375,000 on 31 March 2000 and 30 September 2000. The interest on the loan is DIBOR plus 3.5% for 3 months funds from the repayment dates. This loan will be repaid to Mentec Limited at a date which is yet to be determined.</w:t>
      </w:r>
    </w:p>
    <w:p>
      <w:pPr>
        <w:spacing w:after="0" w:line="209"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Dr. M. Pierce, a director of the company, is a shareholder and director of Mentec Limited and Mr. M. Horgan is also a director of Mentec Limited. Mr.</w:t>
      </w:r>
    </w:p>
    <w:p>
      <w:pPr>
        <w:ind w:left="540" w:right="1779" w:hanging="5"/>
        <w:spacing w:after="0" w:line="235" w:lineRule="auto"/>
        <w:tabs>
          <w:tab w:leader="none" w:pos="96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Tracey, a director of the company, is a director of Trinity Venture Capital, a company having a shareholding in Ivron Systems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7"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operating profit to net cash inflow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(2,305)</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(1,795)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(1,615)</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charges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130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fixed assets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stock</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debtors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creditors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239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(2,404)</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(1,188)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24   Gross cash flows</w:t>
            </w:r>
          </w:p>
        </w:tc>
        <w:tc>
          <w:tcPr>
            <w:tcW w:w="640" w:type="dxa"/>
            <w:vAlign w:val="bottom"/>
          </w:tcPr>
          <w:p>
            <w:pPr>
              <w:spacing w:after="0"/>
              <w:rPr>
                <w:sz w:val="17"/>
                <w:szCs w:val="17"/>
                <w:color w:val="auto"/>
              </w:rPr>
            </w:pP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Year ended 31 December</w:t>
            </w:r>
          </w:p>
        </w:tc>
        <w:tc>
          <w:tcPr>
            <w:tcW w:w="6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US$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17"/>
                <w:szCs w:val="17"/>
                <w:color w:val="auto"/>
              </w:rPr>
            </w:pPr>
          </w:p>
        </w:tc>
      </w:tr>
      <w:tr>
        <w:trPr>
          <w:trHeight w:val="608"/>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w w:val="98"/>
              </w:rPr>
              <w:t>Returns on investments and servicing of finance</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paid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(outflow)/inflow from returns on</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investments and servicing of finance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91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24   Gross cash flows (continued)</w:t>
            </w:r>
          </w:p>
        </w:tc>
        <w:tc>
          <w:tcPr>
            <w:tcW w:w="8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intangible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 from investing activities</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Acquisitions and disposals</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Mentec Picturecom</w:t>
            </w:r>
          </w:p>
        </w:tc>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Financing</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element of finance lease rentals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for cash</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1,276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Mentec loan drawdown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 of Mentec loan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inflow from financing</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3,369</w:t>
            </w:r>
          </w:p>
        </w:tc>
        <w:tc>
          <w:tcPr>
            <w:tcW w:w="23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1,213</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Analysis of changes in net funds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At</w:t>
            </w:r>
          </w:p>
        </w:tc>
        <w:tc>
          <w:tcPr>
            <w:tcW w:w="1960" w:type="dxa"/>
            <w:vAlign w:val="bottom"/>
          </w:tcPr>
          <w:p>
            <w:pPr>
              <w:spacing w:after="0"/>
              <w:rPr>
                <w:sz w:val="17"/>
                <w:szCs w:val="17"/>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At</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 December</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Cash</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flow</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Cash at bank and in hand</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c>
          <w:tcPr>
            <w:tcW w:w="19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904</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loan</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leases</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(721)</w:t>
            </w:r>
          </w:p>
        </w:tc>
        <w:tc>
          <w:tcPr>
            <w:tcW w:w="196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Ivron Systems Limited have been prepared in accordance with generally accepted accounting principles applicable in Ireland ("Irish GAAP") which differ in certain significant respects from those applicable in the U.S. (" U.S. GAAP"). There are no material differences between net loss and shareholders' equity as reported under Irish and US GAAP as they apply to the financial statements of the company.</w:t>
      </w:r>
    </w:p>
    <w:p>
      <w:pPr>
        <w:spacing w:after="0" w:line="205"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 The company has not presented the disclosure under US GAAP in these financial statements.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Ivron's control and are subject to various risk factors that would cause our results to differ materially from those expressed in any forward - 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Reconciliation between Irish and U.S. Accounting Principles (continued)</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w:t>
      </w:r>
    </w:p>
    <w:p>
      <w:pPr>
        <w:spacing w:after="0" w:line="206"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accordance with UK and Irish GAAP, the group complies with Financial Reporting Standard No. 1 - "Cash flow statements" (FRS 1). Its objective and principles are similar to those set out in SFAS No. 95 "Statement of Cash Flows". The principal difference between the standards is in respect of classification. Under FRS 1, the group presents its cash flows for (a) operating activities; (b) returns on investments and servicing of finance;</w:t>
      </w:r>
    </w:p>
    <w:p>
      <w:pPr>
        <w:spacing w:after="0" w:line="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taxation; (d) capital expenditure;  (e) acquisitions and disposals; and</w:t>
      </w:r>
    </w:p>
    <w:p>
      <w:pPr>
        <w:spacing w:after="0" w:line="21" w:lineRule="exact"/>
        <w:rPr>
          <w:rFonts w:ascii="Courier New" w:cs="Courier New" w:eastAsia="Courier New" w:hAnsi="Courier New"/>
          <w:sz w:val="16"/>
          <w:szCs w:val="16"/>
          <w:color w:val="auto"/>
        </w:rPr>
      </w:pPr>
    </w:p>
    <w:p>
      <w:pPr>
        <w:ind w:left="540" w:right="1779" w:hanging="5"/>
        <w:spacing w:after="0" w:line="235" w:lineRule="auto"/>
        <w:tabs>
          <w:tab w:leader="none" w:pos="96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activities. SFAS No. 95 requires only three categories of cash flow activity (a) operating; (b) investing; and (c) financing.</w:t>
      </w:r>
    </w:p>
    <w:p>
      <w:pPr>
        <w:spacing w:after="0" w:line="208"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Cash flows arising from taxation and returns on investments and servicing of finance under FRS 1 are included as operating activities under SFAS No.</w:t>
      </w:r>
    </w:p>
    <w:p>
      <w:pPr>
        <w:jc w:val="both"/>
        <w:ind w:left="540" w:right="1779" w:hanging="5"/>
        <w:spacing w:after="0" w:line="236" w:lineRule="auto"/>
        <w:tabs>
          <w:tab w:leader="none" w:pos="96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under FRS 1, cash and liquid resources include short term borrowings repayable on demand. SFAS No. 95 requires movements in such borrowings to be included in financing activities.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1998, the Financial Accounting Standards Board (FASB) issued Statement of Financial Accounting Standard No. 133, "Accounting for Derivative Instruments and Hedging Activities" (SFAS No. 133). This is effective for the Company's financial statements beginning 1 January, 2001. SFAS No. 133 requires a Company to recognise all derivative instruments as assets or liabilities in its balance sheet and measure them at fair value. The Company does not expect that the adoption of this statement will have any material effect on the Company's financial statements.</w:t>
      </w:r>
    </w:p>
    <w:p>
      <w:pPr>
        <w:spacing w:after="0" w:line="212"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1999, the SEC issued Staff Accounting Bulletin No. 101 "Revenue Recognition in Financial Statements" (SAB 101). SAB 101 provides guidance on revenue recognition and related disclosures in financial statements. The SEC issued guidance on October 12, 2000 with respect to the interpretation of SAB 101. The adoption of SAB 101 did not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2001, the FASB issued Statement Number 141, Business Combinations, and Statement No. 142, Goodwill and Other Intangible Assets. Statement 142 will require that goodwill and intangible assets with indefinite useful lives will no longer be amortised, but instead tested for impairment, at least annually, in accordance with the provisions of Statement 142. The company is required to adopt the provisions of Statement 141 immediately, and Statement 142 effective January 1, 2002.</w:t>
      </w:r>
    </w:p>
    <w:p>
      <w:pPr>
        <w:spacing w:after="0" w:line="187"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Statement 141 will require upon adoption of Statement 142, that the company evaluate its existing intangible assets and goodwill that were acquired in a prior purchase business combination, and to make any necessary reclassifications in order to conform with the new criteria in Statement</w:t>
      </w:r>
    </w:p>
    <w:p>
      <w:pPr>
        <w:jc w:val="both"/>
        <w:ind w:left="540" w:right="1779" w:hanging="5"/>
        <w:spacing w:after="0" w:line="237" w:lineRule="auto"/>
        <w:tabs>
          <w:tab w:leader="none" w:pos="96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recognition apart from goodwill. Upon adoption of Statement 142, the company will be required to reassess the useful lives and residual values of all intangible assets acquired in purchase business combinations, and make any necessary amortisation period adjustments by the end of the first interim period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1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 (continued)</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Because of the extensive effort needed to comply with adopting Statements 141 and 142, it is not practicable to reasonably estimate the impact of adopting the standards on the company's financial statements at the date of this report, including whether any transitional impairment losses will be required to be recognised as the cumulative effect of the change in accounting principle.</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the FASB issued Statement 143, Accounting for Asset Retirement Obligations. This standard requires entities to record the fair value of a liability for an asset retirement obligation in the period in which it is incurred. The company does not expect that the adoption of this standard will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August 2001, the FASB issued Statement 144, Accounting for the Impairment or Disposal of Longlife Assets. The company is required to adopt Statement 144 no later than the year beginning after December 15, 2001. The company does not expect that the adoption of Statement 144 will have a material impact on the company's financial statements because the impairment assessment under Statement 144 is largely unchanged from Statement 121.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919" w:right="1440" w:bottom="1440" w:gutter="0" w:footer="0" w:header="0"/>
        </w:sectPr>
      </w:pPr>
    </w:p>
    <w:bookmarkStart w:id="25" w:name="page26"/>
    <w:bookmarkEnd w:id="25"/>
    <w:p>
      <w:pPr>
        <w:ind w:right="1779"/>
        <w:spacing w:after="0" w:line="235" w:lineRule="auto"/>
        <w:rPr>
          <w:sz w:val="20"/>
          <w:szCs w:val="20"/>
          <w:color w:val="auto"/>
        </w:rPr>
      </w:pPr>
      <w:r>
        <w:rPr>
          <w:rFonts w:ascii="Courier New" w:cs="Courier New" w:eastAsia="Courier New" w:hAnsi="Courier New"/>
          <w:sz w:val="18"/>
          <w:szCs w:val="18"/>
          <w:color w:val="auto"/>
        </w:rPr>
        <w:t>Unaudited Condensed Consolidated Interim Financial Information of Ivron Systems, Ltd., for the nine month periods ended September 30, 2000 and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period ended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 September</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00" w:type="dxa"/>
            <w:vAlign w:val="bottom"/>
          </w:tcPr>
          <w:p>
            <w:pPr>
              <w:spacing w:after="0"/>
              <w:rPr>
                <w:sz w:val="17"/>
                <w:szCs w:val="17"/>
                <w:color w:val="auto"/>
              </w:rPr>
            </w:pPr>
          </w:p>
        </w:tc>
        <w:tc>
          <w:tcPr>
            <w:tcW w:w="3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Gross (loss)/profit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(379)</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on loss on ordinary activities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2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Ivron Systems Limited</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 September</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 December</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640" w:type="dxa"/>
            <w:vAlign w:val="bottom"/>
          </w:tcPr>
          <w:p>
            <w:pPr>
              <w:spacing w:after="0"/>
              <w:rPr>
                <w:sz w:val="17"/>
                <w:szCs w:val="17"/>
                <w:color w:val="auto"/>
              </w:rPr>
            </w:pPr>
          </w:p>
        </w:tc>
        <w:tc>
          <w:tcPr>
            <w:tcW w:w="37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960</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1,197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1,905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current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5,367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(5,724)</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outflow from operating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Returns on investments and servicing of finance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 and financial investment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disposals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liquid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Increase/(decrease) in cash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period ended</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 September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(2,869)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(1,922)</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(126)</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2,460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2,437</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(527)</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4960" w:space="420"/>
            <w:col w:w="4839"/>
          </w:cols>
          <w:pgMar w:left="240" w:top="91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the unaudited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Preparation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financial statements included herein have been prepared by Ivron Systems Limited without audit. Certain information and footnote disclosures normally included in the financial statements prepared in accordance with US GAAP have been omitted. These unaudited financial statements should be read in conjunction with the 2000 audited financial statements and notes thereto.</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company's management, the accompanying unaudited consolidated financial statements have been prepared on a basis substantially consistent with the audited financial statements and contain adjustments, all of which are of a normal recurring nature, necessary to present fairly its financial position as of September 30, 2001 and its results of operations and cash flows for the 9 months ended September 30, 2001 and 2001. Interim results are not necessarily indicative of results for the fiscal year.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Differences between US and Irish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presented herein have been prepared in accordance with Irish GAAP. Such principles vary in certain respect from US GAAP. There are no material differences between net loss and shareholders equity as reported under Irish and US GAAP as they apply to the unaudited financial statements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919" w:right="1440" w:bottom="1440" w:gutter="0" w:footer="0" w:header="0"/>
        </w:sectPr>
      </w:pPr>
    </w:p>
    <w:bookmarkStart w:id="29" w:name="page30"/>
    <w:bookmarkEnd w:id="29"/>
    <w:p>
      <w:pPr>
        <w:jc w:val="center"/>
        <w:ind w:right="1779"/>
        <w:spacing w:after="0" w:line="236" w:lineRule="auto"/>
        <w:rPr>
          <w:sz w:val="20"/>
          <w:szCs w:val="20"/>
          <w:color w:val="auto"/>
        </w:rPr>
      </w:pPr>
      <w:r>
        <w:rPr>
          <w:rFonts w:ascii="Courier New" w:cs="Courier New" w:eastAsia="Courier New" w:hAnsi="Courier New"/>
          <w:sz w:val="18"/>
          <w:szCs w:val="18"/>
          <w:color w:val="auto"/>
        </w:rPr>
        <w:t>Pro Forma Financial Information Gentner Communications Corporation and Ivron Systems, Ltd. Unaudited Pro Forma Condensed Combined Financial Information</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following unaudited pro forma condensed combined financial information gives effect to the share purchase transaction of Ivron Systems, Ltd. ("Ivron") by Gentner using the purchase method of accounting. The unaudited pro forma condensed combined balance sheet as of September 30, 2001 gives effect to the acquisition as if the acquisition had occurred on that date. The unaudited pro forma condensed combined statement of operations for the quarter ended September 30, 2001 gives effect to the acquisition as if the acquisition had occurred on July 1, 2001. The unaudited pro forma condensed combined statement of operations presented for the quarter ended September 30, 2001 includes the historical unaudited financial results of Gentner for its first quarter ended September 30, 2001 and Ivron for its third quarter ended September 30, 2001.</w:t>
      </w:r>
    </w:p>
    <w:p>
      <w:pPr>
        <w:spacing w:after="0" w:line="39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unaudited pro forma condensed combined balance sheet as of June 30, 2001 and the unaudited pro forma condensed combined statement of operations including the historical audited financial results of Gentner for the year ended June 30, 2001 and unaudited financial results of Ivron for the fiscal year ended June 30, 2001, comprising the last six months of operations of Ivron for the year ended December 31, 2000 and the first six months of operations of Ivron for the year ended December 31, 2001 were included in the Original Filing. As discussed in the Original Filing, Ivron's year end is December 31; therefore, Ivron's financial results included in the pro forma information in such Original Filing did not reflect Ivron's fiscal year ended December 31 as set forth in the accompanying audited financial statements.</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Unaudited pro forma combined financial information is presented for illustrative purposes only and is not necessarily indicative of the financial position or results of operations that would have actually been reported had the purchase occurred at the beginning of the period presented, nor is it necessarily indicative of future financial position or results of operations. These unaudited pro forma combined financial statements are based on the respective historical financial statements of Gentner and Ivron and do not incorporate, nor do they assume, any benefits from cost savings or synergies of operations of the combined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PF-1</w:t>
      </w:r>
    </w:p>
    <w:p>
      <w:pPr>
        <w:sectPr>
          <w:pgSz w:w="11900" w:h="16838" w:orient="portrait"/>
          <w:cols w:equalWidth="0" w:num="1">
            <w:col w:w="10219"/>
          </w:cols>
          <w:pgMar w:left="240" w:top="9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Unaudited Pro Forma Financial Information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2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26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`000s)</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7,921</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8,849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8,981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current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3,741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4,392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21,615</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1,243</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16,192</w:t>
            </w:r>
          </w:p>
        </w:tc>
      </w:tr>
      <w:tr>
        <w:trPr>
          <w:trHeight w:val="405"/>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3,811</w:t>
            </w:r>
          </w:p>
        </w:tc>
        <w:tc>
          <w:tcPr>
            <w:tcW w:w="3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3,832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and other intangibles,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2,748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939</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8,541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long-term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$ 29,909</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PF-2</w:t>
      </w:r>
    </w:p>
    <w:p>
      <w:pPr>
        <w:sectPr>
          <w:pgSz w:w="11900" w:h="16838" w:orient="portrait"/>
          <w:cols w:equalWidth="0" w:num="1">
            <w:col w:w="11060"/>
          </w:cols>
          <w:pgMar w:left="240" w:top="1122" w:right="5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Unaudited Pro Forma Financial Information</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Gentner</w:t>
            </w:r>
          </w:p>
        </w:tc>
        <w:tc>
          <w:tcPr>
            <w:tcW w:w="4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Communications</w:t>
            </w:r>
          </w:p>
        </w:tc>
        <w:tc>
          <w:tcPr>
            <w:tcW w:w="1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(in `000s)</w:t>
            </w:r>
          </w:p>
        </w:tc>
        <w:tc>
          <w:tcPr>
            <w:tcW w:w="1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 `000s)</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583</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2,352</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3,071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3,462</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liability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3,848</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5,367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$(5,367)</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9,110</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5,278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(5,278)</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16,942</w:t>
            </w:r>
          </w:p>
        </w:tc>
        <w:tc>
          <w:tcPr>
            <w:tcW w:w="4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(8,833)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8,833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16,942</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26,061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26,061</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$ 29,909</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(1,812)</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See  accompanying  notes to unaudited  pro forma</w:t>
            </w:r>
          </w:p>
        </w:tc>
        <w:tc>
          <w:tcPr>
            <w:tcW w:w="1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condensed</w:t>
            </w:r>
          </w:p>
        </w:tc>
        <w:tc>
          <w:tcPr>
            <w:tcW w:w="316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6"/>
              </w:rPr>
              <w:t>combined  financial</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PF-3</w:t>
      </w:r>
    </w:p>
    <w:p>
      <w:pPr>
        <w:sectPr>
          <w:pgSz w:w="11900" w:h="16838" w:orient="portrait"/>
          <w:cols w:equalWidth="0" w:num="1">
            <w:col w:w="11060"/>
          </w:cols>
          <w:pgMar w:left="240" w:top="1325" w:right="599" w:bottom="1440" w:gutter="0" w:footer="0" w:header="0"/>
        </w:sectPr>
      </w:pPr>
    </w:p>
    <w:bookmarkStart w:id="32" w:name="page33"/>
    <w:bookmarkEnd w:id="32"/>
    <w:p>
      <w:pPr>
        <w:jc w:val="center"/>
        <w:ind w:right="1140"/>
        <w:spacing w:after="0" w:line="236" w:lineRule="auto"/>
        <w:rPr>
          <w:sz w:val="20"/>
          <w:szCs w:val="20"/>
          <w:color w:val="auto"/>
        </w:rPr>
      </w:pPr>
      <w:r>
        <w:rPr>
          <w:rFonts w:ascii="Courier New" w:cs="Courier New" w:eastAsia="Courier New" w:hAnsi="Courier New"/>
          <w:sz w:val="18"/>
          <w:szCs w:val="18"/>
          <w:color w:val="auto"/>
        </w:rPr>
        <w:t>Unaudited Pro Forma Condensed Combined Statement of Operations For the quarter ended September 30, 2001 (Historical)</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17"/>
                <w:szCs w:val="17"/>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`000s)</w:t>
            </w:r>
          </w:p>
        </w:tc>
        <w:tc>
          <w:tcPr>
            <w:tcW w:w="13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$ 11,220</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47</w:t>
            </w:r>
          </w:p>
        </w:tc>
        <w:tc>
          <w:tcPr>
            <w:tcW w:w="152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11,267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4,582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6,638</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6,342</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304</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1,280</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1,975</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product development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5,616</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 (loss)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2,137</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(1,411)</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2,282</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(1,537)</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1,412</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(1,537)</w:t>
            </w:r>
          </w:p>
        </w:tc>
        <w:tc>
          <w:tcPr>
            <w:tcW w:w="1520" w:type="dxa"/>
            <w:vAlign w:val="bottom"/>
          </w:tcPr>
          <w:p>
            <w:pPr>
              <w:spacing w:after="0"/>
              <w:rPr>
                <w:sz w:val="17"/>
                <w:szCs w:val="17"/>
                <w:color w:val="auto"/>
              </w:rPr>
            </w:pP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8,608,479</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8,608,479</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9,060,312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9,060,312</w:t>
            </w:r>
          </w:p>
        </w:tc>
      </w:tr>
    </w:tbl>
    <w:p>
      <w:pPr>
        <w:spacing w:after="0" w:line="200" w:lineRule="exact"/>
        <w:rPr>
          <w:sz w:val="20"/>
          <w:szCs w:val="20"/>
          <w:color w:val="auto"/>
        </w:rPr>
      </w:pPr>
    </w:p>
    <w:p>
      <w:pPr>
        <w:spacing w:after="0" w:line="209" w:lineRule="exact"/>
        <w:rPr>
          <w:sz w:val="20"/>
          <w:szCs w:val="20"/>
          <w:color w:val="auto"/>
        </w:rPr>
      </w:pPr>
    </w:p>
    <w:p>
      <w:pPr>
        <w:ind w:right="2620"/>
        <w:spacing w:after="0" w:line="235" w:lineRule="auto"/>
        <w:rPr>
          <w:sz w:val="20"/>
          <w:szCs w:val="20"/>
          <w:color w:val="auto"/>
        </w:rPr>
      </w:pPr>
      <w:r>
        <w:rPr>
          <w:rFonts w:ascii="Courier New" w:cs="Courier New" w:eastAsia="Courier New" w:hAnsi="Courier New"/>
          <w:sz w:val="18"/>
          <w:szCs w:val="18"/>
          <w:color w:val="auto"/>
        </w:rPr>
        <w:t>See accompanying notes to unaudited pro forma condensed combined financial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PF-4</w:t>
      </w:r>
    </w:p>
    <w:p>
      <w:pPr>
        <w:sectPr>
          <w:pgSz w:w="11900" w:h="16838" w:orient="portrait"/>
          <w:cols w:equalWidth="0" w:num="1">
            <w:col w:w="11060"/>
          </w:cols>
          <w:pgMar w:left="240" w:top="1128" w:right="599" w:bottom="1440" w:gutter="0" w:footer="0" w:header="0"/>
        </w:sectPr>
      </w:pPr>
    </w:p>
    <w:bookmarkStart w:id="33" w:name="page34"/>
    <w:bookmarkEnd w:id="33"/>
    <w:p>
      <w:pPr>
        <w:ind w:left="2220"/>
        <w:spacing w:after="0"/>
        <w:rPr>
          <w:sz w:val="20"/>
          <w:szCs w:val="20"/>
          <w:color w:val="auto"/>
        </w:rPr>
      </w:pPr>
      <w:r>
        <w:rPr>
          <w:rFonts w:ascii="Courier New" w:cs="Courier New" w:eastAsia="Courier New" w:hAnsi="Courier New"/>
          <w:sz w:val="18"/>
          <w:szCs w:val="18"/>
          <w:color w:val="auto"/>
        </w:rPr>
        <w:t>NOTES TO UNAUDITED PRO FORMA CONDENSED</w:t>
      </w:r>
    </w:p>
    <w:p>
      <w:pPr>
        <w:ind w:left="2740"/>
        <w:spacing w:after="0" w:line="238" w:lineRule="auto"/>
        <w:rPr>
          <w:sz w:val="20"/>
          <w:szCs w:val="20"/>
          <w:color w:val="auto"/>
        </w:rPr>
      </w:pPr>
      <w:r>
        <w:rPr>
          <w:rFonts w:ascii="Courier New" w:cs="Courier New" w:eastAsia="Courier New" w:hAnsi="Courier New"/>
          <w:sz w:val="18"/>
          <w:szCs w:val="18"/>
          <w:color w:val="auto"/>
        </w:rPr>
        <w:t>COMBINED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spacing w:after="0" w:line="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October 3, 2001, Gentner executed its share purchase agreement with Ivron. Under the terms of the agreement, Gentner purchased the cash, accounts receivable, fixed assets, inventory, certain other assets, and technological infrastructure, including patents, of Ivron. Gentner also assumed the accounts payable and accrued expenses. Gentner issued cash of $6,000,000 for all issued and outstanding shares of Ivron, cash of $650,000 for all outstanding options to purchase common shares of Ivron, and incurred acquisition costs of $16,000 in the transaction. The following is a summary of the purchase price allocation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860"/>
              <w:spacing w:after="0"/>
              <w:rPr>
                <w:sz w:val="20"/>
                <w:szCs w:val="20"/>
                <w:color w:val="auto"/>
              </w:rPr>
            </w:pPr>
            <w:r>
              <w:rPr>
                <w:rFonts w:ascii="Courier New" w:cs="Courier New" w:eastAsia="Courier New" w:hAnsi="Courier New"/>
                <w:sz w:val="18"/>
                <w:szCs w:val="18"/>
                <w:color w:val="auto"/>
              </w:rPr>
              <w:t>Cash</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460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Fixed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Inventory</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Goodwill and other intangible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5,793</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12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6,666</w:t>
            </w: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NOTE 2.</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The  unaudited pro forma  condensed  combined</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  sheet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includes the</w:t>
            </w:r>
          </w:p>
        </w:tc>
      </w:tr>
      <w:tr>
        <w:trPr>
          <w:trHeight w:val="203"/>
        </w:trPr>
        <w:tc>
          <w:tcPr>
            <w:tcW w:w="71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adjustments necessary to give effect to the Ivron purchase as if it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had occurred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 September 30,</w:t>
            </w:r>
          </w:p>
        </w:tc>
        <w:tc>
          <w:tcPr>
            <w:tcW w:w="6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2001 as noted above. The unaudited pro forma condensed combined</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of operations includes the adjustments</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necessary to give effect to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Ivron  purchase</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as if it had  occurred  on July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1,  2001,</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includes  Ivron</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operations for its third quarter ended September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30, 2001.</w:t>
            </w:r>
          </w:p>
        </w:tc>
        <w:tc>
          <w:tcPr>
            <w:tcW w:w="2160" w:type="dxa"/>
            <w:vAlign w:val="bottom"/>
          </w:tcPr>
          <w:p>
            <w:pPr>
              <w:spacing w:after="0"/>
              <w:rPr>
                <w:sz w:val="17"/>
                <w:szCs w:val="17"/>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Adjustments</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included  in  the  pro  forma</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combined  financial</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 are summarized as follows:</w:t>
            </w: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1"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outlay for acquisition includes:</w:t>
      </w:r>
    </w:p>
    <w:p>
      <w:pPr>
        <w:spacing w:after="0" w:line="4" w:lineRule="exact"/>
        <w:rPr>
          <w:rFonts w:ascii="Courier New" w:cs="Courier New" w:eastAsia="Courier New" w:hAnsi="Courier New"/>
          <w:sz w:val="18"/>
          <w:szCs w:val="18"/>
          <w:color w:val="auto"/>
        </w:rPr>
      </w:pPr>
    </w:p>
    <w:p>
      <w:pPr>
        <w:ind w:left="158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o$6,000,000 - Cash paid to purchase all of the issued and outstanding shares of Ivron as specified in the share purchase agreement.</w:t>
      </w:r>
    </w:p>
    <w:p>
      <w:pPr>
        <w:spacing w:after="0" w:line="6"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o$650,000 - Cash consideration paid to cancel all outstanding options to purchase shares of Ivron.</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$16,000 - Cash paid for costs associated with the acquisition.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goodwill and other intangibles that were not purchased as part of the acquisition.</w:t>
      </w:r>
    </w:p>
    <w:p>
      <w:pPr>
        <w:spacing w:after="0" w:line="5"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o$937,000 - Goodwill from the acquisition of the Mentec Picturecom business purchased by Ivron on March 6, 1998.</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$2,000 - Intangibles consisting of software.</w:t>
      </w:r>
    </w:p>
    <w:p>
      <w:pPr>
        <w:ind w:left="1060" w:hanging="525"/>
        <w:spacing w:after="0" w:line="238"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the equity of Ivron.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represents goodwill of $5,777,000 and capitalized acquisition costs of approximately $16,000. (E)</w:t>
      </w:r>
    </w:p>
    <w:p>
      <w:pPr>
        <w:spacing w:after="0" w:line="5" w:lineRule="exact"/>
        <w:rPr>
          <w:rFonts w:ascii="Courier New" w:cs="Courier New" w:eastAsia="Courier New" w:hAnsi="Courier New"/>
          <w:sz w:val="18"/>
          <w:szCs w:val="18"/>
          <w:color w:val="auto"/>
        </w:rPr>
      </w:pPr>
    </w:p>
    <w:p>
      <w:pPr>
        <w:jc w:val="both"/>
        <w:ind w:left="1060" w:right="1779" w:hanging="525"/>
        <w:spacing w:after="0" w:line="273"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intangible assets, including goodwill. As required under recently released FASB Statement No. 141 (FAS No. 141), Business Combinations, Gentner is required to allocate a portion of the purchase price to recognize goodwill and intangible assets apart from goodwill. Gentner, in conjunction with its advisors, is evaluating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PF-5</w:t>
      </w:r>
    </w:p>
    <w:p>
      <w:pPr>
        <w:sectPr>
          <w:pgSz w:w="11900" w:h="16838" w:orient="portrait"/>
          <w:cols w:equalWidth="0" w:num="1">
            <w:col w:w="10219"/>
          </w:cols>
          <w:pgMar w:left="240" w:top="717" w:right="1440" w:bottom="1440" w:gutter="0" w:footer="0" w:header="0"/>
        </w:sectPr>
      </w:pPr>
    </w:p>
    <w:bookmarkStart w:id="34" w:name="page35"/>
    <w:bookmarkEnd w:id="34"/>
    <w:p>
      <w:pPr>
        <w:jc w:val="both"/>
        <w:ind w:right="1779"/>
        <w:spacing w:after="0" w:line="237" w:lineRule="auto"/>
        <w:rPr>
          <w:sz w:val="20"/>
          <w:szCs w:val="20"/>
          <w:color w:val="auto"/>
        </w:rPr>
      </w:pPr>
      <w:r>
        <w:rPr>
          <w:rFonts w:ascii="Courier New" w:cs="Courier New" w:eastAsia="Courier New" w:hAnsi="Courier New"/>
          <w:sz w:val="18"/>
          <w:szCs w:val="18"/>
          <w:color w:val="auto"/>
        </w:rPr>
        <w:t>new criteria established in FAS No. 141 to properly determine the value of each intangible asset that should be recognized apart from goodwill. In addition, as required under recently released FASB Statement No. 142 (FAS No. 142), Goodwill and Other Intangible Assets, a portion of the acquired intangible assets may be subject to amortization. Such potential amortization has not been reflected in the accompanying pro forma condensed combined statements of operations. If the amount reported is subsequently determined to be materially incorrect, revised pro forma financial statements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PF-6</w:t>
      </w:r>
    </w:p>
    <w:sectPr>
      <w:pgSz w:w="11900" w:h="16838" w:orient="portrait"/>
      <w:cols w:equalWidth="0" w:num="1">
        <w:col w:w="9159"/>
      </w:cols>
      <w:pgMar w:left="130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2"/>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6"/>
      <w:numFmt w:val="bullet"/>
      <w:start w:val="1"/>
    </w:lvl>
  </w:abstractNum>
  <w:abstractNum w:abstractNumId="5">
    <w:nsid w:val="3352255A"/>
    <w:multiLevelType w:val="hybridMultilevel"/>
    <w:lvl w:ilvl="0">
      <w:lvlJc w:val="left"/>
      <w:lvlText w:val="6"/>
      <w:numFmt w:val="bullet"/>
      <w:start w:val="1"/>
    </w:lvl>
  </w:abstractNum>
  <w:abstractNum w:abstractNumId="6">
    <w:nsid w:val="109CF92E"/>
    <w:multiLevelType w:val="hybridMultilevel"/>
    <w:lvl w:ilvl="0">
      <w:lvlJc w:val="left"/>
      <w:lvlText w:val="8"/>
      <w:numFmt w:val="bullet"/>
      <w:start w:val="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22"/>
    </w:lvl>
  </w:abstractNum>
  <w:abstractNum w:abstractNumId="9">
    <w:nsid w:val="1BEFD79F"/>
    <w:multiLevelType w:val="hybridMultilevel"/>
    <w:lvl w:ilvl="0">
      <w:lvlJc w:val="left"/>
      <w:lvlText w:val="%1."/>
      <w:numFmt w:val="upperLetter"/>
      <w:start w:val="10"/>
    </w:lvl>
  </w:abstractNum>
  <w:abstractNum w:abstractNumId="10">
    <w:nsid w:val="41A7C4C9"/>
    <w:multiLevelType w:val="hybridMultilevel"/>
    <w:lvl w:ilvl="0">
      <w:lvlJc w:val="left"/>
      <w:lvlText w:val="%1"/>
      <w:numFmt w:val="decimal"/>
      <w:start w:val="23"/>
    </w:lvl>
  </w:abstractNum>
  <w:abstractNum w:abstractNumId="11">
    <w:nsid w:val="6B68079A"/>
    <w:multiLevelType w:val="hybridMultilevel"/>
    <w:lvl w:ilvl="0">
      <w:lvlJc w:val="left"/>
      <w:lvlText w:val="%1"/>
      <w:numFmt w:val="decimal"/>
      <w:start w:val="26"/>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3"/>
    </w:lvl>
    <w:lvl w:ilvl="1">
      <w:lvlJc w:val="left"/>
      <w:lvlText w:val="(%2)"/>
      <w:numFmt w:val="lowerLetter"/>
      <w:start w:val="3"/>
    </w:lvl>
  </w:abstractNum>
  <w:abstractNum w:abstractNumId="14">
    <w:nsid w:val="519B500D"/>
    <w:multiLevelType w:val="hybridMultilevel"/>
    <w:lvl w:ilvl="0">
      <w:lvlJc w:val="left"/>
      <w:lvlText w:val="%1"/>
      <w:numFmt w:val="lowerLetter"/>
      <w:start w:val="1"/>
    </w:lvl>
    <w:lvl w:ilvl="1">
      <w:lvlJc w:val="left"/>
      <w:lvlText w:val="(%2)"/>
      <w:numFmt w:val="lowerLetter"/>
      <w:start w:val="6"/>
    </w:lvl>
  </w:abstractNum>
  <w:abstractNum w:abstractNumId="15">
    <w:nsid w:val="431BD7B7"/>
    <w:multiLevelType w:val="hybridMultilevel"/>
    <w:lvl w:ilvl="0">
      <w:lvlJc w:val="left"/>
      <w:lvlText w:val="%1"/>
      <w:numFmt w:val="lowerLetter"/>
      <w:start w:val="1"/>
    </w:lvl>
    <w:lvl w:ilvl="1">
      <w:lvlJc w:val="left"/>
      <w:lvlText w:val="%2."/>
      <w:numFmt w:val="decimal"/>
      <w:start w:val="95"/>
    </w:lvl>
  </w:abstractNum>
  <w:abstractNum w:abstractNumId="16">
    <w:nsid w:val="3F2DBA31"/>
    <w:multiLevelType w:val="hybridMultilevel"/>
    <w:lvl w:ilvl="0">
      <w:lvlJc w:val="left"/>
      <w:lvlText w:val="(%1)"/>
      <w:numFmt w:val="lowerLetter"/>
      <w:start w:val="4"/>
    </w:lvl>
    <w:lvl w:ilvl="1">
      <w:lvlJc w:val="left"/>
      <w:lvlText w:val="%2"/>
      <w:numFmt w:val="decimal"/>
      <w:start w:val="141"/>
    </w:lvl>
  </w:abstractNum>
  <w:abstractNum w:abstractNumId="17">
    <w:nsid w:val="7C83E458"/>
    <w:multiLevelType w:val="hybridMultilevel"/>
    <w:lvl w:ilvl="0">
      <w:lvlJc w:val="left"/>
      <w:lvlText w:val="%1"/>
      <w:numFmt w:val="decimal"/>
      <w:start w:val="26"/>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2019-12-13T18:13:47Z</dcterms:created>
  <dcterms:modified xsi:type="dcterms:W3CDTF">2019-12-13T18:13:47Z</dcterms:modified>
</cp:coreProperties>
</file>