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8"/>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BALDWIN BRAD</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6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CLEARONE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CLRO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8"/>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5225 WILEY POST WAY, SUITE 500</w:t>
            </w: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06/01/2017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60" w:type="dxa"/>
            <w:vAlign w:val="bottom"/>
            <w:tcBorders>
              <w:bottom w:val="single" w:sz="8" w:color="2C2C2C"/>
            </w:tcBorders>
            <w:gridSpan w:val="4"/>
          </w:tcPr>
          <w:p>
            <w:pPr>
              <w:spacing w:after="0"/>
              <w:rPr>
                <w:sz w:val="12"/>
                <w:szCs w:val="12"/>
                <w:color w:val="auto"/>
              </w:rPr>
            </w:pPr>
          </w:p>
        </w:tc>
        <w:tc>
          <w:tcPr>
            <w:tcW w:w="2100" w:type="dxa"/>
            <w:vAlign w:val="bottom"/>
            <w:tcBorders>
              <w:bottom w:val="single" w:sz="8" w:color="2C2C2C"/>
            </w:tcBorders>
            <w:gridSpan w:val="4"/>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gridSpan w:val="2"/>
          </w:tcPr>
          <w:p>
            <w:pPr>
              <w:spacing w:after="0"/>
              <w:rPr>
                <w:sz w:val="12"/>
                <w:szCs w:val="12"/>
                <w:color w:val="auto"/>
              </w:rPr>
            </w:pPr>
          </w:p>
        </w:tc>
        <w:tc>
          <w:tcPr>
            <w:tcW w:w="2960" w:type="dxa"/>
            <w:vAlign w:val="bottom"/>
            <w:tcBorders>
              <w:bottom w:val="single" w:sz="8" w:color="2C2C2C"/>
            </w:tcBorders>
            <w:gridSpan w:val="5"/>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860" w:type="dxa"/>
            <w:vAlign w:val="bottom"/>
            <w:tcBorders>
              <w:bottom w:val="single" w:sz="8" w:color="9A9A9A"/>
            </w:tcBorders>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4"/>
                <w:szCs w:val="4"/>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9"/>
            <w:vMerge w:val="continue"/>
          </w:tcPr>
          <w:p>
            <w:pPr>
              <w:spacing w:after="0"/>
              <w:rPr>
                <w:sz w:val="11"/>
                <w:szCs w:val="11"/>
                <w:color w:val="auto"/>
              </w:rPr>
            </w:pPr>
          </w:p>
        </w:tc>
        <w:tc>
          <w:tcPr>
            <w:tcW w:w="240" w:type="dxa"/>
            <w:vAlign w:val="bottom"/>
          </w:tcPr>
          <w:p>
            <w:pPr>
              <w:spacing w:after="0"/>
              <w:rPr>
                <w:sz w:val="11"/>
                <w:szCs w:val="11"/>
                <w:color w:val="auto"/>
              </w:rPr>
            </w:pPr>
          </w:p>
        </w:tc>
        <w:tc>
          <w:tcPr>
            <w:tcW w:w="35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SALT LAKE</w:t>
            </w:r>
          </w:p>
        </w:tc>
        <w:tc>
          <w:tcPr>
            <w:tcW w:w="1260" w:type="dxa"/>
            <w:vAlign w:val="bottom"/>
            <w:gridSpan w:val="3"/>
            <w:vMerge w:val="restart"/>
          </w:tcPr>
          <w:p>
            <w:pPr>
              <w:spacing w:after="0"/>
              <w:rPr>
                <w:sz w:val="20"/>
                <w:szCs w:val="20"/>
                <w:color w:val="auto"/>
              </w:rPr>
            </w:pPr>
            <w:r>
              <w:rPr>
                <w:rFonts w:ascii="Arial" w:cs="Arial" w:eastAsia="Arial" w:hAnsi="Arial"/>
                <w:sz w:val="17"/>
                <w:szCs w:val="17"/>
                <w:color w:val="0000FF"/>
              </w:rPr>
              <w:t>UT</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84116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6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28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8"/>
          </w:tcPr>
          <w:p>
            <w:pPr>
              <w:ind w:left="8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700" w:type="dxa"/>
            <w:vAlign w:val="bottom"/>
            <w:gridSpan w:val="15"/>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9.9</w:t>
            </w:r>
          </w:p>
        </w:tc>
        <w:tc>
          <w:tcPr>
            <w:tcW w:w="140" w:type="dxa"/>
            <w:vAlign w:val="bottom"/>
          </w:tcPr>
          <w:p>
            <w:pPr>
              <w:spacing w:after="0"/>
              <w:rPr>
                <w:sz w:val="17"/>
                <w:szCs w:val="17"/>
                <w:color w:val="auto"/>
              </w:rPr>
            </w:pP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06/01/2017</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06/01/2027</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10,000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One-third of the options granted will vest on the first anniversary of the date of grant, which is June 1, 2018. The remaining options will vest in equal monthly increments over the subsequent 24-month period.</w:t>
      </w:r>
    </w:p>
    <w:p>
      <w:pPr>
        <w:spacing w:after="0" w:line="80"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5"/>
              </w:rPr>
              <w:t>/s/ Brad R. Baldwim</w:t>
            </w:r>
          </w:p>
        </w:tc>
        <w:tc>
          <w:tcPr>
            <w:tcW w:w="8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06/02/2017</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076" TargetMode="External"/><Relationship Id="rId13" Type="http://schemas.openxmlformats.org/officeDocument/2006/relationships/hyperlink" Target="http://www.sec.gov/cgi-bin/browse-edgar?action=getcompany&amp;CIK=0000840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2019-12-23T21:44:27Z</dcterms:created>
  <dcterms:modified xsi:type="dcterms:W3CDTF">2019-12-23T21:44:27Z</dcterms:modified>
</cp:coreProperties>
</file>