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Narayanan Narasimhan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5225 WILEY POST WAY, SUITE 500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CLEARONE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CLRO</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07/01/2015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83"/>
        <w:spacing w:after="0"/>
        <w:rPr>
          <w:sz w:val="20"/>
          <w:szCs w:val="20"/>
          <w:color w:val="auto"/>
        </w:rPr>
      </w:pPr>
      <w:r>
        <w:rPr>
          <w:rFonts w:ascii="Arial" w:cs="Arial" w:eastAsia="Arial" w:hAnsi="Arial"/>
          <w:sz w:val="18"/>
          <w:szCs w:val="18"/>
          <w:color w:val="0000FF"/>
        </w:rPr>
        <w:t>SENIOR VP FINANCE</w:t>
      </w:r>
    </w:p>
    <w:p>
      <w:pPr>
        <w:spacing w:after="0" w:line="33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40" w:type="dxa"/>
            <w:vAlign w:val="bottom"/>
            <w:gridSpan w:val="6"/>
          </w:tcPr>
          <w:p>
            <w:pPr>
              <w:ind w:left="160"/>
              <w:spacing w:after="0"/>
              <w:rPr>
                <w:sz w:val="20"/>
                <w:szCs w:val="20"/>
                <w:color w:val="auto"/>
              </w:rPr>
            </w:pPr>
            <w:r>
              <w:rPr>
                <w:rFonts w:ascii="Arial" w:cs="Arial" w:eastAsia="Arial" w:hAnsi="Arial"/>
                <w:sz w:val="14"/>
                <w:szCs w:val="14"/>
                <w:color w:val="auto"/>
                <w:w w:val="97"/>
              </w:rPr>
              <w:t>4. If Amendment, Date of Original Filed (Month/Day/Year)</w:t>
            </w:r>
          </w:p>
        </w:tc>
        <w:tc>
          <w:tcPr>
            <w:tcW w:w="3860" w:type="dxa"/>
            <w:vAlign w:val="bottom"/>
            <w:gridSpan w:val="7"/>
          </w:tcPr>
          <w:p>
            <w:pPr>
              <w:ind w:left="50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SALT LAKE</w:t>
            </w: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gridSpan w:val="2"/>
          </w:tcPr>
          <w:p>
            <w:pPr>
              <w:ind w:left="500"/>
              <w:spacing w:after="0"/>
              <w:rPr>
                <w:sz w:val="20"/>
                <w:szCs w:val="20"/>
                <w:color w:val="auto"/>
              </w:rPr>
            </w:pPr>
            <w:r>
              <w:rPr>
                <w:rFonts w:ascii="Arial" w:cs="Arial" w:eastAsia="Arial" w:hAnsi="Arial"/>
                <w:sz w:val="14"/>
                <w:szCs w:val="14"/>
                <w:color w:val="auto"/>
              </w:rPr>
              <w:t>Line)</w:t>
            </w: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80" w:type="dxa"/>
            <w:vAlign w:val="bottom"/>
            <w:vMerge w:val="restart"/>
          </w:tcPr>
          <w:p>
            <w:pPr>
              <w:ind w:left="40"/>
              <w:spacing w:after="0"/>
              <w:rPr>
                <w:sz w:val="20"/>
                <w:szCs w:val="20"/>
                <w:color w:val="auto"/>
              </w:rPr>
            </w:pPr>
            <w:r>
              <w:rPr>
                <w:rFonts w:ascii="Arial" w:cs="Arial" w:eastAsia="Arial" w:hAnsi="Arial"/>
                <w:sz w:val="18"/>
                <w:szCs w:val="18"/>
                <w:color w:val="0000FF"/>
                <w:w w:val="91"/>
              </w:rPr>
              <w:t>UT</w:t>
            </w:r>
          </w:p>
        </w:tc>
        <w:tc>
          <w:tcPr>
            <w:tcW w:w="102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84116</w:t>
            </w: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0" w:type="dxa"/>
            <w:vAlign w:val="bottom"/>
          </w:tcPr>
          <w:p>
            <w:pPr>
              <w:spacing w:after="0"/>
              <w:rPr>
                <w:sz w:val="9"/>
                <w:szCs w:val="9"/>
                <w:color w:val="auto"/>
              </w:rPr>
            </w:pPr>
          </w:p>
        </w:tc>
        <w:tc>
          <w:tcPr>
            <w:tcW w:w="3260" w:type="dxa"/>
            <w:vAlign w:val="bottom"/>
            <w:gridSpan w:val="6"/>
            <w:vMerge w:val="restart"/>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restart"/>
          </w:tcPr>
          <w:p>
            <w:pPr>
              <w:spacing w:after="0"/>
              <w:rPr>
                <w:sz w:val="20"/>
                <w:szCs w:val="20"/>
                <w:color w:val="auto"/>
              </w:rPr>
            </w:pPr>
            <w:r>
              <w:rPr>
                <w:rFonts w:ascii="Arial" w:cs="Arial" w:eastAsia="Arial" w:hAnsi="Arial"/>
                <w:sz w:val="18"/>
                <w:szCs w:val="18"/>
                <w:color w:val="0000FF"/>
              </w:rPr>
              <w:t>CITY</w:t>
            </w:r>
          </w:p>
        </w:tc>
        <w:tc>
          <w:tcPr>
            <w:tcW w:w="600" w:type="dxa"/>
            <w:vAlign w:val="bottom"/>
          </w:tcPr>
          <w:p>
            <w:pPr>
              <w:spacing w:after="0"/>
              <w:rPr>
                <w:sz w:val="9"/>
                <w:szCs w:val="9"/>
                <w:color w:val="auto"/>
              </w:rPr>
            </w:pPr>
          </w:p>
        </w:tc>
        <w:tc>
          <w:tcPr>
            <w:tcW w:w="28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0" w:type="dxa"/>
            <w:vAlign w:val="bottom"/>
          </w:tcPr>
          <w:p>
            <w:pPr>
              <w:spacing w:after="0"/>
              <w:rPr>
                <w:sz w:val="9"/>
                <w:szCs w:val="9"/>
                <w:color w:val="auto"/>
              </w:rPr>
            </w:pPr>
          </w:p>
        </w:tc>
        <w:tc>
          <w:tcPr>
            <w:tcW w:w="326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940" w:type="dxa"/>
            <w:vAlign w:val="bottom"/>
            <w:gridSpan w:val="5"/>
            <w:vMerge w:val="restart"/>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94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restart"/>
          </w:tcPr>
          <w:p>
            <w:pPr>
              <w:ind w:left="14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400" w:type="dxa"/>
            <w:vAlign w:val="bottom"/>
          </w:tcPr>
          <w:p>
            <w:pPr>
              <w:spacing w:after="0"/>
              <w:rPr>
                <w:sz w:val="7"/>
                <w:szCs w:val="7"/>
                <w:color w:val="auto"/>
              </w:rPr>
            </w:pPr>
          </w:p>
        </w:tc>
        <w:tc>
          <w:tcPr>
            <w:tcW w:w="44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5840" w:type="dxa"/>
            <w:vAlign w:val="bottom"/>
            <w:tcBorders>
              <w:bottom w:val="single" w:sz="8" w:color="2C2C2C"/>
            </w:tcBorders>
            <w:gridSpan w:val="11"/>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3"/>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60" w:type="dxa"/>
            <w:vAlign w:val="bottom"/>
            <w:gridSpan w:val="3"/>
          </w:tcPr>
          <w:p>
            <w:pPr>
              <w:ind w:left="62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32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60" w:type="dxa"/>
            <w:vAlign w:val="bottom"/>
            <w:gridSpan w:val="3"/>
          </w:tcPr>
          <w:p>
            <w:pPr>
              <w:ind w:left="62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0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gridSpan w:val="3"/>
          </w:tcPr>
          <w:p>
            <w:pPr>
              <w:ind w:left="720"/>
              <w:spacing w:after="0"/>
              <w:rPr>
                <w:sz w:val="20"/>
                <w:szCs w:val="20"/>
                <w:color w:val="auto"/>
              </w:rPr>
            </w:pPr>
            <w:r>
              <w:rPr>
                <w:rFonts w:ascii="Arial" w:cs="Arial" w:eastAsia="Arial" w:hAnsi="Arial"/>
                <w:sz w:val="18"/>
                <w:szCs w:val="18"/>
                <w:color w:val="0000FF"/>
              </w:rPr>
              <w:t>07/01/2015</w:t>
            </w: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0"/>
              <w:spacing w:after="0"/>
              <w:rPr>
                <w:sz w:val="20"/>
                <w:szCs w:val="20"/>
                <w:color w:val="auto"/>
              </w:rPr>
            </w:pPr>
            <w:r>
              <w:rPr>
                <w:rFonts w:ascii="Arial" w:cs="Arial" w:eastAsia="Arial" w:hAnsi="Arial"/>
                <w:sz w:val="27"/>
                <w:szCs w:val="27"/>
                <w:color w:val="0000FF"/>
                <w:w w:val="88"/>
                <w:vertAlign w:val="subscript"/>
              </w:rPr>
              <w:t>J</w:t>
            </w:r>
            <w:r>
              <w:rPr>
                <w:rFonts w:ascii="Arial" w:cs="Arial" w:eastAsia="Arial" w:hAnsi="Arial"/>
                <w:sz w:val="11"/>
                <w:szCs w:val="11"/>
                <w:color w:val="008000"/>
                <w:w w:val="88"/>
              </w:rPr>
              <w:t>(1)</w:t>
            </w:r>
          </w:p>
        </w:tc>
        <w:tc>
          <w:tcPr>
            <w:tcW w:w="76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1,200</w:t>
            </w:r>
          </w:p>
        </w:tc>
        <w:tc>
          <w:tcPr>
            <w:tcW w:w="50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A</w:t>
            </w:r>
          </w:p>
        </w:tc>
        <w:tc>
          <w:tcPr>
            <w:tcW w:w="920" w:type="dxa"/>
            <w:vAlign w:val="bottom"/>
            <w:tcBorders>
              <w:bottom w:val="single" w:sz="8" w:color="2C2C2C"/>
            </w:tcBorders>
            <w:gridSpan w:val="2"/>
          </w:tcPr>
          <w:p>
            <w:pPr>
              <w:ind w:left="14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8.6955</w:t>
            </w:r>
            <w:r>
              <w:rPr>
                <w:rFonts w:ascii="Arial" w:cs="Arial" w:eastAsia="Arial" w:hAnsi="Arial"/>
                <w:sz w:val="22"/>
                <w:szCs w:val="22"/>
                <w:color w:val="008000"/>
                <w:w w:val="91"/>
                <w:vertAlign w:val="superscript"/>
              </w:rPr>
              <w:t>(2)</w:t>
            </w:r>
          </w:p>
        </w:tc>
        <w:tc>
          <w:tcPr>
            <w:tcW w:w="3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2,436</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060" w:type="dxa"/>
            <w:vAlign w:val="bottom"/>
            <w:tcBorders>
              <w:top w:val="single" w:sz="8" w:color="2C2C2C"/>
            </w:tcBorders>
            <w:gridSpan w:val="13"/>
          </w:tcPr>
          <w:p>
            <w:pPr>
              <w:jc w:val="center"/>
              <w:ind w:left="2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500" w:type="dxa"/>
            <w:vAlign w:val="bottom"/>
            <w:gridSpan w:val="9"/>
          </w:tcPr>
          <w:p>
            <w:pPr>
              <w:ind w:left="64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tcPr>
          <w:p>
            <w:pPr>
              <w:ind w:left="10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6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6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7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20" w:type="dxa"/>
            <w:vAlign w:val="bottom"/>
          </w:tcPr>
          <w:p>
            <w:pPr>
              <w:spacing w:after="0"/>
              <w:rPr>
                <w:sz w:val="4"/>
                <w:szCs w:val="4"/>
                <w:color w:val="auto"/>
              </w:rPr>
            </w:pPr>
          </w:p>
        </w:tc>
        <w:tc>
          <w:tcPr>
            <w:tcW w:w="360" w:type="dxa"/>
            <w:vAlign w:val="bottom"/>
          </w:tcPr>
          <w:p>
            <w:pPr>
              <w:spacing w:after="0"/>
              <w:rPr>
                <w:sz w:val="4"/>
                <w:szCs w:val="4"/>
                <w:color w:val="auto"/>
              </w:rPr>
            </w:pPr>
          </w:p>
        </w:tc>
        <w:tc>
          <w:tcPr>
            <w:tcW w:w="8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6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shares of common stock purchased for the Reporting Person's account under the ClearOne, Inc. Employee Stock Purchase Plan. Such acquisitions are exempt from Section 16 reporting requirements pursuant to Rule 16b-3.</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the purchase price for each share purchased under the ClearOne, Inc. Employee Stock Purchase Plan.</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200" w:type="dxa"/>
            <w:vAlign w:val="bottom"/>
          </w:tcPr>
          <w:p>
            <w:pPr>
              <w:spacing w:after="0"/>
              <w:rPr>
                <w:sz w:val="20"/>
                <w:szCs w:val="20"/>
                <w:color w:val="auto"/>
              </w:rPr>
            </w:pPr>
            <w:r>
              <w:rPr>
                <w:rFonts w:ascii="Arial" w:cs="Arial" w:eastAsia="Arial" w:hAnsi="Arial"/>
                <w:sz w:val="18"/>
                <w:szCs w:val="18"/>
                <w:color w:val="0000FF"/>
                <w:w w:val="87"/>
              </w:rPr>
              <w:t>Narsi Narayanan</w:t>
            </w:r>
          </w:p>
        </w:tc>
        <w:tc>
          <w:tcPr>
            <w:tcW w:w="92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07/06/2015</w:t>
            </w:r>
          </w:p>
        </w:tc>
      </w:tr>
      <w:tr>
        <w:trPr>
          <w:trHeight w:val="20"/>
        </w:trPr>
        <w:tc>
          <w:tcPr>
            <w:tcW w:w="120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68533" TargetMode="External"/><Relationship Id="rId13" Type="http://schemas.openxmlformats.org/officeDocument/2006/relationships/hyperlink" Target="http://www.sec.gov/cgi-bin/browse-edgar?action=getcompany&amp;CIK=00008407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2019-12-23T21:39:36Z</dcterms:created>
  <dcterms:modified xsi:type="dcterms:W3CDTF">2019-12-23T21:39:36Z</dcterms:modified>
</cp:coreProperties>
</file>