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 2018 (November 1,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ClearOne, Inc. (the “Company”) routinely evaluates the likelihood of realizing the benefit of its deferred tax assets and may record a valuation allowance if, based on all available evidence, it determines that it is more-likely-than-not some portion of the tax benefit will not be realized. As of September 30, 2018, the Company had an aggregate of approximately $7.9 million in deferred tax assets primarily related to intangible assets, net operating losses,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78" w:lineRule="exact"/>
        <w:rPr>
          <w:sz w:val="20"/>
          <w:szCs w:val="20"/>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sufficient taxable income within the allowed carryback or carryforward periods;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 including any tax planning strategies that could be utilized;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nature or character (e.g., ordinary vs. capital) of the deferred tax assets and liabilities;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Based on the foregoing criteria, the Company has determined that in the third quarter 2018, it is necessary to record a valuation allowance of $7.9 million for its deferred tax assets, including a discrete tax expense of $6.5 million. This valuation allowance and tax expense are non-cash charges that will have no impact the Company’s cash flows for the quarter ended September 30, 2018.</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hereby supplements Item 1A. of the Company’s Annual Report on Form 10-K for the year ended December 31, 2017 with the following supplemental risk factor:</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Our stock price may in the future not meet the minimum bid price for continued listing on the Nasdaq Capital Market. Our ability to publicly or privately sell equity securities and the liquidity of our common stock could be adversely affected if we are delisted from The Nasdaq Capital Market.</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Nasdaq Listing Rule 5450(a)(1) provides that the closing bid price for our common stock may not be below $1.00 per share for any period of 30 consecutive trading days to maintain our continued listing on The Nasdaq Capital Market (“Minimum Bid Price Rule”). Although we are currently in compliance with the Minimum Bid Price Rule, there can be no assurance that our common stock will continue to satisfy this rule. If we were to fail to comply with the Minimum Bid Price Rule in the future and became subject to delisting, such delisting from Nasdaq would adversely affect our ability to raise additional financing through the public or private sale of equity securities, would significantly affect the ability of investors to trade our securities and would negatively affect the value and liquidity of our common stock. Delisting also could have other negative results, including the potential loss of confidence by employees, the loss of institutional investor interest and fewer business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1860"/>
              <w:spacing w:after="0"/>
              <w:rPr>
                <w:sz w:val="20"/>
                <w:szCs w:val="20"/>
                <w:color w:val="auto"/>
              </w:rPr>
            </w:pPr>
            <w:r>
              <w:rPr>
                <w:rFonts w:ascii="Arial" w:cs="Arial" w:eastAsia="Arial" w:hAnsi="Arial"/>
                <w:sz w:val="18"/>
                <w:szCs w:val="18"/>
                <w:color w:val="auto"/>
              </w:rPr>
              <w:t>CLEARONE,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1, 2018</w:t>
            </w:r>
          </w:p>
        </w:tc>
        <w:tc>
          <w:tcPr>
            <w:tcW w:w="7780" w:type="dxa"/>
            <w:vAlign w:val="bottom"/>
            <w:gridSpan w:val="2"/>
          </w:tcPr>
          <w:p>
            <w:pPr>
              <w:ind w:left="1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6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2019-12-05T19:52:04Z</dcterms:created>
  <dcterms:modified xsi:type="dcterms:W3CDTF">2019-12-05T19:52:04Z</dcterms:modified>
</cp:coreProperties>
</file>