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UNITED STATES</w:t>
      </w:r>
    </w:p>
    <w:p>
      <w:pPr>
        <w:spacing w:after="0" w:line="179"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SECURITIES AND EXCHANGE COMMISSIONWASHINGTON, DC 20549</w:t>
      </w:r>
    </w:p>
    <w:p>
      <w:pPr>
        <w:spacing w:after="0" w:line="179" w:lineRule="exact"/>
        <w:rPr>
          <w:sz w:val="24"/>
          <w:szCs w:val="24"/>
          <w:color w:val="auto"/>
        </w:rPr>
      </w:pPr>
    </w:p>
    <w:p>
      <w:pPr>
        <w:ind w:left="3420"/>
        <w:spacing w:after="0"/>
        <w:rPr>
          <w:sz w:val="20"/>
          <w:szCs w:val="20"/>
          <w:color w:val="auto"/>
        </w:rPr>
      </w:pPr>
      <w:r>
        <w:rPr>
          <w:rFonts w:ascii="Arial" w:cs="Arial" w:eastAsia="Arial" w:hAnsi="Arial"/>
          <w:sz w:val="22"/>
          <w:szCs w:val="22"/>
          <w:b w:val="1"/>
          <w:bCs w:val="1"/>
          <w:color w:val="auto"/>
        </w:rPr>
        <w:t>SCHEDULE 14A</w:t>
      </w:r>
    </w:p>
    <w:p>
      <w:pPr>
        <w:spacing w:after="0" w:line="179"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(Rule 14a-101)</w:t>
      </w:r>
    </w:p>
    <w:p>
      <w:pPr>
        <w:spacing w:after="0" w:line="179"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SCHEDULE 14A INFORMATION</w:t>
      </w:r>
    </w:p>
    <w:p>
      <w:pPr>
        <w:spacing w:after="0" w:line="185" w:lineRule="exact"/>
        <w:rPr>
          <w:sz w:val="24"/>
          <w:szCs w:val="24"/>
          <w:color w:val="auto"/>
        </w:rPr>
      </w:pPr>
    </w:p>
    <w:p>
      <w:pPr>
        <w:ind w:left="680"/>
        <w:spacing w:after="0"/>
        <w:rPr>
          <w:sz w:val="20"/>
          <w:szCs w:val="20"/>
          <w:color w:val="auto"/>
        </w:rPr>
      </w:pPr>
      <w:r>
        <w:rPr>
          <w:rFonts w:ascii="Arial" w:cs="Arial" w:eastAsia="Arial" w:hAnsi="Arial"/>
          <w:sz w:val="21"/>
          <w:szCs w:val="21"/>
          <w:color w:val="auto"/>
        </w:rPr>
        <w:t>Proxy Statement Pursuant to Section 14(a) ofthe Securities Exchange Act of 1934</w:t>
      </w:r>
    </w:p>
    <w:p>
      <w:pPr>
        <w:spacing w:after="0" w:line="191" w:lineRule="exact"/>
        <w:rPr>
          <w:sz w:val="24"/>
          <w:szCs w:val="24"/>
          <w:color w:val="auto"/>
        </w:rPr>
      </w:pPr>
    </w:p>
    <w:p>
      <w:pPr>
        <w:spacing w:after="0"/>
        <w:rPr>
          <w:sz w:val="20"/>
          <w:szCs w:val="20"/>
          <w:color w:val="auto"/>
        </w:rPr>
      </w:pPr>
      <w:r>
        <w:rPr>
          <w:rFonts w:ascii="Arial" w:cs="Arial" w:eastAsia="Arial" w:hAnsi="Arial"/>
          <w:sz w:val="22"/>
          <w:szCs w:val="22"/>
          <w:color w:val="auto"/>
        </w:rPr>
        <w:t>Filed by the Registrant x</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Filed by a Party other than the Registrant o</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179"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Preliminary Proxy Statement.</w:t>
      </w:r>
    </w:p>
    <w:p>
      <w:pPr>
        <w:spacing w:after="0" w:line="8" w:lineRule="exact"/>
        <w:rPr>
          <w:sz w:val="24"/>
          <w:szCs w:val="24"/>
          <w:color w:val="auto"/>
        </w:rPr>
      </w:pPr>
    </w:p>
    <w:p>
      <w:pPr>
        <w:ind w:left="620" w:hanging="612"/>
        <w:spacing w:after="0"/>
        <w:tabs>
          <w:tab w:leader="none" w:pos="620" w:val="left"/>
        </w:tabs>
        <w:numPr>
          <w:ilvl w:val="0"/>
          <w:numId w:val="2"/>
        </w:numPr>
        <w:rPr>
          <w:rFonts w:ascii="Arial" w:cs="Arial" w:eastAsia="Arial" w:hAnsi="Arial"/>
          <w:sz w:val="21"/>
          <w:szCs w:val="21"/>
          <w:color w:val="auto"/>
        </w:rPr>
      </w:pPr>
      <w:r>
        <w:rPr>
          <w:rFonts w:ascii="Arial" w:cs="Arial" w:eastAsia="Arial" w:hAnsi="Arial"/>
          <w:sz w:val="21"/>
          <w:szCs w:val="21"/>
          <w:color w:val="auto"/>
        </w:rPr>
        <w:t>Confidential, for Use of the Commission Only (as permitted by Rule 14a-6(e)(2)).</w:t>
      </w:r>
    </w:p>
    <w:p>
      <w:pPr>
        <w:spacing w:after="0" w:line="1" w:lineRule="exact"/>
        <w:rPr>
          <w:rFonts w:ascii="Arial" w:cs="Arial" w:eastAsia="Arial" w:hAnsi="Arial"/>
          <w:sz w:val="21"/>
          <w:szCs w:val="21"/>
          <w:color w:val="auto"/>
        </w:rPr>
      </w:pPr>
    </w:p>
    <w:p>
      <w:pPr>
        <w:ind w:left="620" w:hanging="612"/>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Definitive Proxy Statement.</w:t>
      </w:r>
    </w:p>
    <w:p>
      <w:pPr>
        <w:ind w:left="620" w:hanging="612"/>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Definitive Additional Materials.</w:t>
      </w:r>
    </w:p>
    <w:p>
      <w:pPr>
        <w:ind w:left="620" w:hanging="612"/>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Soliciting Material Pursuant to §240.14a-12.</w:t>
      </w:r>
    </w:p>
    <w:p>
      <w:pPr>
        <w:spacing w:after="0" w:line="155"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2" w:lineRule="exact"/>
        <w:rPr>
          <w:sz w:val="24"/>
          <w:szCs w:val="24"/>
          <w:color w:val="auto"/>
        </w:rPr>
      </w:pPr>
    </w:p>
    <w:p>
      <w:pPr>
        <w:jc w:val="center"/>
        <w:ind w:right="1779"/>
        <w:spacing w:after="0"/>
        <w:rPr>
          <w:sz w:val="20"/>
          <w:szCs w:val="20"/>
          <w:color w:val="auto"/>
        </w:rPr>
      </w:pPr>
      <w:r>
        <w:rPr>
          <w:rFonts w:ascii="Arial" w:cs="Arial" w:eastAsia="Arial" w:hAnsi="Arial"/>
          <w:sz w:val="18"/>
          <w:szCs w:val="18"/>
          <w:color w:val="auto"/>
        </w:rPr>
        <w:t>(Name of Registrant as Specified in its Charter)</w:t>
      </w:r>
    </w:p>
    <w:p>
      <w:pPr>
        <w:spacing w:after="0" w:line="191" w:lineRule="exact"/>
        <w:rPr>
          <w:sz w:val="24"/>
          <w:szCs w:val="24"/>
          <w:color w:val="auto"/>
        </w:rPr>
      </w:pPr>
    </w:p>
    <w:p>
      <w:pPr>
        <w:ind w:left="1260"/>
        <w:spacing w:after="0"/>
        <w:rPr>
          <w:sz w:val="20"/>
          <w:szCs w:val="20"/>
          <w:color w:val="auto"/>
        </w:rPr>
      </w:pPr>
      <w:r>
        <w:rPr>
          <w:rFonts w:ascii="Arial" w:cs="Arial" w:eastAsia="Arial" w:hAnsi="Arial"/>
          <w:sz w:val="22"/>
          <w:szCs w:val="22"/>
          <w:color w:val="auto"/>
        </w:rPr>
        <w:t>(Name of Person(s) Filing Proxy Statement, if other than Registrant)</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179" w:lineRule="exact"/>
        <w:rPr>
          <w:sz w:val="24"/>
          <w:szCs w:val="24"/>
          <w:color w:val="auto"/>
        </w:rPr>
      </w:pPr>
    </w:p>
    <w:p>
      <w:pPr>
        <w:ind w:left="620" w:hanging="612"/>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 fee required.</w:t>
      </w:r>
    </w:p>
    <w:tbl>
      <w:tblPr>
        <w:tblLayout w:type="fixed"/>
        <w:tblInd w:w="0" w:type="dxa"/>
        <w:tblCellMar>
          <w:top w:w="0" w:type="dxa"/>
          <w:left w:w="0" w:type="dxa"/>
          <w:bottom w:w="0" w:type="dxa"/>
          <w:right w:w="0" w:type="dxa"/>
        </w:tblCellMar>
      </w:tblPr>
      <w:tr>
        <w:trPr>
          <w:trHeight w:val="233"/>
        </w:trPr>
        <w:tc>
          <w:tcPr>
            <w:tcW w:w="380" w:type="dxa"/>
            <w:vAlign w:val="bottom"/>
          </w:tcPr>
          <w:p>
            <w:pPr>
              <w:spacing w:after="0" w:line="233" w:lineRule="exact"/>
              <w:rPr>
                <w:sz w:val="20"/>
                <w:szCs w:val="20"/>
                <w:color w:val="auto"/>
              </w:rPr>
            </w:pPr>
            <w:r>
              <w:rPr>
                <w:rFonts w:ascii="Arial" w:cs="Arial" w:eastAsia="Arial" w:hAnsi="Arial"/>
                <w:sz w:val="22"/>
                <w:szCs w:val="22"/>
                <w:color w:val="auto"/>
              </w:rPr>
              <w:t>o</w:t>
            </w:r>
          </w:p>
        </w:tc>
        <w:tc>
          <w:tcPr>
            <w:tcW w:w="4600" w:type="dxa"/>
            <w:vAlign w:val="bottom"/>
            <w:gridSpan w:val="2"/>
          </w:tcPr>
          <w:p>
            <w:pPr>
              <w:ind w:left="280"/>
              <w:spacing w:after="0" w:line="233" w:lineRule="exact"/>
              <w:rPr>
                <w:sz w:val="20"/>
                <w:szCs w:val="20"/>
                <w:color w:val="auto"/>
              </w:rPr>
            </w:pPr>
            <w:r>
              <w:rPr>
                <w:rFonts w:ascii="Arial" w:cs="Arial" w:eastAsia="Arial" w:hAnsi="Arial"/>
                <w:sz w:val="22"/>
                <w:szCs w:val="22"/>
                <w:color w:val="auto"/>
                <w:w w:val="91"/>
              </w:rPr>
              <w:t>Fee computed on table below per Exchange Act</w:t>
            </w:r>
          </w:p>
        </w:tc>
        <w:tc>
          <w:tcPr>
            <w:tcW w:w="3440" w:type="dxa"/>
            <w:vAlign w:val="bottom"/>
          </w:tcPr>
          <w:p>
            <w:pPr>
              <w:ind w:left="180"/>
              <w:spacing w:after="0" w:line="233" w:lineRule="exact"/>
              <w:rPr>
                <w:sz w:val="20"/>
                <w:szCs w:val="20"/>
                <w:color w:val="auto"/>
              </w:rPr>
            </w:pPr>
            <w:r>
              <w:rPr>
                <w:rFonts w:ascii="Arial" w:cs="Arial" w:eastAsia="Arial" w:hAnsi="Arial"/>
                <w:sz w:val="22"/>
                <w:szCs w:val="22"/>
                <w:color w:val="auto"/>
              </w:rPr>
              <w:t>)(4) and 0-11.</w:t>
            </w:r>
          </w:p>
        </w:tc>
      </w:tr>
      <w:tr>
        <w:trPr>
          <w:trHeight w:val="216"/>
        </w:trPr>
        <w:tc>
          <w:tcPr>
            <w:tcW w:w="380" w:type="dxa"/>
            <w:vAlign w:val="bottom"/>
          </w:tcPr>
          <w:p>
            <w:pPr>
              <w:spacing w:after="0"/>
              <w:rPr>
                <w:sz w:val="18"/>
                <w:szCs w:val="18"/>
                <w:color w:val="auto"/>
              </w:rPr>
            </w:pPr>
          </w:p>
        </w:tc>
        <w:tc>
          <w:tcPr>
            <w:tcW w:w="4600" w:type="dxa"/>
            <w:vAlign w:val="bottom"/>
            <w:gridSpan w:val="2"/>
          </w:tcPr>
          <w:p>
            <w:pPr>
              <w:ind w:left="280"/>
              <w:spacing w:after="0" w:line="217" w:lineRule="exact"/>
              <w:rPr>
                <w:sz w:val="20"/>
                <w:szCs w:val="20"/>
                <w:color w:val="auto"/>
              </w:rPr>
            </w:pPr>
            <w:r>
              <w:rPr>
                <w:rFonts w:ascii="Arial" w:cs="Arial" w:eastAsia="Arial" w:hAnsi="Arial"/>
                <w:sz w:val="22"/>
                <w:szCs w:val="22"/>
                <w:color w:val="auto"/>
              </w:rPr>
              <w:t>Rules 14a-6(I</w:t>
            </w:r>
          </w:p>
        </w:tc>
        <w:tc>
          <w:tcPr>
            <w:tcW w:w="3440" w:type="dxa"/>
            <w:vAlign w:val="bottom"/>
          </w:tcPr>
          <w:p>
            <w:pPr>
              <w:ind w:left="180"/>
              <w:spacing w:after="0" w:line="217" w:lineRule="exact"/>
              <w:rPr>
                <w:sz w:val="20"/>
                <w:szCs w:val="20"/>
                <w:color w:val="auto"/>
              </w:rPr>
            </w:pPr>
            <w:r>
              <w:rPr>
                <w:rFonts w:ascii="Arial" w:cs="Arial" w:eastAsia="Arial" w:hAnsi="Arial"/>
                <w:sz w:val="22"/>
                <w:szCs w:val="22"/>
                <w:color w:val="auto"/>
                <w:w w:val="99"/>
              </w:rPr>
              <w:t>Title of each class of securities to</w:t>
            </w:r>
          </w:p>
        </w:tc>
      </w:tr>
      <w:tr>
        <w:trPr>
          <w:trHeight w:val="270"/>
        </w:trPr>
        <w:tc>
          <w:tcPr>
            <w:tcW w:w="380" w:type="dxa"/>
            <w:vAlign w:val="bottom"/>
          </w:tcPr>
          <w:p>
            <w:pPr>
              <w:spacing w:after="0"/>
              <w:rPr>
                <w:sz w:val="23"/>
                <w:szCs w:val="23"/>
                <w:color w:val="auto"/>
              </w:rPr>
            </w:pPr>
          </w:p>
        </w:tc>
        <w:tc>
          <w:tcPr>
            <w:tcW w:w="680" w:type="dxa"/>
            <w:vAlign w:val="bottom"/>
          </w:tcPr>
          <w:p>
            <w:pPr>
              <w:ind w:left="280"/>
              <w:spacing w:after="0"/>
              <w:rPr>
                <w:sz w:val="20"/>
                <w:szCs w:val="20"/>
                <w:color w:val="auto"/>
              </w:rPr>
            </w:pPr>
            <w:r>
              <w:rPr>
                <w:rFonts w:ascii="Arial" w:cs="Arial" w:eastAsia="Arial" w:hAnsi="Arial"/>
                <w:sz w:val="22"/>
                <w:szCs w:val="22"/>
                <w:color w:val="auto"/>
              </w:rPr>
              <w:t>1)</w:t>
            </w:r>
          </w:p>
        </w:tc>
        <w:tc>
          <w:tcPr>
            <w:tcW w:w="3920" w:type="dxa"/>
            <w:vAlign w:val="bottom"/>
          </w:tcPr>
          <w:p>
            <w:pPr>
              <w:ind w:left="240"/>
              <w:spacing w:after="0"/>
              <w:rPr>
                <w:sz w:val="20"/>
                <w:szCs w:val="20"/>
                <w:color w:val="auto"/>
              </w:rPr>
            </w:pPr>
            <w:r>
              <w:rPr>
                <w:rFonts w:ascii="Arial" w:cs="Arial" w:eastAsia="Arial" w:hAnsi="Arial"/>
                <w:sz w:val="22"/>
                <w:szCs w:val="22"/>
                <w:color w:val="auto"/>
              </w:rPr>
              <w:t>which transaction applies:</w:t>
            </w:r>
          </w:p>
        </w:tc>
        <w:tc>
          <w:tcPr>
            <w:tcW w:w="3440" w:type="dxa"/>
            <w:vAlign w:val="bottom"/>
          </w:tcPr>
          <w:p>
            <w:pPr>
              <w:spacing w:after="0"/>
              <w:rPr>
                <w:sz w:val="23"/>
                <w:szCs w:val="23"/>
                <w:color w:val="auto"/>
              </w:rPr>
            </w:pPr>
          </w:p>
        </w:tc>
      </w:tr>
      <w:tr>
        <w:trPr>
          <w:trHeight w:val="243"/>
        </w:trPr>
        <w:tc>
          <w:tcPr>
            <w:tcW w:w="380" w:type="dxa"/>
            <w:vAlign w:val="bottom"/>
          </w:tcPr>
          <w:p>
            <w:pPr>
              <w:spacing w:after="0"/>
              <w:rPr>
                <w:sz w:val="21"/>
                <w:szCs w:val="21"/>
                <w:color w:val="auto"/>
              </w:rPr>
            </w:pPr>
          </w:p>
        </w:tc>
        <w:tc>
          <w:tcPr>
            <w:tcW w:w="680" w:type="dxa"/>
            <w:vAlign w:val="bottom"/>
          </w:tcPr>
          <w:p>
            <w:pPr>
              <w:ind w:left="280"/>
              <w:spacing w:after="0" w:line="243" w:lineRule="exact"/>
              <w:rPr>
                <w:sz w:val="20"/>
                <w:szCs w:val="20"/>
                <w:color w:val="auto"/>
              </w:rPr>
            </w:pPr>
            <w:r>
              <w:rPr>
                <w:rFonts w:ascii="Arial" w:cs="Arial" w:eastAsia="Arial" w:hAnsi="Arial"/>
                <w:sz w:val="22"/>
                <w:szCs w:val="22"/>
                <w:color w:val="auto"/>
              </w:rPr>
              <w:t>2)</w:t>
            </w:r>
          </w:p>
        </w:tc>
        <w:tc>
          <w:tcPr>
            <w:tcW w:w="3920" w:type="dxa"/>
            <w:vAlign w:val="bottom"/>
          </w:tcPr>
          <w:p>
            <w:pPr>
              <w:ind w:left="220"/>
              <w:spacing w:after="0" w:line="243" w:lineRule="exact"/>
              <w:rPr>
                <w:sz w:val="20"/>
                <w:szCs w:val="20"/>
                <w:color w:val="auto"/>
              </w:rPr>
            </w:pPr>
            <w:r>
              <w:rPr>
                <w:rFonts w:ascii="Arial" w:cs="Arial" w:eastAsia="Arial" w:hAnsi="Arial"/>
                <w:sz w:val="22"/>
                <w:szCs w:val="22"/>
                <w:color w:val="auto"/>
              </w:rPr>
              <w:t>Aggregate</w:t>
            </w:r>
          </w:p>
        </w:tc>
        <w:tc>
          <w:tcPr>
            <w:tcW w:w="344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680" w:type="dxa"/>
            <w:vAlign w:val="bottom"/>
          </w:tcPr>
          <w:p>
            <w:pPr>
              <w:ind w:left="280"/>
              <w:spacing w:after="0" w:line="243" w:lineRule="exact"/>
              <w:rPr>
                <w:sz w:val="20"/>
                <w:szCs w:val="20"/>
                <w:color w:val="auto"/>
              </w:rPr>
            </w:pPr>
            <w:r>
              <w:rPr>
                <w:rFonts w:ascii="Arial" w:cs="Arial" w:eastAsia="Arial" w:hAnsi="Arial"/>
                <w:sz w:val="22"/>
                <w:szCs w:val="22"/>
                <w:color w:val="auto"/>
              </w:rPr>
              <w:t>3)</w:t>
            </w:r>
          </w:p>
        </w:tc>
        <w:tc>
          <w:tcPr>
            <w:tcW w:w="7360" w:type="dxa"/>
            <w:vAlign w:val="bottom"/>
            <w:gridSpan w:val="2"/>
          </w:tcPr>
          <w:p>
            <w:pPr>
              <w:ind w:left="220"/>
              <w:spacing w:after="0" w:line="243" w:lineRule="exact"/>
              <w:rPr>
                <w:sz w:val="20"/>
                <w:szCs w:val="20"/>
                <w:color w:val="auto"/>
              </w:rPr>
            </w:pPr>
            <w:r>
              <w:rPr>
                <w:rFonts w:ascii="Arial" w:cs="Arial" w:eastAsia="Arial" w:hAnsi="Arial"/>
                <w:sz w:val="22"/>
                <w:szCs w:val="22"/>
                <w:color w:val="auto"/>
                <w:w w:val="96"/>
              </w:rPr>
              <w:t>Per unit price or other underlying value of transaction computed pursuant to</w:t>
            </w:r>
          </w:p>
        </w:tc>
      </w:tr>
      <w:tr>
        <w:trPr>
          <w:trHeight w:val="243"/>
        </w:trPr>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36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89"/>
              </w:rPr>
              <w:t>Exchange Act Rule 0-11 (set forth the amount on which the filing fee is calculated</w:t>
            </w:r>
          </w:p>
        </w:tc>
      </w:tr>
      <w:tr>
        <w:trPr>
          <w:trHeight w:val="243"/>
        </w:trPr>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920" w:type="dxa"/>
            <w:vAlign w:val="bottom"/>
          </w:tcPr>
          <w:p>
            <w:pPr>
              <w:ind w:left="240"/>
              <w:spacing w:after="0" w:line="243" w:lineRule="exact"/>
              <w:rPr>
                <w:sz w:val="20"/>
                <w:szCs w:val="20"/>
                <w:color w:val="auto"/>
              </w:rPr>
            </w:pPr>
            <w:r>
              <w:rPr>
                <w:rFonts w:ascii="Arial" w:cs="Arial" w:eastAsia="Arial" w:hAnsi="Arial"/>
                <w:sz w:val="22"/>
                <w:szCs w:val="22"/>
                <w:color w:val="auto"/>
              </w:rPr>
              <w:t>and state how it was determined):</w:t>
            </w:r>
          </w:p>
        </w:tc>
        <w:tc>
          <w:tcPr>
            <w:tcW w:w="344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680" w:type="dxa"/>
            <w:vAlign w:val="bottom"/>
          </w:tcPr>
          <w:p>
            <w:pPr>
              <w:ind w:left="280"/>
              <w:spacing w:after="0" w:line="243" w:lineRule="exact"/>
              <w:rPr>
                <w:sz w:val="20"/>
                <w:szCs w:val="20"/>
                <w:color w:val="auto"/>
              </w:rPr>
            </w:pPr>
            <w:r>
              <w:rPr>
                <w:rFonts w:ascii="Arial" w:cs="Arial" w:eastAsia="Arial" w:hAnsi="Arial"/>
                <w:sz w:val="22"/>
                <w:szCs w:val="22"/>
                <w:color w:val="auto"/>
              </w:rPr>
              <w:t>4)</w:t>
            </w:r>
          </w:p>
        </w:tc>
        <w:tc>
          <w:tcPr>
            <w:tcW w:w="736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Proposed maximum aggregate value of transaction:</w:t>
            </w:r>
          </w:p>
        </w:tc>
      </w:tr>
      <w:tr>
        <w:trPr>
          <w:trHeight w:val="261"/>
        </w:trPr>
        <w:tc>
          <w:tcPr>
            <w:tcW w:w="380" w:type="dxa"/>
            <w:vAlign w:val="bottom"/>
          </w:tcPr>
          <w:p>
            <w:pPr>
              <w:spacing w:after="0"/>
              <w:rPr>
                <w:sz w:val="22"/>
                <w:szCs w:val="22"/>
                <w:color w:val="auto"/>
              </w:rPr>
            </w:pPr>
          </w:p>
        </w:tc>
        <w:tc>
          <w:tcPr>
            <w:tcW w:w="680" w:type="dxa"/>
            <w:vAlign w:val="bottom"/>
          </w:tcPr>
          <w:p>
            <w:pPr>
              <w:ind w:left="280"/>
              <w:spacing w:after="0"/>
              <w:rPr>
                <w:sz w:val="20"/>
                <w:szCs w:val="20"/>
                <w:color w:val="auto"/>
              </w:rPr>
            </w:pPr>
            <w:r>
              <w:rPr>
                <w:rFonts w:ascii="Arial" w:cs="Arial" w:eastAsia="Arial" w:hAnsi="Arial"/>
                <w:sz w:val="22"/>
                <w:szCs w:val="22"/>
                <w:color w:val="auto"/>
              </w:rPr>
              <w:t>5)</w:t>
            </w:r>
          </w:p>
        </w:tc>
        <w:tc>
          <w:tcPr>
            <w:tcW w:w="3920" w:type="dxa"/>
            <w:vAlign w:val="bottom"/>
          </w:tcPr>
          <w:p>
            <w:pPr>
              <w:ind w:left="220"/>
              <w:spacing w:after="0"/>
              <w:rPr>
                <w:sz w:val="20"/>
                <w:szCs w:val="20"/>
                <w:color w:val="auto"/>
              </w:rPr>
            </w:pPr>
            <w:r>
              <w:rPr>
                <w:rFonts w:ascii="Arial" w:cs="Arial" w:eastAsia="Arial" w:hAnsi="Arial"/>
                <w:sz w:val="22"/>
                <w:szCs w:val="22"/>
                <w:color w:val="auto"/>
              </w:rPr>
              <w:t>Total fee paid:</w:t>
            </w:r>
          </w:p>
        </w:tc>
        <w:tc>
          <w:tcPr>
            <w:tcW w:w="3440" w:type="dxa"/>
            <w:vAlign w:val="bottom"/>
          </w:tcPr>
          <w:p>
            <w:pPr>
              <w:spacing w:after="0"/>
              <w:rPr>
                <w:sz w:val="22"/>
                <w:szCs w:val="22"/>
                <w:color w:val="auto"/>
              </w:rPr>
            </w:pPr>
          </w:p>
        </w:tc>
      </w:tr>
    </w:tbl>
    <w:p>
      <w:pPr>
        <w:ind w:left="620" w:hanging="612"/>
        <w:spacing w:after="0" w:line="230"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Fee paid previously with preliminary materials.</w:t>
      </w:r>
    </w:p>
    <w:p>
      <w:pPr>
        <w:ind w:left="660" w:right="1939" w:hanging="652"/>
        <w:spacing w:after="0" w:line="233" w:lineRule="auto"/>
        <w:tabs>
          <w:tab w:leader="none" w:pos="633"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22"/>
          <w:szCs w:val="22"/>
          <w:color w:val="auto"/>
        </w:rPr>
      </w:pPr>
    </w:p>
    <w:p>
      <w:pPr>
        <w:ind w:left="1280" w:hanging="624"/>
        <w:spacing w:after="0"/>
        <w:tabs>
          <w:tab w:leader="none" w:pos="1280" w:val="left"/>
        </w:tabs>
        <w:numPr>
          <w:ilvl w:val="1"/>
          <w:numId w:val="4"/>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8" w:lineRule="exact"/>
        <w:rPr>
          <w:rFonts w:ascii="Arial" w:cs="Arial" w:eastAsia="Arial" w:hAnsi="Arial"/>
          <w:sz w:val="22"/>
          <w:szCs w:val="22"/>
          <w:color w:val="auto"/>
        </w:rPr>
      </w:pPr>
    </w:p>
    <w:p>
      <w:pPr>
        <w:ind w:left="1280" w:hanging="624"/>
        <w:spacing w:after="0" w:line="230" w:lineRule="auto"/>
        <w:tabs>
          <w:tab w:leader="none" w:pos="1280" w:val="left"/>
        </w:tabs>
        <w:numPr>
          <w:ilvl w:val="1"/>
          <w:numId w:val="4"/>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ind w:left="1280" w:hanging="624"/>
        <w:spacing w:after="0" w:line="230" w:lineRule="auto"/>
        <w:tabs>
          <w:tab w:leader="none" w:pos="1280" w:val="left"/>
        </w:tabs>
        <w:numPr>
          <w:ilvl w:val="1"/>
          <w:numId w:val="4"/>
        </w:numPr>
        <w:rPr>
          <w:rFonts w:ascii="Arial" w:cs="Arial" w:eastAsia="Arial" w:hAnsi="Arial"/>
          <w:sz w:val="22"/>
          <w:szCs w:val="22"/>
          <w:color w:val="auto"/>
        </w:rPr>
      </w:pPr>
      <w:r>
        <w:rPr>
          <w:rFonts w:ascii="Arial" w:cs="Arial" w:eastAsia="Arial" w:hAnsi="Arial"/>
          <w:sz w:val="22"/>
          <w:szCs w:val="22"/>
          <w:color w:val="auto"/>
        </w:rPr>
        <w:t>Filing Party:</w:t>
      </w:r>
    </w:p>
    <w:p>
      <w:pPr>
        <w:ind w:left="1280" w:hanging="624"/>
        <w:spacing w:after="0"/>
        <w:tabs>
          <w:tab w:leader="none" w:pos="1280" w:val="left"/>
        </w:tabs>
        <w:numPr>
          <w:ilvl w:val="1"/>
          <w:numId w:val="4"/>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535114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2940"/>
        <w:spacing w:after="0"/>
        <w:rPr>
          <w:sz w:val="20"/>
          <w:szCs w:val="20"/>
          <w:color w:val="auto"/>
        </w:rPr>
      </w:pP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[form_pre14a2012001.jpg]</w:t>
      </w: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CLEARONE COMMUNICATIONS,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55"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NOVEMBER 5, 2012</w:t>
      </w:r>
    </w:p>
    <w:p>
      <w:pPr>
        <w:spacing w:after="0" w:line="185" w:lineRule="exact"/>
        <w:rPr>
          <w:sz w:val="24"/>
          <w:szCs w:val="24"/>
          <w:color w:val="auto"/>
        </w:rPr>
      </w:pPr>
    </w:p>
    <w:p>
      <w:pPr>
        <w:jc w:val="both"/>
        <w:ind w:right="2579" w:firstLine="648"/>
        <w:spacing w:after="0" w:line="297" w:lineRule="auto"/>
        <w:rPr>
          <w:sz w:val="20"/>
          <w:szCs w:val="20"/>
          <w:color w:val="auto"/>
        </w:rPr>
      </w:pPr>
      <w:r>
        <w:rPr>
          <w:rFonts w:ascii="Arial" w:cs="Arial" w:eastAsia="Arial" w:hAnsi="Arial"/>
          <w:sz w:val="19"/>
          <w:szCs w:val="19"/>
          <w:color w:val="auto"/>
        </w:rPr>
        <w:t>The Annual Meeting of Shareholders of ClearOne Communications, Inc., a Utah corporation, will be held at 9:00 a.m., local time, on Monday, November 5, 2012, at our corporate offices, 5225 Wiley Post Way, Suite 500, Salt Lake City, Utah 84116.</w:t>
      </w:r>
    </w:p>
    <w:p>
      <w:pPr>
        <w:spacing w:after="0" w:line="107" w:lineRule="exact"/>
        <w:rPr>
          <w:sz w:val="24"/>
          <w:szCs w:val="24"/>
          <w:color w:val="auto"/>
        </w:rPr>
      </w:pPr>
    </w:p>
    <w:p>
      <w:pPr>
        <w:ind w:left="660"/>
        <w:spacing w:after="0"/>
        <w:rPr>
          <w:sz w:val="20"/>
          <w:szCs w:val="20"/>
          <w:color w:val="auto"/>
        </w:rPr>
      </w:pPr>
      <w:r>
        <w:rPr>
          <w:rFonts w:ascii="Arial" w:cs="Arial" w:eastAsia="Arial" w:hAnsi="Arial"/>
          <w:sz w:val="22"/>
          <w:szCs w:val="22"/>
          <w:color w:val="auto"/>
        </w:rPr>
        <w:t>The following describes the purpose of the Annual Meeting:</w:t>
      </w:r>
    </w:p>
    <w:p>
      <w:pPr>
        <w:spacing w:after="0" w:line="179" w:lineRule="exact"/>
        <w:rPr>
          <w:sz w:val="24"/>
          <w:szCs w:val="24"/>
          <w:color w:val="auto"/>
        </w:rPr>
      </w:pPr>
    </w:p>
    <w:p>
      <w:pPr>
        <w:ind w:left="1280" w:hanging="624"/>
        <w:spacing w:after="0"/>
        <w:tabs>
          <w:tab w:leader="none" w:pos="1280" w:val="left"/>
        </w:tabs>
        <w:numPr>
          <w:ilvl w:val="0"/>
          <w:numId w:val="5"/>
        </w:numPr>
        <w:rPr>
          <w:rFonts w:ascii="Arial" w:cs="Arial" w:eastAsia="Arial" w:hAnsi="Arial"/>
          <w:sz w:val="20"/>
          <w:szCs w:val="20"/>
          <w:color w:val="auto"/>
        </w:rPr>
      </w:pPr>
      <w:r>
        <w:rPr>
          <w:rFonts w:ascii="Arial" w:cs="Arial" w:eastAsia="Arial" w:hAnsi="Arial"/>
          <w:sz w:val="22"/>
          <w:szCs w:val="22"/>
          <w:color w:val="auto"/>
        </w:rPr>
        <w:t>To elect five members of our Board of Directors;</w:t>
      </w:r>
    </w:p>
    <w:p>
      <w:pPr>
        <w:sectPr>
          <w:pgSz w:w="11900" w:h="16899" w:orient="portrait"/>
          <w:cols w:equalWidth="0" w:num="1">
            <w:col w:w="10219"/>
          </w:cols>
          <w:pgMar w:left="240" w:top="220" w:right="1440" w:bottom="0" w:gutter="0" w:footer="0" w:header="0"/>
        </w:sectPr>
      </w:pPr>
    </w:p>
    <w:bookmarkStart w:id="1" w:name="page2"/>
    <w:bookmarkEnd w:id="1"/>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To ratify the appointment of the Company's independent public accountants;</w:t>
      </w:r>
    </w:p>
    <w:p>
      <w:pPr>
        <w:spacing w:after="0" w:line="225" w:lineRule="exact"/>
        <w:rPr>
          <w:sz w:val="20"/>
          <w:szCs w:val="20"/>
          <w:color w:val="auto"/>
        </w:rPr>
      </w:pPr>
    </w:p>
    <w:p>
      <w:pPr>
        <w:sectPr>
          <w:pgSz w:w="11900" w:h="16838" w:orient="portrait"/>
          <w:cols w:equalWidth="0" w:num="2">
            <w:col w:w="800" w:space="480"/>
            <w:col w:w="8939"/>
          </w:cols>
          <w:pgMar w:left="240" w:top="118" w:right="1440" w:bottom="1440" w:gutter="0" w:footer="0" w:header="0"/>
        </w:sectPr>
      </w:pPr>
    </w:p>
    <w:p>
      <w:pPr>
        <w:ind w:left="1300" w:right="1919" w:hanging="644"/>
        <w:spacing w:after="0" w:line="239" w:lineRule="auto"/>
        <w:tabs>
          <w:tab w:leader="none" w:pos="1273" w:val="left"/>
        </w:tabs>
        <w:numPr>
          <w:ilvl w:val="0"/>
          <w:numId w:val="6"/>
        </w:numPr>
        <w:rPr>
          <w:rFonts w:ascii="Arial" w:cs="Arial" w:eastAsia="Arial" w:hAnsi="Arial"/>
          <w:sz w:val="20"/>
          <w:szCs w:val="20"/>
          <w:color w:val="auto"/>
        </w:rPr>
      </w:pPr>
      <w:r>
        <w:rPr>
          <w:rFonts w:ascii="Arial" w:cs="Arial" w:eastAsia="Arial" w:hAnsi="Arial"/>
          <w:sz w:val="22"/>
          <w:szCs w:val="22"/>
          <w:color w:val="auto"/>
        </w:rPr>
        <w:t>To amend the Articles of Incorporation to change the name of the Company from ClearOne Communications, Inc. to ClearOne, Inc.</w:t>
      </w:r>
    </w:p>
    <w:p>
      <w:pPr>
        <w:spacing w:after="0" w:line="159" w:lineRule="exact"/>
        <w:rPr>
          <w:rFonts w:ascii="Arial" w:cs="Arial" w:eastAsia="Arial" w:hAnsi="Arial"/>
          <w:sz w:val="20"/>
          <w:szCs w:val="20"/>
          <w:color w:val="auto"/>
        </w:rPr>
      </w:pPr>
    </w:p>
    <w:p>
      <w:pPr>
        <w:ind w:left="1140" w:right="2179" w:hanging="484"/>
        <w:spacing w:after="0" w:line="251" w:lineRule="auto"/>
        <w:tabs>
          <w:tab w:leader="none" w:pos="1113"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or any adjournment thereof.</w:t>
      </w:r>
    </w:p>
    <w:p>
      <w:pPr>
        <w:spacing w:after="0" w:line="146" w:lineRule="exact"/>
        <w:rPr>
          <w:sz w:val="20"/>
          <w:szCs w:val="20"/>
          <w:color w:val="auto"/>
        </w:rPr>
      </w:pPr>
    </w:p>
    <w:p>
      <w:pPr>
        <w:ind w:right="2659" w:firstLine="648"/>
        <w:spacing w:after="0" w:line="251" w:lineRule="auto"/>
        <w:rPr>
          <w:sz w:val="20"/>
          <w:szCs w:val="20"/>
          <w:color w:val="auto"/>
        </w:rPr>
      </w:pPr>
      <w:r>
        <w:rPr>
          <w:rFonts w:ascii="Arial" w:cs="Arial" w:eastAsia="Arial" w:hAnsi="Arial"/>
          <w:sz w:val="22"/>
          <w:szCs w:val="22"/>
          <w:color w:val="auto"/>
        </w:rPr>
        <w:t>The foregoing items of business are more fully described in the proxy statement accompanying this notice.</w:t>
      </w:r>
    </w:p>
    <w:p>
      <w:pPr>
        <w:spacing w:after="0" w:line="146" w:lineRule="exact"/>
        <w:rPr>
          <w:sz w:val="20"/>
          <w:szCs w:val="20"/>
          <w:color w:val="auto"/>
        </w:rPr>
      </w:pPr>
    </w:p>
    <w:p>
      <w:pPr>
        <w:ind w:right="2139" w:firstLine="648"/>
        <w:spacing w:after="0" w:line="251" w:lineRule="auto"/>
        <w:rPr>
          <w:sz w:val="20"/>
          <w:szCs w:val="20"/>
          <w:color w:val="auto"/>
        </w:rPr>
      </w:pPr>
      <w:r>
        <w:rPr>
          <w:rFonts w:ascii="Arial" w:cs="Arial" w:eastAsia="Arial" w:hAnsi="Arial"/>
          <w:sz w:val="22"/>
          <w:szCs w:val="22"/>
          <w:color w:val="auto"/>
        </w:rPr>
        <w:t>Only shareholders of record at the close of business on October 2, 2012 are entitled to notice of and to vote at the meeting.</w:t>
      </w:r>
    </w:p>
    <w:p>
      <w:pPr>
        <w:spacing w:after="0" w:line="146" w:lineRule="exact"/>
        <w:rPr>
          <w:sz w:val="20"/>
          <w:szCs w:val="20"/>
          <w:color w:val="auto"/>
        </w:rPr>
      </w:pPr>
    </w:p>
    <w:p>
      <w:pPr>
        <w:ind w:right="1839" w:firstLine="648"/>
        <w:spacing w:after="0" w:line="247" w:lineRule="auto"/>
        <w:rPr>
          <w:sz w:val="20"/>
          <w:szCs w:val="20"/>
          <w:color w:val="auto"/>
        </w:rPr>
      </w:pPr>
      <w:r>
        <w:rPr>
          <w:rFonts w:ascii="Arial" w:cs="Arial" w:eastAsia="Arial" w:hAnsi="Arial"/>
          <w:sz w:val="21"/>
          <w:szCs w:val="21"/>
          <w:color w:val="auto"/>
        </w:rPr>
        <w:t>All shareholders are cordially invited to attend the meeting and vote in person. However, to ensure your representation at the meeting, you are urged to vote as promptly as possible, whether via the Internet, by telephone, or, by marking, signing, dating, and returning the enclosed proxy in the postage-prepaid envelope enclosed for that purpose. Any shareholder attending the meeting may vote in person even if such shareholder has previously submitted a proxy. If you need to obtain directions on how to attend the Annual Meeting and vote in person, please contact our corporate offices at (801) 975-7200.</w:t>
      </w:r>
    </w:p>
    <w:p>
      <w:pPr>
        <w:spacing w:after="0" w:line="145" w:lineRule="exact"/>
        <w:rPr>
          <w:sz w:val="20"/>
          <w:szCs w:val="20"/>
          <w:color w:val="auto"/>
        </w:rPr>
      </w:pPr>
    </w:p>
    <w:p>
      <w:pPr>
        <w:ind w:right="1799" w:firstLine="648"/>
        <w:spacing w:after="0" w:line="248" w:lineRule="auto"/>
        <w:rPr>
          <w:sz w:val="20"/>
          <w:szCs w:val="20"/>
          <w:color w:val="auto"/>
        </w:rPr>
      </w:pPr>
      <w:r>
        <w:rPr>
          <w:rFonts w:ascii="Arial" w:cs="Arial" w:eastAsia="Arial" w:hAnsi="Arial"/>
          <w:sz w:val="21"/>
          <w:szCs w:val="21"/>
          <w:b w:val="1"/>
          <w:bCs w:val="1"/>
          <w:color w:val="auto"/>
        </w:rPr>
        <w:t xml:space="preserve">Important Notice Regarding the Availability of Proxy Materials for the 2012 Annual Meeting of Shareholders to be held on November 5, 2012. </w:t>
      </w:r>
      <w:r>
        <w:rPr>
          <w:rFonts w:ascii="Arial" w:cs="Arial" w:eastAsia="Arial" w:hAnsi="Arial"/>
          <w:sz w:val="21"/>
          <w:szCs w:val="21"/>
          <w:color w:val="auto"/>
        </w:rPr>
        <w:t>Because we have elected to utilize</w:t>
      </w:r>
      <w:r>
        <w:rPr>
          <w:rFonts w:ascii="Arial" w:cs="Arial" w:eastAsia="Arial" w:hAnsi="Arial"/>
          <w:sz w:val="21"/>
          <w:szCs w:val="21"/>
          <w:b w:val="1"/>
          <w:bCs w:val="1"/>
          <w:color w:val="auto"/>
        </w:rPr>
        <w:t xml:space="preserve"> </w:t>
      </w:r>
      <w:r>
        <w:rPr>
          <w:rFonts w:ascii="Arial" w:cs="Arial" w:eastAsia="Arial" w:hAnsi="Arial"/>
          <w:sz w:val="21"/>
          <w:szCs w:val="21"/>
          <w:color w:val="auto"/>
        </w:rPr>
        <w:t>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2011 are available at our corporate website and may be accessed at www.clearone.com under “Investor Relations”.</w:t>
      </w:r>
    </w:p>
    <w:p>
      <w:pPr>
        <w:spacing w:after="0" w:line="1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179" w:lineRule="exact"/>
        <w:rPr>
          <w:sz w:val="20"/>
          <w:szCs w:val="20"/>
          <w:color w:val="auto"/>
        </w:rPr>
      </w:pPr>
    </w:p>
    <w:p>
      <w:pPr>
        <w:ind w:left="3900"/>
        <w:spacing w:after="0"/>
        <w:rPr>
          <w:sz w:val="20"/>
          <w:szCs w:val="20"/>
          <w:color w:val="auto"/>
        </w:rPr>
      </w:pPr>
      <w:r>
        <w:rPr>
          <w:sz w:val="1"/>
          <w:szCs w:val="1"/>
          <w:color w:val="auto"/>
        </w:rPr>
        <w:drawing>
          <wp:inline distT="0" distB="0" distL="0" distR="0">
            <wp:extent cx="137160" cy="137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[form_pre14a2012002.jpg]</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Narsi Narayanan</w:t>
      </w:r>
      <w:r>
        <w:rPr>
          <w:rFonts w:ascii="Arial" w:cs="Arial" w:eastAsia="Arial" w:hAnsi="Arial"/>
          <w:sz w:val="22"/>
          <w:szCs w:val="22"/>
          <w:i w:val="1"/>
          <w:iCs w:val="1"/>
          <w:color w:val="auto"/>
        </w:rPr>
        <w:t>Corporate Secretary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Salt Lake City, Utah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October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956310</wp:posOffset>
            </wp:positionV>
            <wp:extent cx="5351145"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type w:val="continuous"/>
        </w:sectPr>
      </w:pPr>
    </w:p>
    <w:bookmarkStart w:id="2" w:name="page3"/>
    <w:bookmarkEnd w:id="2"/>
    <w:p>
      <w:pPr>
        <w:jc w:val="center"/>
        <w:ind w:right="1779"/>
        <w:spacing w:after="0"/>
        <w:rPr>
          <w:sz w:val="20"/>
          <w:szCs w:val="20"/>
          <w:color w:val="auto"/>
        </w:rPr>
      </w:pPr>
      <w:r>
        <w:rPr>
          <w:rFonts w:ascii="Arial" w:cs="Arial" w:eastAsia="Arial" w:hAnsi="Arial"/>
          <w:sz w:val="22"/>
          <w:szCs w:val="22"/>
          <w:b w:val="1"/>
          <w:bCs w:val="1"/>
          <w:color w:val="auto"/>
        </w:rPr>
        <w:t>CLEARONE COMMUNICATIONS, INC.</w:t>
      </w:r>
    </w:p>
    <w:p>
      <w:pPr>
        <w:spacing w:after="0" w:line="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5225 Wiley Post Way, Suite 500</w:t>
      </w:r>
    </w:p>
    <w:p>
      <w:pPr>
        <w:jc w:val="center"/>
        <w:ind w:right="1779"/>
        <w:spacing w:after="0" w:line="230" w:lineRule="auto"/>
        <w:rPr>
          <w:sz w:val="20"/>
          <w:szCs w:val="20"/>
          <w:color w:val="auto"/>
        </w:rPr>
      </w:pPr>
      <w:r>
        <w:rPr>
          <w:rFonts w:ascii="Arial" w:cs="Arial" w:eastAsia="Arial" w:hAnsi="Arial"/>
          <w:sz w:val="22"/>
          <w:szCs w:val="22"/>
          <w:b w:val="1"/>
          <w:bCs w:val="1"/>
          <w:color w:val="auto"/>
        </w:rPr>
        <w:t>Salt Lake City, Utah 84116</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____________________</w:t>
      </w:r>
    </w:p>
    <w:p>
      <w:pPr>
        <w:spacing w:after="0" w:line="61"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PROXY STATEMENT</w:t>
      </w:r>
    </w:p>
    <w:p>
      <w:pPr>
        <w:spacing w:after="0" w:line="14"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____________________</w:t>
      </w:r>
    </w:p>
    <w:p>
      <w:pPr>
        <w:spacing w:after="0" w:line="61"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ANNUAL MEETING OF SHAREHOLDERS</w:t>
      </w:r>
    </w:p>
    <w:p>
      <w:pPr>
        <w:spacing w:after="0" w:line="85"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NOVEMBER 5, 2012</w:t>
      </w:r>
    </w:p>
    <w:p>
      <w:pPr>
        <w:spacing w:after="0" w:line="14"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____________________</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91" w:lineRule="exact"/>
        <w:rPr>
          <w:sz w:val="20"/>
          <w:szCs w:val="20"/>
          <w:color w:val="auto"/>
        </w:rPr>
      </w:pPr>
    </w:p>
    <w:p>
      <w:pPr>
        <w:ind w:right="1879" w:firstLine="648"/>
        <w:spacing w:after="0" w:line="235" w:lineRule="auto"/>
        <w:rPr>
          <w:sz w:val="20"/>
          <w:szCs w:val="20"/>
          <w:color w:val="auto"/>
        </w:rPr>
      </w:pPr>
      <w:r>
        <w:rPr>
          <w:rFonts w:ascii="Arial" w:cs="Arial" w:eastAsia="Arial" w:hAnsi="Arial"/>
          <w:sz w:val="22"/>
          <w:szCs w:val="22"/>
          <w:color w:val="auto"/>
        </w:rPr>
        <w:t>The accompanying proxy is solicited on behalf of ClearOne Communications, Inc., a Utah corporation (the “Company”), by the Board of Directors for use at our 2012 Annual Meeting of Shareholders to be held at the corporate offices of the company, 5225 Wiley Post Way, Suite 500, Salt Lake City, Utah on November 5, 2012 at 9:00 a.m., local time, or at any postponement or adjournment thereof, for the purposes set forth herein and in the accompanying notice.</w:t>
      </w:r>
    </w:p>
    <w:p>
      <w:pPr>
        <w:spacing w:after="0" w:line="67" w:lineRule="exact"/>
        <w:rPr>
          <w:sz w:val="20"/>
          <w:szCs w:val="20"/>
          <w:color w:val="auto"/>
        </w:rPr>
      </w:pPr>
    </w:p>
    <w:p>
      <w:pPr>
        <w:ind w:right="1919" w:firstLine="648"/>
        <w:spacing w:after="0" w:line="251" w:lineRule="auto"/>
        <w:rPr>
          <w:sz w:val="20"/>
          <w:szCs w:val="20"/>
          <w:color w:val="auto"/>
        </w:rPr>
      </w:pPr>
      <w:r>
        <w:rPr>
          <w:rFonts w:ascii="Arial" w:cs="Arial" w:eastAsia="Arial" w:hAnsi="Arial"/>
          <w:sz w:val="22"/>
          <w:szCs w:val="22"/>
          <w:color w:val="auto"/>
        </w:rPr>
        <w:t>These proxy solicitation materials will be distributed on or about October 15, 2012 to all shareholders entitled to vote at the meeting.</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 Date and Shares Outstanding</w:t>
      </w:r>
    </w:p>
    <w:p>
      <w:pPr>
        <w:spacing w:after="0" w:line="91" w:lineRule="exact"/>
        <w:rPr>
          <w:sz w:val="20"/>
          <w:szCs w:val="20"/>
          <w:color w:val="auto"/>
        </w:rPr>
      </w:pPr>
    </w:p>
    <w:p>
      <w:pPr>
        <w:ind w:right="1999" w:firstLine="648"/>
        <w:spacing w:after="0"/>
        <w:rPr>
          <w:sz w:val="20"/>
          <w:szCs w:val="20"/>
          <w:color w:val="auto"/>
        </w:rPr>
      </w:pPr>
      <w:r>
        <w:rPr>
          <w:rFonts w:ascii="Arial" w:cs="Arial" w:eastAsia="Arial" w:hAnsi="Arial"/>
          <w:sz w:val="22"/>
          <w:szCs w:val="22"/>
          <w:color w:val="auto"/>
        </w:rPr>
        <w:t>Shareholders of record at the close of business on October 2, 2012 are entitled to notice of, and to vote at, the meeting. On the record date, 9,175,774 shares of common stock were issued and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of Proxies</w:t>
      </w:r>
    </w:p>
    <w:p>
      <w:pPr>
        <w:spacing w:after="0" w:line="91" w:lineRule="exact"/>
        <w:rPr>
          <w:sz w:val="20"/>
          <w:szCs w:val="20"/>
          <w:color w:val="auto"/>
        </w:rPr>
      </w:pPr>
    </w:p>
    <w:p>
      <w:pPr>
        <w:ind w:right="1899" w:firstLine="648"/>
        <w:spacing w:after="0" w:line="274" w:lineRule="auto"/>
        <w:rPr>
          <w:sz w:val="20"/>
          <w:szCs w:val="20"/>
          <w:color w:val="auto"/>
        </w:rPr>
      </w:pPr>
      <w:r>
        <w:rPr>
          <w:rFonts w:ascii="Arial" w:cs="Arial" w:eastAsia="Arial" w:hAnsi="Arial"/>
          <w:sz w:val="19"/>
          <w:szCs w:val="19"/>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the election of each of the nominees set forth in this proxy statement, FOR the ratification of the appointment of the Company’s independent public accountants and FOR amendment of the Articles of Incorporation to change the name of the Company from ClearOne Communications, Inc. to ClearOne, Inc.</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 for Approval</w:t>
      </w:r>
    </w:p>
    <w:p>
      <w:pPr>
        <w:spacing w:after="0" w:line="91" w:lineRule="exact"/>
        <w:rPr>
          <w:sz w:val="20"/>
          <w:szCs w:val="20"/>
          <w:color w:val="auto"/>
        </w:rPr>
      </w:pPr>
    </w:p>
    <w:p>
      <w:pPr>
        <w:ind w:right="1819" w:firstLine="648"/>
        <w:spacing w:after="0" w:line="244" w:lineRule="auto"/>
        <w:rPr>
          <w:sz w:val="20"/>
          <w:szCs w:val="20"/>
          <w:color w:val="auto"/>
        </w:rPr>
      </w:pPr>
      <w:r>
        <w:rPr>
          <w:rFonts w:ascii="Arial" w:cs="Arial" w:eastAsia="Arial" w:hAnsi="Arial"/>
          <w:sz w:val="21"/>
          <w:szCs w:val="21"/>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and broker non-votes, which are indications by a broker that it does not have discretionary authority to vote on a particular matter, will be counted as “represented” for the purpose of determining the presence or absence of a quorum. The election of directors and the amendment of Articles of Incorporation are non-routine matters on which brokers are not allowed to vote unless they have received voting instructions from their customers. Accordingly, it is particularly important that beneficial owners instruct their brokers how they wish to vote their shares. The ratification of the appointment of the Company’s independent public accountants is considered a routine matter for which brokerage firms may vote un-instructed shares.</w:t>
      </w:r>
    </w:p>
    <w:p>
      <w:pPr>
        <w:spacing w:after="0" w:line="66" w:lineRule="exact"/>
        <w:rPr>
          <w:sz w:val="20"/>
          <w:szCs w:val="20"/>
          <w:color w:val="auto"/>
        </w:rPr>
      </w:pPr>
    </w:p>
    <w:p>
      <w:pPr>
        <w:ind w:right="1779" w:firstLine="648"/>
        <w:spacing w:after="0" w:line="244" w:lineRule="auto"/>
        <w:rPr>
          <w:sz w:val="20"/>
          <w:szCs w:val="20"/>
          <w:color w:val="auto"/>
        </w:rPr>
      </w:pPr>
      <w:r>
        <w:rPr>
          <w:rFonts w:ascii="Arial" w:cs="Arial" w:eastAsia="Arial" w:hAnsi="Arial"/>
          <w:sz w:val="21"/>
          <w:szCs w:val="21"/>
          <w:color w:val="auto"/>
        </w:rPr>
        <w:t>Each holder of common stock will be entitled to one vote for each share of common stock held on the record date. In the election of directors, shareholders will not be allowed to cumulate their votes. Assuming that a quorum is present, the election of directors will be determined by plurality vote. The proposals to ratify the appointment of McGladrey LLP to serve as our independent public accountants for the year ending December 31, 2012 and to amend the Articles of Incorporation to change the name of the Company from ClearOne Communications, Inc. to ClearOne, Inc. requires that the votes cast in favor of the proposals must exceed the votes cast against the proposals. Abstentions and broker non-votes will not affect the outcome of the election of directors or the proposals to ratify the appointment of the Company’s independent public accountants and amend the Articles of Incorporation. Any other matter properly presented for approval by the shareholders at the Annual Meeting will generally be approved if the number of votes cast in favor of a matter exceeds the number of votes cast in opposition. With respect to any such matter, abstentions and broker non-votes are not likely to affect the outcome of</w:t>
      </w:r>
    </w:p>
    <w:p>
      <w:pPr>
        <w:sectPr>
          <w:pgSz w:w="11900" w:h="16838" w:orient="portrait"/>
          <w:cols w:equalWidth="0" w:num="1">
            <w:col w:w="10219"/>
          </w:cols>
          <w:pgMar w:left="240" w:top="355" w:right="1440" w:bottom="0" w:gutter="0" w:footer="0" w:header="0"/>
        </w:sectPr>
      </w:pPr>
    </w:p>
    <w:bookmarkStart w:id="3" w:name="page4"/>
    <w:bookmarkEnd w:id="3"/>
    <w:p>
      <w:pPr>
        <w:spacing w:after="0" w:line="24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5351145"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ind w:right="1899"/>
        <w:spacing w:after="0" w:line="239" w:lineRule="auto"/>
        <w:rPr>
          <w:sz w:val="20"/>
          <w:szCs w:val="20"/>
          <w:color w:val="auto"/>
        </w:rPr>
      </w:pPr>
      <w:r>
        <w:rPr>
          <w:rFonts w:ascii="Arial" w:cs="Arial" w:eastAsia="Arial" w:hAnsi="Arial"/>
          <w:sz w:val="22"/>
          <w:szCs w:val="22"/>
          <w:color w:val="auto"/>
        </w:rPr>
        <w:t>a vote on such matter. The Company is not currently aware of any other matters to be presented at the Annual Meeting.</w:t>
      </w:r>
    </w:p>
    <w:p>
      <w:pPr>
        <w:spacing w:after="0" w:line="1" w:lineRule="exact"/>
        <w:rPr>
          <w:sz w:val="20"/>
          <w:szCs w:val="20"/>
          <w:color w:val="auto"/>
        </w:rPr>
      </w:pPr>
    </w:p>
    <w:p>
      <w:pPr>
        <w:ind w:right="2099" w:firstLine="752"/>
        <w:spacing w:after="0" w:line="280" w:lineRule="auto"/>
        <w:rPr>
          <w:sz w:val="20"/>
          <w:szCs w:val="20"/>
          <w:color w:val="auto"/>
        </w:rPr>
      </w:pPr>
      <w:r>
        <w:rPr>
          <w:rFonts w:ascii="Arial" w:cs="Arial" w:eastAsia="Arial" w:hAnsi="Arial"/>
          <w:sz w:val="19"/>
          <w:szCs w:val="19"/>
          <w:color w:val="auto"/>
        </w:rPr>
        <w:t>The Board of Directors recommends that an affirmative vote be cast in favor of all nominees listed in this proxy statement, the ratification of the appointment of the Company’s independent public accountants and the amendment of the Articles of Incorporation to change the name of the Company from ClearOne Communications, Inc. to ClearOne, Inc.</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Revocability of Proxies</w:t>
      </w:r>
    </w:p>
    <w:p>
      <w:pPr>
        <w:spacing w:after="0" w:line="185" w:lineRule="exact"/>
        <w:rPr>
          <w:sz w:val="20"/>
          <w:szCs w:val="20"/>
          <w:color w:val="auto"/>
        </w:rPr>
      </w:pPr>
    </w:p>
    <w:p>
      <w:pPr>
        <w:jc w:val="both"/>
        <w:ind w:right="1999" w:firstLine="648"/>
        <w:spacing w:after="0" w:line="297" w:lineRule="auto"/>
        <w:rPr>
          <w:sz w:val="20"/>
          <w:szCs w:val="20"/>
          <w:color w:val="auto"/>
        </w:rPr>
      </w:pPr>
      <w:r>
        <w:rPr>
          <w:rFonts w:ascii="Arial" w:cs="Arial" w:eastAsia="Arial" w:hAnsi="Arial"/>
          <w:sz w:val="19"/>
          <w:szCs w:val="19"/>
          <w:color w:val="auto"/>
        </w:rPr>
        <w:t>Any proxy given pursuant to this solicitation may be revoked by the person giving it at any time prior to its use by delivering to our Corporate Secretary a written notice of revocation or a duly executed proxy bearing a later date, or by attending the meeting and voting in person.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w:t>
      </w:r>
    </w:p>
    <w:p>
      <w:pPr>
        <w:spacing w:after="0" w:line="185" w:lineRule="exact"/>
        <w:rPr>
          <w:sz w:val="20"/>
          <w:szCs w:val="20"/>
          <w:color w:val="auto"/>
        </w:rPr>
      </w:pPr>
    </w:p>
    <w:p>
      <w:pPr>
        <w:ind w:right="1899" w:firstLine="648"/>
        <w:spacing w:after="0" w:line="236" w:lineRule="auto"/>
        <w:rPr>
          <w:sz w:val="20"/>
          <w:szCs w:val="20"/>
          <w:color w:val="auto"/>
        </w:rPr>
      </w:pPr>
      <w:r>
        <w:rPr>
          <w:rFonts w:ascii="Arial" w:cs="Arial" w:eastAsia="Arial" w:hAnsi="Arial"/>
          <w:sz w:val="22"/>
          <w:szCs w:val="22"/>
          <w:color w:val="auto"/>
        </w:rPr>
        <w:t>We will pay the cost of this solicitation. In addition, we may reimburse brokerage firms and other persons representing beneficial owners of shares for their expenses in forwarding solicitation material to such beneficial owners. Proxies may also be solicited by certain of our directors, officers, and employees, without additional compensation, personally or by telephone, facsimile, or e-mail.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 and Other Matters</w:t>
      </w:r>
    </w:p>
    <w:p>
      <w:pPr>
        <w:spacing w:after="0" w:line="185" w:lineRule="exact"/>
        <w:rPr>
          <w:sz w:val="20"/>
          <w:szCs w:val="20"/>
          <w:color w:val="auto"/>
        </w:rPr>
      </w:pPr>
    </w:p>
    <w:p>
      <w:pPr>
        <w:ind w:right="1859" w:firstLine="648"/>
        <w:spacing w:after="0" w:line="246" w:lineRule="auto"/>
        <w:rPr>
          <w:sz w:val="20"/>
          <w:szCs w:val="20"/>
          <w:color w:val="auto"/>
        </w:rPr>
      </w:pPr>
      <w:r>
        <w:rPr>
          <w:rFonts w:ascii="Arial" w:cs="Arial" w:eastAsia="Arial" w:hAnsi="Arial"/>
          <w:sz w:val="21"/>
          <w:szCs w:val="21"/>
          <w:color w:val="auto"/>
        </w:rPr>
        <w:t>Our 2011 Annual Report on Form 10-K, which was made available to shareholders with or preceding this proxy statement,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information contained in the “Audit and Compliance Committee Report” shall not be deemed “filed” with the Securities and Exchange Commission or subject to Regulations 14A or 14C or to the liabilities of Section 18 of the Exchange Act.</w:t>
      </w:r>
    </w:p>
    <w:p>
      <w:pPr>
        <w:spacing w:after="0" w:line="148" w:lineRule="exact"/>
        <w:rPr>
          <w:sz w:val="20"/>
          <w:szCs w:val="20"/>
          <w:color w:val="auto"/>
        </w:rPr>
      </w:pPr>
    </w:p>
    <w:p>
      <w:pPr>
        <w:jc w:val="both"/>
        <w:ind w:right="1799" w:firstLine="648"/>
        <w:spacing w:after="0" w:line="289" w:lineRule="auto"/>
        <w:rPr>
          <w:sz w:val="20"/>
          <w:szCs w:val="20"/>
          <w:color w:val="auto"/>
        </w:rPr>
      </w:pPr>
      <w:r>
        <w:rPr>
          <w:rFonts w:ascii="Arial" w:cs="Arial" w:eastAsia="Arial" w:hAnsi="Arial"/>
          <w:sz w:val="19"/>
          <w:szCs w:val="19"/>
          <w:b w:val="1"/>
          <w:bCs w:val="1"/>
          <w:color w:val="auto"/>
        </w:rPr>
        <w:t>We will provide, without charge, a printed copy of our 2011 Annual Report on Form 10-K,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352"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PROPOSAL ONE</w:t>
      </w:r>
    </w:p>
    <w:p>
      <w:pPr>
        <w:spacing w:after="0" w:line="179"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ELECTION OF DIRECTORS</w:t>
      </w:r>
    </w:p>
    <w:p>
      <w:pPr>
        <w:spacing w:after="0" w:line="185" w:lineRule="exact"/>
        <w:rPr>
          <w:sz w:val="20"/>
          <w:szCs w:val="20"/>
          <w:color w:val="auto"/>
        </w:rPr>
      </w:pPr>
    </w:p>
    <w:p>
      <w:pPr>
        <w:ind w:right="1839" w:firstLine="648"/>
        <w:spacing w:after="0" w:line="274" w:lineRule="auto"/>
        <w:rPr>
          <w:sz w:val="20"/>
          <w:szCs w:val="20"/>
          <w:color w:val="auto"/>
        </w:rPr>
      </w:pPr>
      <w:r>
        <w:rPr>
          <w:rFonts w:ascii="Arial" w:cs="Arial" w:eastAsia="Arial" w:hAnsi="Arial"/>
          <w:sz w:val="19"/>
          <w:szCs w:val="19"/>
          <w:color w:val="auto"/>
        </w:rPr>
        <w:t>Our articles of incorporation and bylaws provide that our Board of Directors shall consist of not less than three nor more than nine members as the Board of Directors or our shareholders shall determine from time to time. The Board of Directors has currently fixed the number of directors at five. The term of each of our directors expires at the 2012 Annual Meeting. We have nominated all five existing directors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26" w:lineRule="exact"/>
        <w:rPr>
          <w:sz w:val="20"/>
          <w:szCs w:val="20"/>
          <w:color w:val="auto"/>
        </w:rPr>
      </w:pPr>
    </w:p>
    <w:p>
      <w:pPr>
        <w:ind w:right="2199"/>
        <w:spacing w:after="0" w:line="256" w:lineRule="auto"/>
        <w:rPr>
          <w:sz w:val="20"/>
          <w:szCs w:val="20"/>
          <w:color w:val="auto"/>
        </w:rPr>
      </w:pPr>
      <w:r>
        <w:rPr>
          <w:rFonts w:ascii="Arial" w:cs="Arial" w:eastAsia="Arial" w:hAnsi="Arial"/>
          <w:sz w:val="22"/>
          <w:szCs w:val="22"/>
          <w:b w:val="1"/>
          <w:bCs w:val="1"/>
          <w:color w:val="auto"/>
        </w:rPr>
        <w:t>The Board of Directors unanimously recommends a vote “for” election of the nominees named herein.</w:t>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5351145"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Nominees for Director</w:t>
      </w:r>
    </w:p>
    <w:p>
      <w:pPr>
        <w:spacing w:after="0" w:line="91" w:lineRule="exact"/>
        <w:rPr>
          <w:sz w:val="20"/>
          <w:szCs w:val="20"/>
          <w:color w:val="auto"/>
        </w:rPr>
      </w:pPr>
    </w:p>
    <w:p>
      <w:pPr>
        <w:ind w:right="1779" w:firstLine="648"/>
        <w:spacing w:after="0" w:line="251" w:lineRule="auto"/>
        <w:rPr>
          <w:sz w:val="20"/>
          <w:szCs w:val="20"/>
          <w:color w:val="auto"/>
        </w:rPr>
      </w:pPr>
      <w:r>
        <w:rPr>
          <w:rFonts w:ascii="Arial" w:cs="Arial" w:eastAsia="Arial" w:hAnsi="Arial"/>
          <w:sz w:val="22"/>
          <w:szCs w:val="22"/>
          <w:color w:val="auto"/>
        </w:rPr>
        <w:t>The following table set forth certain information regarding our directors and nominees for directors.</w:t>
      </w:r>
    </w:p>
    <w:p>
      <w:pPr>
        <w:spacing w:after="0" w:line="158" w:lineRule="exact"/>
        <w:rPr>
          <w:sz w:val="20"/>
          <w:szCs w:val="20"/>
          <w:color w:val="auto"/>
        </w:rPr>
      </w:pPr>
    </w:p>
    <w:tbl>
      <w:tblPr>
        <w:tblLayout w:type="fixed"/>
        <w:tblInd w:w="30" w:type="dxa"/>
        <w:tblCellMar>
          <w:top w:w="0" w:type="dxa"/>
          <w:left w:w="0" w:type="dxa"/>
          <w:bottom w:w="0" w:type="dxa"/>
          <w:right w:w="0" w:type="dxa"/>
        </w:tblCellMar>
      </w:tblPr>
      <w:tr>
        <w:trPr>
          <w:trHeight w:val="240"/>
        </w:trPr>
        <w:tc>
          <w:tcPr>
            <w:tcW w:w="2180" w:type="dxa"/>
            <w:vAlign w:val="bottom"/>
            <w:tcBorders>
              <w:top w:val="single" w:sz="8" w:color="808080"/>
              <w:left w:val="single" w:sz="8" w:color="808080"/>
            </w:tcBorders>
          </w:tcPr>
          <w:p>
            <w:pPr>
              <w:ind w:left="900"/>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top w:val="single" w:sz="8" w:color="808080"/>
            </w:tcBorders>
          </w:tcPr>
          <w:p>
            <w:pPr>
              <w:spacing w:after="0"/>
              <w:rPr>
                <w:sz w:val="20"/>
                <w:szCs w:val="20"/>
                <w:color w:val="auto"/>
              </w:rPr>
            </w:pPr>
          </w:p>
        </w:tc>
        <w:tc>
          <w:tcPr>
            <w:tcW w:w="800" w:type="dxa"/>
            <w:vAlign w:val="bottom"/>
            <w:tcBorders>
              <w:top w:val="single" w:sz="8" w:color="808080"/>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Borders>
              <w:top w:val="single" w:sz="8" w:color="808080"/>
            </w:tcBorders>
          </w:tcPr>
          <w:p>
            <w:pPr>
              <w:spacing w:after="0"/>
              <w:rPr>
                <w:sz w:val="20"/>
                <w:szCs w:val="20"/>
                <w:color w:val="auto"/>
              </w:rPr>
            </w:pPr>
          </w:p>
        </w:tc>
        <w:tc>
          <w:tcPr>
            <w:tcW w:w="3840" w:type="dxa"/>
            <w:vAlign w:val="bottom"/>
            <w:tcBorders>
              <w:top w:val="single" w:sz="8" w:color="808080"/>
            </w:tcBorders>
          </w:tcPr>
          <w:p>
            <w:pPr>
              <w:ind w:left="1640"/>
              <w:spacing w:after="0"/>
              <w:rPr>
                <w:sz w:val="20"/>
                <w:szCs w:val="20"/>
                <w:color w:val="auto"/>
              </w:rPr>
            </w:pPr>
            <w:r>
              <w:rPr>
                <w:rFonts w:ascii="Arial" w:cs="Arial" w:eastAsia="Arial" w:hAnsi="Arial"/>
                <w:sz w:val="16"/>
                <w:szCs w:val="16"/>
                <w:b w:val="1"/>
                <w:bCs w:val="1"/>
                <w:color w:val="auto"/>
              </w:rPr>
              <w:t>Position</w:t>
            </w:r>
          </w:p>
        </w:tc>
        <w:tc>
          <w:tcPr>
            <w:tcW w:w="120" w:type="dxa"/>
            <w:vAlign w:val="bottom"/>
            <w:tcBorders>
              <w:top w:val="single" w:sz="8" w:color="808080"/>
            </w:tcBorders>
          </w:tcPr>
          <w:p>
            <w:pPr>
              <w:spacing w:after="0"/>
              <w:rPr>
                <w:sz w:val="20"/>
                <w:szCs w:val="20"/>
                <w:color w:val="auto"/>
              </w:rPr>
            </w:pPr>
          </w:p>
        </w:tc>
        <w:tc>
          <w:tcPr>
            <w:tcW w:w="1280" w:type="dxa"/>
            <w:vAlign w:val="bottom"/>
            <w:tcBorders>
              <w:top w:val="single" w:sz="8" w:color="808080"/>
              <w:right w:val="single" w:sz="8" w:color="808080"/>
            </w:tcBorders>
            <w:gridSpan w:val="2"/>
          </w:tcPr>
          <w:p>
            <w:pPr>
              <w:jc w:val="center"/>
              <w:ind w:right="60"/>
              <w:spacing w:after="0"/>
              <w:rPr>
                <w:sz w:val="20"/>
                <w:szCs w:val="20"/>
                <w:color w:val="auto"/>
              </w:rPr>
            </w:pPr>
            <w:r>
              <w:rPr>
                <w:rFonts w:ascii="Arial" w:cs="Arial" w:eastAsia="Arial" w:hAnsi="Arial"/>
                <w:sz w:val="16"/>
                <w:szCs w:val="16"/>
                <w:b w:val="1"/>
                <w:bCs w:val="1"/>
                <w:color w:val="auto"/>
                <w:w w:val="90"/>
              </w:rPr>
              <w:t>Director Since</w:t>
            </w:r>
          </w:p>
        </w:tc>
      </w:tr>
      <w:tr>
        <w:trPr>
          <w:trHeight w:val="216"/>
        </w:trPr>
        <w:tc>
          <w:tcPr>
            <w:tcW w:w="2180" w:type="dxa"/>
            <w:vAlign w:val="bottom"/>
            <w:tcBorders>
              <w:top w:val="single" w:sz="8" w:color="auto"/>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Zeynep “Zee” Hakimoglu</w:t>
            </w:r>
          </w:p>
        </w:tc>
        <w:tc>
          <w:tcPr>
            <w:tcW w:w="100" w:type="dxa"/>
            <w:vAlign w:val="bottom"/>
            <w:shd w:val="clear" w:color="auto" w:fill="B6DDE8"/>
          </w:tcPr>
          <w:p>
            <w:pPr>
              <w:spacing w:after="0"/>
              <w:rPr>
                <w:sz w:val="18"/>
                <w:szCs w:val="18"/>
                <w:color w:val="auto"/>
              </w:rPr>
            </w:pPr>
          </w:p>
        </w:tc>
        <w:tc>
          <w:tcPr>
            <w:tcW w:w="800" w:type="dxa"/>
            <w:vAlign w:val="bottom"/>
            <w:tcBorders>
              <w:top w:val="single" w:sz="8" w:color="auto"/>
            </w:tcBorders>
            <w:shd w:val="clear" w:color="auto" w:fill="B6DDE8"/>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B6DDE8"/>
          </w:tcPr>
          <w:p>
            <w:pPr>
              <w:spacing w:after="0"/>
              <w:rPr>
                <w:sz w:val="18"/>
                <w:szCs w:val="18"/>
                <w:color w:val="auto"/>
              </w:rPr>
            </w:pPr>
          </w:p>
        </w:tc>
        <w:tc>
          <w:tcPr>
            <w:tcW w:w="3840" w:type="dxa"/>
            <w:vAlign w:val="bottom"/>
            <w:tcBorders>
              <w:top w:val="single" w:sz="8" w:color="auto"/>
            </w:tcBorders>
            <w:shd w:val="clear" w:color="auto" w:fill="B6DDE8"/>
          </w:tcPr>
          <w:p>
            <w:pPr>
              <w:spacing w:after="0"/>
              <w:rPr>
                <w:sz w:val="20"/>
                <w:szCs w:val="20"/>
                <w:color w:val="auto"/>
              </w:rPr>
            </w:pPr>
            <w:r>
              <w:rPr>
                <w:rFonts w:ascii="Arial" w:cs="Arial" w:eastAsia="Arial" w:hAnsi="Arial"/>
                <w:sz w:val="18"/>
                <w:szCs w:val="18"/>
                <w:color w:val="auto"/>
                <w:w w:val="97"/>
              </w:rPr>
              <w:t>Chairman, Chief Executive Officer, and President</w:t>
            </w:r>
          </w:p>
        </w:tc>
        <w:tc>
          <w:tcPr>
            <w:tcW w:w="120" w:type="dxa"/>
            <w:vAlign w:val="bottom"/>
            <w:shd w:val="clear" w:color="auto" w:fill="B6DDE8"/>
          </w:tcPr>
          <w:p>
            <w:pPr>
              <w:spacing w:after="0"/>
              <w:rPr>
                <w:sz w:val="18"/>
                <w:szCs w:val="18"/>
                <w:color w:val="auto"/>
              </w:rPr>
            </w:pPr>
          </w:p>
        </w:tc>
        <w:tc>
          <w:tcPr>
            <w:tcW w:w="1240" w:type="dxa"/>
            <w:vAlign w:val="bottom"/>
            <w:tcBorders>
              <w:top w:val="single" w:sz="8" w:color="auto"/>
            </w:tcBorders>
            <w:shd w:val="clear" w:color="auto" w:fill="B6DDE8"/>
          </w:tcPr>
          <w:p>
            <w:pPr>
              <w:jc w:val="center"/>
              <w:spacing w:after="0"/>
              <w:rPr>
                <w:sz w:val="20"/>
                <w:szCs w:val="20"/>
                <w:color w:val="auto"/>
              </w:rPr>
            </w:pPr>
            <w:r>
              <w:rPr>
                <w:rFonts w:ascii="Arial" w:cs="Arial" w:eastAsia="Arial" w:hAnsi="Arial"/>
                <w:sz w:val="18"/>
                <w:szCs w:val="18"/>
                <w:color w:val="auto"/>
                <w:w w:val="89"/>
              </w:rPr>
              <w:t>2006</w:t>
            </w:r>
          </w:p>
        </w:tc>
        <w:tc>
          <w:tcPr>
            <w:tcW w:w="40" w:type="dxa"/>
            <w:vAlign w:val="bottom"/>
            <w:tcBorders>
              <w:right w:val="single" w:sz="8" w:color="808080"/>
            </w:tcBorders>
          </w:tcPr>
          <w:p>
            <w:pPr>
              <w:spacing w:after="0"/>
              <w:rPr>
                <w:sz w:val="18"/>
                <w:szCs w:val="18"/>
                <w:color w:val="auto"/>
              </w:rPr>
            </w:pPr>
          </w:p>
        </w:tc>
      </w:tr>
      <w:tr>
        <w:trPr>
          <w:trHeight w:val="257"/>
        </w:trPr>
        <w:tc>
          <w:tcPr>
            <w:tcW w:w="2180" w:type="dxa"/>
            <w:vAlign w:val="bottom"/>
            <w:tcBorders>
              <w:left w:val="single" w:sz="8" w:color="808080"/>
            </w:tcBorders>
          </w:tcPr>
          <w:p>
            <w:pPr>
              <w:ind w:left="20"/>
              <w:spacing w:after="0"/>
              <w:rPr>
                <w:sz w:val="20"/>
                <w:szCs w:val="20"/>
                <w:color w:val="auto"/>
              </w:rPr>
            </w:pPr>
            <w:r>
              <w:rPr>
                <w:rFonts w:ascii="Arial" w:cs="Arial" w:eastAsia="Arial" w:hAnsi="Arial"/>
                <w:sz w:val="18"/>
                <w:szCs w:val="18"/>
                <w:color w:val="auto"/>
              </w:rPr>
              <w:t>Brad R. Baldwin</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2"/>
                <w:szCs w:val="22"/>
                <w:color w:val="auto"/>
              </w:rPr>
            </w:pPr>
          </w:p>
        </w:tc>
        <w:tc>
          <w:tcPr>
            <w:tcW w:w="3840" w:type="dxa"/>
            <w:vAlign w:val="bottom"/>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1988</w:t>
            </w:r>
          </w:p>
        </w:tc>
        <w:tc>
          <w:tcPr>
            <w:tcW w:w="40" w:type="dxa"/>
            <w:vAlign w:val="bottom"/>
            <w:tcBorders>
              <w:right w:val="single" w:sz="8" w:color="808080"/>
            </w:tcBorders>
          </w:tcPr>
          <w:p>
            <w:pPr>
              <w:spacing w:after="0"/>
              <w:rPr>
                <w:sz w:val="22"/>
                <w:szCs w:val="22"/>
                <w:color w:val="auto"/>
              </w:rPr>
            </w:pPr>
          </w:p>
        </w:tc>
      </w:tr>
      <w:tr>
        <w:trPr>
          <w:trHeight w:val="257"/>
        </w:trPr>
        <w:tc>
          <w:tcPr>
            <w:tcW w:w="218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Larry R. Hendricks</w:t>
            </w:r>
          </w:p>
        </w:tc>
        <w:tc>
          <w:tcPr>
            <w:tcW w:w="900" w:type="dxa"/>
            <w:vAlign w:val="bottom"/>
            <w:gridSpan w:val="2"/>
            <w:shd w:val="clear" w:color="auto" w:fill="B6DDE8"/>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shd w:val="clear" w:color="auto" w:fill="B6DDE8"/>
          </w:tcPr>
          <w:p>
            <w:pPr>
              <w:spacing w:after="0"/>
              <w:rPr>
                <w:sz w:val="22"/>
                <w:szCs w:val="22"/>
                <w:color w:val="auto"/>
              </w:rPr>
            </w:pPr>
          </w:p>
        </w:tc>
        <w:tc>
          <w:tcPr>
            <w:tcW w:w="3840" w:type="dxa"/>
            <w:vAlign w:val="bottom"/>
            <w:shd w:val="clear" w:color="auto" w:fill="B6DDE8"/>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1360" w:type="dxa"/>
            <w:vAlign w:val="bottom"/>
            <w:gridSpan w:val="2"/>
            <w:shd w:val="clear" w:color="auto" w:fill="B6DDE8"/>
          </w:tcPr>
          <w:p>
            <w:pPr>
              <w:jc w:val="center"/>
              <w:ind w:left="30"/>
              <w:spacing w:after="0"/>
              <w:rPr>
                <w:sz w:val="20"/>
                <w:szCs w:val="20"/>
                <w:color w:val="auto"/>
              </w:rPr>
            </w:pPr>
            <w:r>
              <w:rPr>
                <w:rFonts w:ascii="Arial" w:cs="Arial" w:eastAsia="Arial" w:hAnsi="Arial"/>
                <w:sz w:val="18"/>
                <w:szCs w:val="18"/>
                <w:color w:val="auto"/>
                <w:w w:val="89"/>
              </w:rPr>
              <w:t>2003</w:t>
            </w:r>
          </w:p>
        </w:tc>
        <w:tc>
          <w:tcPr>
            <w:tcW w:w="40" w:type="dxa"/>
            <w:vAlign w:val="bottom"/>
            <w:tcBorders>
              <w:right w:val="single" w:sz="8" w:color="808080"/>
            </w:tcBorders>
          </w:tcPr>
          <w:p>
            <w:pPr>
              <w:spacing w:after="0"/>
              <w:rPr>
                <w:sz w:val="22"/>
                <w:szCs w:val="22"/>
                <w:color w:val="auto"/>
              </w:rPr>
            </w:pPr>
          </w:p>
        </w:tc>
      </w:tr>
      <w:tr>
        <w:trPr>
          <w:trHeight w:val="257"/>
        </w:trPr>
        <w:tc>
          <w:tcPr>
            <w:tcW w:w="2180" w:type="dxa"/>
            <w:vAlign w:val="bottom"/>
            <w:tcBorders>
              <w:left w:val="single" w:sz="8" w:color="808080"/>
            </w:tcBorders>
          </w:tcPr>
          <w:p>
            <w:pPr>
              <w:ind w:left="20"/>
              <w:spacing w:after="0"/>
              <w:rPr>
                <w:sz w:val="20"/>
                <w:szCs w:val="20"/>
                <w:color w:val="auto"/>
              </w:rPr>
            </w:pPr>
            <w:r>
              <w:rPr>
                <w:rFonts w:ascii="Arial" w:cs="Arial" w:eastAsia="Arial" w:hAnsi="Arial"/>
                <w:sz w:val="18"/>
                <w:szCs w:val="18"/>
                <w:color w:val="auto"/>
              </w:rPr>
              <w:t>Scott M. Huntsman</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2"/>
                <w:szCs w:val="22"/>
                <w:color w:val="auto"/>
              </w:rPr>
            </w:pPr>
          </w:p>
        </w:tc>
        <w:tc>
          <w:tcPr>
            <w:tcW w:w="3840" w:type="dxa"/>
            <w:vAlign w:val="bottom"/>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2003</w:t>
            </w:r>
          </w:p>
        </w:tc>
        <w:tc>
          <w:tcPr>
            <w:tcW w:w="40" w:type="dxa"/>
            <w:vAlign w:val="bottom"/>
            <w:tcBorders>
              <w:right w:val="single" w:sz="8" w:color="808080"/>
            </w:tcBorders>
          </w:tcPr>
          <w:p>
            <w:pPr>
              <w:spacing w:after="0"/>
              <w:rPr>
                <w:sz w:val="22"/>
                <w:szCs w:val="22"/>
                <w:color w:val="auto"/>
              </w:rPr>
            </w:pPr>
          </w:p>
        </w:tc>
      </w:tr>
      <w:tr>
        <w:trPr>
          <w:trHeight w:val="216"/>
        </w:trPr>
        <w:tc>
          <w:tcPr>
            <w:tcW w:w="218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E. Bryan Bagley</w:t>
            </w:r>
          </w:p>
        </w:tc>
        <w:tc>
          <w:tcPr>
            <w:tcW w:w="900" w:type="dxa"/>
            <w:vAlign w:val="bottom"/>
            <w:gridSpan w:val="2"/>
            <w:shd w:val="clear" w:color="auto" w:fill="B6DDE8"/>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B6DDE8"/>
          </w:tcPr>
          <w:p>
            <w:pPr>
              <w:spacing w:after="0"/>
              <w:rPr>
                <w:sz w:val="18"/>
                <w:szCs w:val="18"/>
                <w:color w:val="auto"/>
              </w:rPr>
            </w:pPr>
          </w:p>
        </w:tc>
        <w:tc>
          <w:tcPr>
            <w:tcW w:w="3840" w:type="dxa"/>
            <w:vAlign w:val="bottom"/>
            <w:shd w:val="clear" w:color="auto" w:fill="B6DDE8"/>
          </w:tcPr>
          <w:p>
            <w:pPr>
              <w:spacing w:after="0"/>
              <w:rPr>
                <w:sz w:val="20"/>
                <w:szCs w:val="20"/>
                <w:color w:val="auto"/>
              </w:rPr>
            </w:pPr>
            <w:r>
              <w:rPr>
                <w:rFonts w:ascii="Arial" w:cs="Arial" w:eastAsia="Arial" w:hAnsi="Arial"/>
                <w:sz w:val="18"/>
                <w:szCs w:val="18"/>
                <w:color w:val="auto"/>
              </w:rPr>
              <w:t>Director</w:t>
            </w:r>
          </w:p>
        </w:tc>
        <w:tc>
          <w:tcPr>
            <w:tcW w:w="1360" w:type="dxa"/>
            <w:vAlign w:val="bottom"/>
            <w:gridSpan w:val="2"/>
            <w:shd w:val="clear" w:color="auto" w:fill="B6DDE8"/>
          </w:tcPr>
          <w:p>
            <w:pPr>
              <w:jc w:val="center"/>
              <w:ind w:left="30"/>
              <w:spacing w:after="0"/>
              <w:rPr>
                <w:sz w:val="20"/>
                <w:szCs w:val="20"/>
                <w:color w:val="auto"/>
              </w:rPr>
            </w:pPr>
            <w:r>
              <w:rPr>
                <w:rFonts w:ascii="Arial" w:cs="Arial" w:eastAsia="Arial" w:hAnsi="Arial"/>
                <w:sz w:val="18"/>
                <w:szCs w:val="18"/>
                <w:color w:val="auto"/>
                <w:w w:val="89"/>
              </w:rPr>
              <w:t>2009</w:t>
            </w:r>
          </w:p>
        </w:tc>
        <w:tc>
          <w:tcPr>
            <w:tcW w:w="40" w:type="dxa"/>
            <w:vAlign w:val="bottom"/>
            <w:tcBorders>
              <w:right w:val="single" w:sz="8" w:color="808080"/>
            </w:tcBorders>
          </w:tcPr>
          <w:p>
            <w:pPr>
              <w:spacing w:after="0"/>
              <w:rPr>
                <w:sz w:val="18"/>
                <w:szCs w:val="18"/>
                <w:color w:val="auto"/>
              </w:rPr>
            </w:pPr>
          </w:p>
        </w:tc>
      </w:tr>
      <w:tr>
        <w:trPr>
          <w:trHeight w:val="20"/>
        </w:trPr>
        <w:tc>
          <w:tcPr>
            <w:tcW w:w="2180" w:type="dxa"/>
            <w:vAlign w:val="bottom"/>
            <w:tcBorders>
              <w:left w:val="single" w:sz="8" w:color="808080"/>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38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-927735</wp:posOffset>
            </wp:positionV>
            <wp:extent cx="529971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9710"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-644525</wp:posOffset>
            </wp:positionV>
            <wp:extent cx="529971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9710" cy="16319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-318770</wp:posOffset>
            </wp:positionV>
            <wp:extent cx="529971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9710" cy="1631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_______________________</w:t>
      </w:r>
    </w:p>
    <w:p>
      <w:pPr>
        <w:spacing w:after="0" w:line="88"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Member of the Audit and Compliance Committee</w:t>
      </w:r>
    </w:p>
    <w:p>
      <w:pPr>
        <w:spacing w:after="0" w:line="84" w:lineRule="exact"/>
        <w:rPr>
          <w:rFonts w:ascii="Arial" w:cs="Arial" w:eastAsia="Arial" w:hAnsi="Arial"/>
          <w:sz w:val="22"/>
          <w:szCs w:val="22"/>
          <w:color w:val="auto"/>
        </w:rPr>
      </w:pPr>
    </w:p>
    <w:p>
      <w:pPr>
        <w:ind w:left="620" w:hanging="612"/>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Member of the Compensation Committee</w:t>
      </w:r>
    </w:p>
    <w:p>
      <w:pPr>
        <w:spacing w:after="0" w:line="84" w:lineRule="exact"/>
        <w:rPr>
          <w:rFonts w:ascii="Arial" w:cs="Arial" w:eastAsia="Arial" w:hAnsi="Arial"/>
          <w:sz w:val="22"/>
          <w:szCs w:val="22"/>
          <w:color w:val="auto"/>
        </w:rPr>
      </w:pPr>
    </w:p>
    <w:p>
      <w:pPr>
        <w:ind w:left="620" w:hanging="612"/>
        <w:spacing w:after="0"/>
        <w:tabs>
          <w:tab w:leader="none" w:pos="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Member of the Nominating Committee</w:t>
      </w:r>
    </w:p>
    <w:p>
      <w:pPr>
        <w:spacing w:after="0" w:line="173" w:lineRule="exact"/>
        <w:rPr>
          <w:sz w:val="20"/>
          <w:szCs w:val="20"/>
          <w:color w:val="auto"/>
        </w:rPr>
      </w:pPr>
    </w:p>
    <w:p>
      <w:pPr>
        <w:ind w:right="1779" w:firstLine="1297"/>
        <w:spacing w:after="0" w:line="270" w:lineRule="auto"/>
        <w:rPr>
          <w:sz w:val="20"/>
          <w:szCs w:val="20"/>
          <w:color w:val="auto"/>
        </w:rPr>
      </w:pPr>
      <w:r>
        <w:rPr>
          <w:rFonts w:ascii="Arial" w:cs="Arial" w:eastAsia="Arial" w:hAnsi="Arial"/>
          <w:sz w:val="19"/>
          <w:szCs w:val="19"/>
          <w:b w:val="1"/>
          <w:bCs w:val="1"/>
          <w:color w:val="auto"/>
        </w:rPr>
        <w:t xml:space="preserve">Zee Hakimoglu </w:t>
      </w:r>
      <w:r>
        <w:rPr>
          <w:rFonts w:ascii="Arial" w:cs="Arial" w:eastAsia="Arial" w:hAnsi="Arial"/>
          <w:sz w:val="19"/>
          <w:szCs w:val="19"/>
          <w:color w:val="auto"/>
        </w:rPr>
        <w:t>has served as a director of our company since April 2006. Ms.</w:t>
      </w:r>
      <w:r>
        <w:rPr>
          <w:rFonts w:ascii="Arial" w:cs="Arial" w:eastAsia="Arial" w:hAnsi="Arial"/>
          <w:sz w:val="19"/>
          <w:szCs w:val="19"/>
          <w:b w:val="1"/>
          <w:bCs w:val="1"/>
          <w:color w:val="auto"/>
        </w:rPr>
        <w:t xml:space="preserve"> </w:t>
      </w:r>
      <w:r>
        <w:rPr>
          <w:rFonts w:ascii="Arial" w:cs="Arial" w:eastAsia="Arial" w:hAnsi="Arial"/>
          <w:sz w:val="19"/>
          <w:szCs w:val="19"/>
          <w:color w:val="auto"/>
        </w:rPr>
        <w:t>Hakimoglu joined our company in December 2003 with more than 15 years of executive and senior-level, high-tech management experience and was appointed as President and Chief Executive Officer in July 2004 and Chairman of the Board in July 2007. She served in a variety of executive business development, product marketing, and engineering roles including Vice President of Product Line Management for ClearOne from December 2003 to July 2004.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32" w:lineRule="exact"/>
        <w:rPr>
          <w:sz w:val="20"/>
          <w:szCs w:val="20"/>
          <w:color w:val="auto"/>
        </w:rPr>
      </w:pPr>
    </w:p>
    <w:p>
      <w:pPr>
        <w:ind w:right="1819" w:firstLine="1297"/>
        <w:spacing w:after="0" w:line="272" w:lineRule="auto"/>
        <w:rPr>
          <w:sz w:val="20"/>
          <w:szCs w:val="20"/>
          <w:color w:val="auto"/>
        </w:rPr>
      </w:pPr>
      <w:r>
        <w:rPr>
          <w:rFonts w:ascii="Arial" w:cs="Arial" w:eastAsia="Arial" w:hAnsi="Arial"/>
          <w:sz w:val="19"/>
          <w:szCs w:val="19"/>
          <w:b w:val="1"/>
          <w:bCs w:val="1"/>
          <w:color w:val="auto"/>
        </w:rPr>
        <w:t xml:space="preserve">Brad R. Baldwin </w:t>
      </w:r>
      <w:r>
        <w:rPr>
          <w:rFonts w:ascii="Arial" w:cs="Arial" w:eastAsia="Arial" w:hAnsi="Arial"/>
          <w:sz w:val="19"/>
          <w:szCs w:val="19"/>
          <w:color w:val="auto"/>
        </w:rPr>
        <w:t>has served as a director of our company since October 1988.</w:t>
      </w:r>
      <w:r>
        <w:rPr>
          <w:rFonts w:ascii="Arial" w:cs="Arial" w:eastAsia="Arial" w:hAnsi="Arial"/>
          <w:sz w:val="19"/>
          <w:szCs w:val="19"/>
          <w:b w:val="1"/>
          <w:bCs w:val="1"/>
          <w:color w:val="auto"/>
        </w:rPr>
        <w:t xml:space="preserve"> </w:t>
      </w:r>
      <w:r>
        <w:rPr>
          <w:rFonts w:ascii="Arial" w:cs="Arial" w:eastAsia="Arial" w:hAnsi="Arial"/>
          <w:sz w:val="19"/>
          <w:szCs w:val="19"/>
          <w:color w:val="auto"/>
        </w:rPr>
        <w:t>Mr. Baldwin is an attorney licensed to practice in Utah. Since April 2009, Mr. Baldwin has served as general counsel to the Wasatch Front Regional Multiple Listing Service (“WFRMLS “). The WFRMLS currently assists over 12,000 brokers, agents and appraisers with their MLS needs and services. From April 2001 to April 2009, he served as an attorney and investment real estate specialist with the commercial real estate business with Commerce CRG in Salt Lake City, Utah. From 1988 to 2000, he served as legal counsel and president of Bank One, Utah.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background and unique understanding of our business due to his long service on our Board, the Board has concluded that Mr. Baldwin should continue to serve as a director.</w:t>
      </w:r>
    </w:p>
    <w:p>
      <w:pPr>
        <w:spacing w:after="0" w:line="373" w:lineRule="exact"/>
        <w:rPr>
          <w:sz w:val="20"/>
          <w:szCs w:val="20"/>
          <w:color w:val="auto"/>
        </w:rPr>
      </w:pPr>
    </w:p>
    <w:p>
      <w:pPr>
        <w:ind w:right="1839" w:firstLine="1297"/>
        <w:spacing w:after="0" w:line="273" w:lineRule="auto"/>
        <w:rPr>
          <w:sz w:val="20"/>
          <w:szCs w:val="20"/>
          <w:color w:val="auto"/>
        </w:rPr>
      </w:pPr>
      <w:r>
        <w:rPr>
          <w:rFonts w:ascii="Arial" w:cs="Arial" w:eastAsia="Arial" w:hAnsi="Arial"/>
          <w:sz w:val="19"/>
          <w:szCs w:val="19"/>
          <w:b w:val="1"/>
          <w:bCs w:val="1"/>
          <w:color w:val="auto"/>
        </w:rPr>
        <w:t xml:space="preserve">Larry R. Hendricks </w:t>
      </w:r>
      <w:r>
        <w:rPr>
          <w:rFonts w:ascii="Arial" w:cs="Arial" w:eastAsia="Arial" w:hAnsi="Arial"/>
          <w:sz w:val="19"/>
          <w:szCs w:val="19"/>
          <w:color w:val="auto"/>
        </w:rPr>
        <w:t>has served as a director of our company since June 2003.</w:t>
      </w:r>
      <w:r>
        <w:rPr>
          <w:rFonts w:ascii="Arial" w:cs="Arial" w:eastAsia="Arial" w:hAnsi="Arial"/>
          <w:sz w:val="19"/>
          <w:szCs w:val="19"/>
          <w:b w:val="1"/>
          <w:bCs w:val="1"/>
          <w:color w:val="auto"/>
        </w:rPr>
        <w:t xml:space="preserve"> </w:t>
      </w:r>
      <w:r>
        <w:rPr>
          <w:rFonts w:ascii="Arial" w:cs="Arial" w:eastAsia="Arial" w:hAnsi="Arial"/>
          <w:sz w:val="19"/>
          <w:szCs w:val="19"/>
          <w:color w:val="auto"/>
        </w:rPr>
        <w:t>Mr. Hendricks is a Certified Public Accountant who retired in 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In light of Mr. Hendricks’ background in finance and accounting and his deep understanding of our business after his service on our Board, the Board has concluded Mr. Hendricks should continue to serve as a director.</w:t>
      </w:r>
    </w:p>
    <w:p>
      <w:pPr>
        <w:sectPr>
          <w:pgSz w:w="11900" w:h="16838" w:orient="portrait"/>
          <w:cols w:equalWidth="0" w:num="1">
            <w:col w:w="10219"/>
          </w:cols>
          <w:pgMar w:left="240" w:top="355" w:right="1440" w:bottom="381" w:gutter="0" w:footer="0" w:header="0"/>
        </w:sectPr>
      </w:pPr>
    </w:p>
    <w:bookmarkStart w:id="6" w:name="page7"/>
    <w:bookmarkEnd w:id="6"/>
    <w:p>
      <w:pPr>
        <w:ind w:left="2960"/>
        <w:spacing w:after="0"/>
        <w:rPr>
          <w:sz w:val="20"/>
          <w:szCs w:val="20"/>
          <w:color w:val="auto"/>
        </w:rPr>
      </w:pP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103505</wp:posOffset>
            </wp:positionV>
            <wp:extent cx="5351145"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801" w:right="1440" w:bottom="1440" w:gutter="0" w:footer="0" w:header="0"/>
        </w:sectPr>
      </w:pPr>
    </w:p>
    <w:bookmarkStart w:id="7" w:name="page8"/>
    <w:bookmarkEnd w:id="7"/>
    <w:p>
      <w:pPr>
        <w:ind w:right="1879" w:firstLine="648"/>
        <w:spacing w:after="0" w:line="272" w:lineRule="auto"/>
        <w:rPr>
          <w:sz w:val="20"/>
          <w:szCs w:val="20"/>
          <w:color w:val="auto"/>
        </w:rPr>
      </w:pPr>
      <w:r>
        <w:rPr>
          <w:rFonts w:ascii="Arial" w:cs="Arial" w:eastAsia="Arial" w:hAnsi="Arial"/>
          <w:sz w:val="19"/>
          <w:szCs w:val="19"/>
          <w:b w:val="1"/>
          <w:bCs w:val="1"/>
          <w:color w:val="auto"/>
        </w:rPr>
        <w:t xml:space="preserve">Scott M. Huntsman </w:t>
      </w:r>
      <w:r>
        <w:rPr>
          <w:rFonts w:ascii="Arial" w:cs="Arial" w:eastAsia="Arial" w:hAnsi="Arial"/>
          <w:sz w:val="19"/>
          <w:szCs w:val="19"/>
          <w:color w:val="auto"/>
        </w:rPr>
        <w:t>has served as a director of our company since June 2003. Mr.</w:t>
      </w:r>
      <w:r>
        <w:rPr>
          <w:rFonts w:ascii="Arial" w:cs="Arial" w:eastAsia="Arial" w:hAnsi="Arial"/>
          <w:sz w:val="19"/>
          <w:szCs w:val="19"/>
          <w:b w:val="1"/>
          <w:bCs w:val="1"/>
          <w:color w:val="auto"/>
        </w:rPr>
        <w:t xml:space="preserve"> </w:t>
      </w:r>
      <w:r>
        <w:rPr>
          <w:rFonts w:ascii="Arial" w:cs="Arial" w:eastAsia="Arial" w:hAnsi="Arial"/>
          <w:sz w:val="19"/>
          <w:szCs w:val="19"/>
          <w:color w:val="auto"/>
        </w:rPr>
        <w:t>Huntsman has served as President of GlobalSim, a technology and 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and particularly in the areas of mergers and acquisitions and corporate finance, and in view of his experience as a leader of a technology company, the Board has concluded Mr. Huntsman should continue to serve as a director.</w:t>
      </w:r>
    </w:p>
    <w:p>
      <w:pPr>
        <w:spacing w:after="0" w:line="130" w:lineRule="exact"/>
        <w:rPr>
          <w:sz w:val="20"/>
          <w:szCs w:val="20"/>
          <w:color w:val="auto"/>
        </w:rPr>
      </w:pPr>
    </w:p>
    <w:p>
      <w:pPr>
        <w:ind w:right="1819" w:firstLine="1297"/>
        <w:spacing w:after="0" w:line="244" w:lineRule="auto"/>
        <w:rPr>
          <w:sz w:val="20"/>
          <w:szCs w:val="20"/>
          <w:color w:val="auto"/>
        </w:rPr>
      </w:pPr>
      <w:r>
        <w:rPr>
          <w:rFonts w:ascii="Arial" w:cs="Arial" w:eastAsia="Arial" w:hAnsi="Arial"/>
          <w:sz w:val="21"/>
          <w:szCs w:val="21"/>
          <w:b w:val="1"/>
          <w:bCs w:val="1"/>
          <w:color w:val="auto"/>
        </w:rPr>
        <w:t xml:space="preserve">E. Bryan Bagley </w:t>
      </w:r>
      <w:r>
        <w:rPr>
          <w:rFonts w:ascii="Arial" w:cs="Arial" w:eastAsia="Arial" w:hAnsi="Arial"/>
          <w:sz w:val="21"/>
          <w:szCs w:val="21"/>
          <w:color w:val="auto"/>
        </w:rPr>
        <w:t>has served as a director of our company since November 2009.</w:t>
      </w:r>
      <w:r>
        <w:rPr>
          <w:rFonts w:ascii="Arial" w:cs="Arial" w:eastAsia="Arial" w:hAnsi="Arial"/>
          <w:sz w:val="21"/>
          <w:szCs w:val="21"/>
          <w:b w:val="1"/>
          <w:bCs w:val="1"/>
          <w:color w:val="auto"/>
        </w:rPr>
        <w:t xml:space="preserve"> </w:t>
      </w:r>
      <w:r>
        <w:rPr>
          <w:rFonts w:ascii="Arial" w:cs="Arial" w:eastAsia="Arial" w:hAnsi="Arial"/>
          <w:sz w:val="21"/>
          <w:szCs w:val="21"/>
          <w:color w:val="auto"/>
        </w:rPr>
        <w:t>Mr. Bagley was a director of Nevada Chemicals from June 2000 until the company was sold in September 2008 and served as Chairman of the Board of Nevada Chemicals from December 2001 until September 2008. Since November 2002, Mr. Bagley has been a private investor managing accounts on his own behalf. From December 1991 to November 2002, Mr. Bagley served as a market maker for Wilson-Davis &amp; Company. Prior to that position, he served as a trader for Covey &amp; Co. and Bagley Securities. Mr. Bagley graduated from the University of Utah in 1987 with a Bachelor of Science degree in Economics. Mr. Bryan Bagley is the son of Edward D. Bagley, our former Chairman of the Board. Mr. Edward D. Bagley beneficially owns 23.3% of our issued and outstanding common stock. In light of Mr. Bagley’s prior experience as the chairman of a public company and the benefit that may accrue to our company from his leadership experience, the Board has concluded that Mr. Bagley should continue to serve as a director.</w:t>
      </w:r>
    </w:p>
    <w:p>
      <w:pPr>
        <w:spacing w:after="0" w:line="164" w:lineRule="exact"/>
        <w:rPr>
          <w:sz w:val="20"/>
          <w:szCs w:val="20"/>
          <w:color w:val="auto"/>
        </w:rPr>
      </w:pPr>
    </w:p>
    <w:p>
      <w:pPr>
        <w:ind w:right="1939" w:firstLine="648"/>
        <w:spacing w:after="0" w:line="277" w:lineRule="auto"/>
        <w:rPr>
          <w:sz w:val="20"/>
          <w:szCs w:val="20"/>
          <w:color w:val="auto"/>
        </w:rPr>
      </w:pPr>
      <w:r>
        <w:rPr>
          <w:rFonts w:ascii="Arial" w:cs="Arial" w:eastAsia="Arial" w:hAnsi="Arial"/>
          <w:sz w:val="19"/>
          <w:szCs w:val="19"/>
          <w:color w:val="auto"/>
        </w:rPr>
        <w:t>Security holders who would like to send communications to any director or the entire Board may do so by submitting such communications to ClearOne Communications, Inc., 5225 Wiley Post Way, Suite 500, Salt Lake City, Utah 84116, Attention: Investor Relations or investor_relations@clearone.com. The communications will then be forwarded to the appropriate director or the entire Board. The Board suggests, but does not require, that such submissions include the name and contact information of the security holder making the submission and a description of the matter that is the subject of the communication.</w:t>
      </w:r>
    </w:p>
    <w:p>
      <w:pPr>
        <w:spacing w:after="0" w:line="120"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CORPORATE GOVERNANCE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Relating to Corporate Governance and the Board of Directors</w:t>
      </w:r>
    </w:p>
    <w:p>
      <w:pPr>
        <w:spacing w:after="0" w:line="185" w:lineRule="exact"/>
        <w:rPr>
          <w:sz w:val="20"/>
          <w:szCs w:val="20"/>
          <w:color w:val="auto"/>
        </w:rPr>
      </w:pPr>
    </w:p>
    <w:p>
      <w:pPr>
        <w:ind w:right="2119" w:firstLine="648"/>
        <w:spacing w:after="0" w:line="287" w:lineRule="auto"/>
        <w:rPr>
          <w:sz w:val="20"/>
          <w:szCs w:val="20"/>
          <w:color w:val="auto"/>
        </w:rPr>
      </w:pPr>
      <w:r>
        <w:rPr>
          <w:rFonts w:ascii="Arial" w:cs="Arial" w:eastAsia="Arial" w:hAnsi="Arial"/>
          <w:sz w:val="19"/>
          <w:szCs w:val="19"/>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116" w:lineRule="exact"/>
        <w:rPr>
          <w:sz w:val="20"/>
          <w:szCs w:val="20"/>
          <w:color w:val="auto"/>
        </w:rPr>
      </w:pPr>
    </w:p>
    <w:p>
      <w:pPr>
        <w:ind w:right="2219" w:firstLine="648"/>
        <w:spacing w:after="0" w:line="328" w:lineRule="auto"/>
        <w:rPr>
          <w:sz w:val="20"/>
          <w:szCs w:val="20"/>
          <w:color w:val="auto"/>
        </w:rPr>
      </w:pPr>
      <w:r>
        <w:rPr>
          <w:rFonts w:ascii="Arial" w:cs="Arial" w:eastAsia="Arial" w:hAnsi="Arial"/>
          <w:sz w:val="19"/>
          <w:szCs w:val="19"/>
          <w:color w:val="auto"/>
        </w:rPr>
        <w:t>Our Board of Directors has an Audit and Compliance Committee, a Compensation Committee, and a Nominating Committee, each consisting entirely of independent directors.</w:t>
      </w:r>
    </w:p>
    <w:p>
      <w:pPr>
        <w:spacing w:after="0" w:line="78" w:lineRule="exact"/>
        <w:rPr>
          <w:sz w:val="20"/>
          <w:szCs w:val="20"/>
          <w:color w:val="auto"/>
        </w:rPr>
      </w:pPr>
    </w:p>
    <w:p>
      <w:pPr>
        <w:ind w:right="1899" w:firstLine="648"/>
        <w:spacing w:after="0" w:line="275" w:lineRule="auto"/>
        <w:rPr>
          <w:sz w:val="20"/>
          <w:szCs w:val="20"/>
          <w:color w:val="auto"/>
        </w:rPr>
      </w:pPr>
      <w:r>
        <w:rPr>
          <w:rFonts w:ascii="Arial" w:cs="Arial" w:eastAsia="Arial" w:hAnsi="Arial"/>
          <w:sz w:val="19"/>
          <w:szCs w:val="19"/>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9"/>
          <w:szCs w:val="19"/>
          <w:u w:val="single" w:color="auto"/>
          <w:color w:val="auto"/>
        </w:rPr>
        <w:t>www.clearone.com</w:t>
      </w:r>
      <w:r>
        <w:rPr>
          <w:rFonts w:ascii="Arial" w:cs="Arial" w:eastAsia="Arial" w:hAnsi="Arial"/>
          <w:sz w:val="19"/>
          <w:szCs w:val="19"/>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stockholder requesting a copy in writing from our Corporate Secretary at our corporate offices set forth in this proxy statement.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Board Leadership Structure</w:t>
      </w:r>
    </w:p>
    <w:p>
      <w:pPr>
        <w:spacing w:after="0" w:line="185" w:lineRule="exact"/>
        <w:rPr>
          <w:sz w:val="20"/>
          <w:szCs w:val="20"/>
          <w:color w:val="auto"/>
        </w:rPr>
      </w:pPr>
    </w:p>
    <w:p>
      <w:pPr>
        <w:ind w:right="1839" w:firstLine="1297"/>
        <w:spacing w:after="0" w:line="235" w:lineRule="auto"/>
        <w:rPr>
          <w:sz w:val="20"/>
          <w:szCs w:val="20"/>
          <w:color w:val="auto"/>
        </w:rPr>
      </w:pPr>
      <w:r>
        <w:rPr>
          <w:rFonts w:ascii="Arial" w:cs="Arial" w:eastAsia="Arial" w:hAnsi="Arial"/>
          <w:sz w:val="22"/>
          <w:szCs w:val="22"/>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w:t>
      </w:r>
    </w:p>
    <w:p>
      <w:pPr>
        <w:sectPr>
          <w:pgSz w:w="11900" w:h="16838" w:orient="portrait"/>
          <w:cols w:equalWidth="0" w:num="1">
            <w:col w:w="10219"/>
          </w:cols>
          <w:pgMar w:left="240" w:top="355" w:right="1440" w:bottom="570" w:gutter="0" w:footer="0" w:header="0"/>
        </w:sectPr>
      </w:pPr>
    </w:p>
    <w:bookmarkStart w:id="8" w:name="page9"/>
    <w:bookmarkEnd w:id="8"/>
    <w:p>
      <w:pPr>
        <w:ind w:left="2960"/>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258445</wp:posOffset>
            </wp:positionV>
            <wp:extent cx="535114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 w:name="page10"/>
    <w:bookmarkEnd w:id="9"/>
    <w:p>
      <w:pPr>
        <w:ind w:right="1819" w:firstLine="648"/>
        <w:spacing w:after="0" w:line="245" w:lineRule="auto"/>
        <w:rPr>
          <w:sz w:val="20"/>
          <w:szCs w:val="20"/>
          <w:color w:val="auto"/>
        </w:rPr>
      </w:pPr>
      <w:r>
        <w:rPr>
          <w:rFonts w:ascii="Arial" w:cs="Arial" w:eastAsia="Arial" w:hAnsi="Arial"/>
          <w:sz w:val="21"/>
          <w:szCs w:val="21"/>
          <w:color w:val="auto"/>
        </w:rPr>
        <w:t>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58" w:lineRule="exact"/>
        <w:rPr>
          <w:sz w:val="20"/>
          <w:szCs w:val="20"/>
          <w:color w:val="auto"/>
        </w:rPr>
      </w:pPr>
    </w:p>
    <w:p>
      <w:pPr>
        <w:ind w:right="1859" w:firstLine="648"/>
        <w:spacing w:after="0" w:line="272" w:lineRule="auto"/>
        <w:rPr>
          <w:sz w:val="20"/>
          <w:szCs w:val="20"/>
          <w:color w:val="auto"/>
        </w:rPr>
      </w:pPr>
      <w:r>
        <w:rPr>
          <w:rFonts w:ascii="Arial" w:cs="Arial" w:eastAsia="Arial" w:hAnsi="Arial"/>
          <w:sz w:val="19"/>
          <w:szCs w:val="19"/>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Given the Board’s confidence in the effectiveness of the current balance of positions and personalities, we have not appointed a lead independent director. The Board believes the combined role of Chief Executive Officer and Chairman, together with a Board whose majority of directors are independent, provides the appropriate balance between independent oversight of management and the development of strategy.</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Board Role in Risk Oversight</w:t>
      </w:r>
    </w:p>
    <w:p>
      <w:pPr>
        <w:spacing w:after="0" w:line="91" w:lineRule="exact"/>
        <w:rPr>
          <w:sz w:val="20"/>
          <w:szCs w:val="20"/>
          <w:color w:val="auto"/>
        </w:rPr>
      </w:pPr>
    </w:p>
    <w:p>
      <w:pPr>
        <w:ind w:right="1839" w:firstLine="648"/>
        <w:spacing w:after="0" w:line="272" w:lineRule="auto"/>
        <w:rPr>
          <w:sz w:val="20"/>
          <w:szCs w:val="20"/>
          <w:color w:val="auto"/>
        </w:rPr>
      </w:pPr>
      <w:r>
        <w:rPr>
          <w:rFonts w:ascii="Arial" w:cs="Arial" w:eastAsia="Arial" w:hAnsi="Arial"/>
          <w:sz w:val="19"/>
          <w:szCs w:val="19"/>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Committees of the Board of Directors</w:t>
      </w:r>
    </w:p>
    <w:p>
      <w:pPr>
        <w:spacing w:after="0" w:line="85"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b w:val="1"/>
          <w:bCs w:val="1"/>
          <w:color w:val="auto"/>
        </w:rPr>
        <w:t xml:space="preserve">Audit and Compliance Committee. </w:t>
      </w:r>
      <w:r>
        <w:rPr>
          <w:rFonts w:ascii="Arial" w:cs="Arial" w:eastAsia="Arial" w:hAnsi="Arial"/>
          <w:sz w:val="19"/>
          <w:szCs w:val="19"/>
          <w:color w:val="auto"/>
        </w:rPr>
        <w:t>The Audit and Compliance Committee meets to</w:t>
      </w:r>
      <w:r>
        <w:rPr>
          <w:rFonts w:ascii="Arial" w:cs="Arial" w:eastAsia="Arial" w:hAnsi="Arial"/>
          <w:sz w:val="19"/>
          <w:szCs w:val="19"/>
          <w:b w:val="1"/>
          <w:bCs w:val="1"/>
          <w:color w:val="auto"/>
        </w:rPr>
        <w:t xml:space="preserve"> </w:t>
      </w:r>
      <w:r>
        <w:rPr>
          <w:rFonts w:ascii="Arial" w:cs="Arial" w:eastAsia="Arial" w:hAnsi="Arial"/>
          <w:sz w:val="19"/>
          <w:szCs w:val="19"/>
          <w:color w:val="auto"/>
        </w:rPr>
        <w:t>review and discuss our accounting practices and procedures 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35" w:lineRule="exact"/>
        <w:rPr>
          <w:sz w:val="20"/>
          <w:szCs w:val="20"/>
          <w:color w:val="auto"/>
        </w:rPr>
      </w:pPr>
    </w:p>
    <w:p>
      <w:pPr>
        <w:ind w:right="1839" w:firstLine="648"/>
        <w:spacing w:after="0" w:line="234" w:lineRule="auto"/>
        <w:rPr>
          <w:sz w:val="20"/>
          <w:szCs w:val="20"/>
          <w:color w:val="auto"/>
        </w:rPr>
      </w:pPr>
      <w:r>
        <w:rPr>
          <w:rFonts w:ascii="Arial" w:cs="Arial" w:eastAsia="Arial" w:hAnsi="Arial"/>
          <w:sz w:val="22"/>
          <w:szCs w:val="22"/>
          <w:color w:val="auto"/>
        </w:rPr>
        <w:t>The members of the Audit and Compliance Committee are Scott M. Huntsman (Chairman), Brad R. Baldwin, and Larry R. Hendricks.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Scott M. Huntsman is an “audit committee financial expert” in accordance with applicable rules and regulations of the SEC.</w:t>
      </w:r>
    </w:p>
    <w:p>
      <w:pPr>
        <w:spacing w:after="0" w:line="64" w:lineRule="exact"/>
        <w:rPr>
          <w:sz w:val="20"/>
          <w:szCs w:val="20"/>
          <w:color w:val="auto"/>
        </w:rPr>
      </w:pPr>
    </w:p>
    <w:p>
      <w:pPr>
        <w:ind w:right="2199" w:firstLine="648"/>
        <w:spacing w:after="0" w:line="247" w:lineRule="auto"/>
        <w:rPr>
          <w:sz w:val="20"/>
          <w:szCs w:val="20"/>
          <w:color w:val="auto"/>
        </w:rPr>
      </w:pPr>
      <w:r>
        <w:rPr>
          <w:rFonts w:ascii="Arial" w:cs="Arial" w:eastAsia="Arial" w:hAnsi="Arial"/>
          <w:sz w:val="21"/>
          <w:szCs w:val="21"/>
          <w:b w:val="1"/>
          <w:bCs w:val="1"/>
          <w:color w:val="auto"/>
        </w:rPr>
        <w:t xml:space="preserve">Compensation Committee. </w:t>
      </w:r>
      <w:r>
        <w:rPr>
          <w:rFonts w:ascii="Arial" w:cs="Arial" w:eastAsia="Arial" w:hAnsi="Arial"/>
          <w:sz w:val="21"/>
          <w:szCs w:val="21"/>
          <w:color w:val="auto"/>
        </w:rPr>
        <w:t>The Compensation Committee is responsible for</w:t>
      </w:r>
      <w:r>
        <w:rPr>
          <w:rFonts w:ascii="Arial" w:cs="Arial" w:eastAsia="Arial" w:hAnsi="Arial"/>
          <w:sz w:val="21"/>
          <w:szCs w:val="21"/>
          <w:b w:val="1"/>
          <w:bCs w:val="1"/>
          <w:color w:val="auto"/>
        </w:rPr>
        <w:t xml:space="preserve"> </w:t>
      </w:r>
      <w:r>
        <w:rPr>
          <w:rFonts w:ascii="Arial" w:cs="Arial" w:eastAsia="Arial" w:hAnsi="Arial"/>
          <w:sz w:val="21"/>
          <w:szCs w:val="21"/>
          <w:color w:val="auto"/>
        </w:rPr>
        <w:t>overseeing, reviewing, and approving our executive compensation and 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Scott M. Huntsman.</w:t>
      </w:r>
    </w:p>
    <w:p>
      <w:pPr>
        <w:sectPr>
          <w:pgSz w:w="11900" w:h="16838" w:orient="portrait"/>
          <w:cols w:equalWidth="0" w:num="1">
            <w:col w:w="10219"/>
          </w:cols>
          <w:pgMar w:left="240" w:top="361" w:right="1440" w:bottom="0" w:gutter="0" w:footer="0" w:header="0"/>
        </w:sectPr>
      </w:pPr>
    </w:p>
    <w:bookmarkStart w:id="10" w:name="page11"/>
    <w:bookmarkEnd w:id="10"/>
    <w:p>
      <w:pPr>
        <w:ind w:left="2960"/>
        <w:spacing w:after="0"/>
        <w:rPr>
          <w:sz w:val="20"/>
          <w:szCs w:val="20"/>
          <w:color w:val="auto"/>
        </w:rPr>
      </w:pP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103505</wp:posOffset>
            </wp:positionV>
            <wp:extent cx="5351145"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11" w:name="page12"/>
    <w:bookmarkEnd w:id="11"/>
    <w:p>
      <w:pPr>
        <w:spacing w:after="0" w:line="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compensation objectives for executive officers are as follows:</w:t>
      </w:r>
    </w:p>
    <w:p>
      <w:pPr>
        <w:spacing w:after="0" w:line="8" w:lineRule="exact"/>
        <w:rPr>
          <w:sz w:val="20"/>
          <w:szCs w:val="20"/>
          <w:color w:val="auto"/>
        </w:rPr>
      </w:pPr>
    </w:p>
    <w:p>
      <w:pPr>
        <w:ind w:left="1300" w:right="2199" w:hanging="320"/>
        <w:spacing w:after="0" w:line="230" w:lineRule="auto"/>
        <w:tabs>
          <w:tab w:leader="none" w:pos="1273" w:val="left"/>
        </w:tabs>
        <w:numPr>
          <w:ilvl w:val="0"/>
          <w:numId w:val="8"/>
        </w:numPr>
        <w:rPr>
          <w:rFonts w:ascii="Arial" w:cs="Arial" w:eastAsia="Arial" w:hAnsi="Arial"/>
          <w:sz w:val="20"/>
          <w:szCs w:val="20"/>
          <w:color w:val="auto"/>
        </w:rPr>
      </w:pPr>
      <w:r>
        <w:rPr>
          <w:rFonts w:ascii="Arial" w:cs="Arial" w:eastAsia="Arial" w:hAnsi="Arial"/>
          <w:sz w:val="22"/>
          <w:szCs w:val="22"/>
          <w:color w:val="auto"/>
        </w:rPr>
        <w:t>to attract and retain highly qualified individuals capable of making significant contributions to the long-term success of our company;</w:t>
      </w:r>
    </w:p>
    <w:p>
      <w:pPr>
        <w:spacing w:after="0" w:line="1" w:lineRule="exact"/>
        <w:rPr>
          <w:rFonts w:ascii="Arial" w:cs="Arial" w:eastAsia="Arial" w:hAnsi="Arial"/>
          <w:sz w:val="20"/>
          <w:szCs w:val="20"/>
          <w:color w:val="auto"/>
        </w:rPr>
      </w:pPr>
    </w:p>
    <w:p>
      <w:pPr>
        <w:ind w:left="1280" w:hanging="300"/>
        <w:spacing w:after="0"/>
        <w:tabs>
          <w:tab w:leader="none" w:pos="1280" w:val="left"/>
        </w:tabs>
        <w:numPr>
          <w:ilvl w:val="0"/>
          <w:numId w:val="8"/>
        </w:numPr>
        <w:rPr>
          <w:rFonts w:ascii="Arial" w:cs="Arial" w:eastAsia="Arial" w:hAnsi="Arial"/>
          <w:sz w:val="19"/>
          <w:szCs w:val="19"/>
          <w:color w:val="auto"/>
        </w:rPr>
      </w:pPr>
      <w:r>
        <w:rPr>
          <w:rFonts w:ascii="Arial" w:cs="Arial" w:eastAsia="Arial" w:hAnsi="Arial"/>
          <w:sz w:val="21"/>
          <w:szCs w:val="21"/>
          <w:color w:val="auto"/>
        </w:rPr>
        <w:t>to use incentive compensation to reinforce strategic performance objectives;</w:t>
      </w:r>
    </w:p>
    <w:p>
      <w:pPr>
        <w:spacing w:after="0" w:line="1" w:lineRule="exact"/>
        <w:rPr>
          <w:rFonts w:ascii="Arial" w:cs="Arial" w:eastAsia="Arial" w:hAnsi="Arial"/>
          <w:sz w:val="19"/>
          <w:szCs w:val="19"/>
          <w:color w:val="auto"/>
        </w:rPr>
      </w:pPr>
    </w:p>
    <w:p>
      <w:pPr>
        <w:ind w:left="1300" w:right="2039" w:hanging="320"/>
        <w:spacing w:after="0" w:line="267" w:lineRule="auto"/>
        <w:tabs>
          <w:tab w:leader="none" w:pos="1273" w:val="left"/>
        </w:tabs>
        <w:numPr>
          <w:ilvl w:val="0"/>
          <w:numId w:val="8"/>
        </w:numPr>
        <w:rPr>
          <w:rFonts w:ascii="Arial" w:cs="Arial" w:eastAsia="Arial" w:hAnsi="Arial"/>
          <w:sz w:val="18"/>
          <w:szCs w:val="18"/>
          <w:color w:val="auto"/>
        </w:rPr>
      </w:pPr>
      <w:r>
        <w:rPr>
          <w:rFonts w:ascii="Arial" w:cs="Arial" w:eastAsia="Arial" w:hAnsi="Arial"/>
          <w:sz w:val="19"/>
          <w:szCs w:val="19"/>
          <w:color w:val="auto"/>
        </w:rPr>
        <w:t>to align the interest of our executives with the interests of our shareholders such that risks and rewards of strategic decisions are shared; and</w:t>
      </w:r>
    </w:p>
    <w:p>
      <w:pPr>
        <w:ind w:left="1300" w:right="2139" w:hanging="320"/>
        <w:spacing w:after="0" w:line="237" w:lineRule="auto"/>
        <w:tabs>
          <w:tab w:leader="none" w:pos="1273" w:val="left"/>
        </w:tabs>
        <w:numPr>
          <w:ilvl w:val="0"/>
          <w:numId w:val="8"/>
        </w:numPr>
        <w:rPr>
          <w:rFonts w:ascii="Arial" w:cs="Arial" w:eastAsia="Arial" w:hAnsi="Arial"/>
          <w:sz w:val="20"/>
          <w:szCs w:val="20"/>
          <w:color w:val="auto"/>
        </w:rPr>
      </w:pPr>
      <w:r>
        <w:rPr>
          <w:rFonts w:ascii="Arial" w:cs="Arial" w:eastAsia="Arial" w:hAnsi="Arial"/>
          <w:sz w:val="22"/>
          <w:szCs w:val="22"/>
          <w:color w:val="auto"/>
        </w:rPr>
        <w:t>to reflect the value of each officer’s position in the marketplace and within our company.</w:t>
      </w:r>
    </w:p>
    <w:p>
      <w:pPr>
        <w:spacing w:after="0" w:line="63" w:lineRule="exact"/>
        <w:rPr>
          <w:sz w:val="20"/>
          <w:szCs w:val="20"/>
          <w:color w:val="auto"/>
        </w:rPr>
      </w:pPr>
    </w:p>
    <w:p>
      <w:pPr>
        <w:ind w:right="1779" w:firstLine="648"/>
        <w:spacing w:after="0" w:line="270" w:lineRule="auto"/>
        <w:rPr>
          <w:sz w:val="20"/>
          <w:szCs w:val="20"/>
          <w:color w:val="auto"/>
        </w:rPr>
      </w:pPr>
      <w:r>
        <w:rPr>
          <w:rFonts w:ascii="Arial" w:cs="Arial" w:eastAsia="Arial" w:hAnsi="Arial"/>
          <w:sz w:val="19"/>
          <w:szCs w:val="19"/>
          <w:i w:val="1"/>
          <w:iCs w:val="1"/>
          <w:color w:val="auto"/>
        </w:rPr>
        <w:t>Policies and Practices Related to ClearOne’s Compensation Program</w:t>
      </w:r>
      <w:r>
        <w:rPr>
          <w:rFonts w:ascii="Arial" w:cs="Arial" w:eastAsia="Arial" w:hAnsi="Arial"/>
          <w:sz w:val="19"/>
          <w:szCs w:val="19"/>
          <w:color w:val="auto"/>
        </w:rPr>
        <w:t>. We strive to</w:t>
      </w:r>
      <w:r>
        <w:rPr>
          <w:rFonts w:ascii="Arial" w:cs="Arial" w:eastAsia="Arial" w:hAnsi="Arial"/>
          <w:sz w:val="19"/>
          <w:szCs w:val="19"/>
          <w:i w:val="1"/>
          <w:iCs w:val="1"/>
          <w:color w:val="auto"/>
        </w:rPr>
        <w:t xml:space="preserve"> </w:t>
      </w:r>
      <w:r>
        <w:rPr>
          <w:rFonts w:ascii="Arial" w:cs="Arial" w:eastAsia="Arial" w:hAnsi="Arial"/>
          <w:sz w:val="19"/>
          <w:szCs w:val="19"/>
          <w:color w:val="auto"/>
        </w:rPr>
        <w:t>create an overall compensation package for each executive 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294" w:lineRule="exact"/>
        <w:rPr>
          <w:sz w:val="20"/>
          <w:szCs w:val="20"/>
          <w:color w:val="auto"/>
        </w:rPr>
      </w:pPr>
    </w:p>
    <w:p>
      <w:pPr>
        <w:ind w:right="1779" w:firstLine="648"/>
        <w:spacing w:after="0" w:line="245" w:lineRule="auto"/>
        <w:rPr>
          <w:sz w:val="20"/>
          <w:szCs w:val="20"/>
          <w:color w:val="auto"/>
        </w:rPr>
      </w:pPr>
      <w:r>
        <w:rPr>
          <w:rFonts w:ascii="Arial" w:cs="Arial" w:eastAsia="Arial" w:hAnsi="Arial"/>
          <w:sz w:val="21"/>
          <w:szCs w:val="21"/>
          <w:i w:val="1"/>
          <w:iCs w:val="1"/>
          <w:color w:val="auto"/>
        </w:rPr>
        <w:t>Comparable Companies</w:t>
      </w:r>
      <w:r>
        <w:rPr>
          <w:rFonts w:ascii="Arial" w:cs="Arial" w:eastAsia="Arial" w:hAnsi="Arial"/>
          <w:sz w:val="21"/>
          <w:szCs w:val="21"/>
          <w:color w:val="auto"/>
        </w:rPr>
        <w:t>. In making compensation decisions, including assessing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competitiveness of the total compensation structure for each named executive officer, the Compensation Committee considers compensation survey data from companies that the Compensation Committee has selected as comparable companies, namely comparable in terms of size and location. The Compensation Committee periodically reviews the companies that are included as comparable companies and makes revisions to the group as appropriate. During February 2010, the company obtained comparable compensation data from Equilar. The Compensation Committee reviewed the compensation data to ensure the company’s compensation of executives is reasonable.</w:t>
      </w:r>
    </w:p>
    <w:p>
      <w:pPr>
        <w:spacing w:after="0" w:line="158" w:lineRule="exact"/>
        <w:rPr>
          <w:sz w:val="20"/>
          <w:szCs w:val="20"/>
          <w:color w:val="auto"/>
        </w:rPr>
      </w:pPr>
    </w:p>
    <w:p>
      <w:pPr>
        <w:ind w:right="1919" w:firstLine="648"/>
        <w:spacing w:after="0" w:line="279" w:lineRule="auto"/>
        <w:rPr>
          <w:sz w:val="20"/>
          <w:szCs w:val="20"/>
          <w:color w:val="auto"/>
        </w:rPr>
      </w:pPr>
      <w:r>
        <w:rPr>
          <w:rFonts w:ascii="Arial" w:cs="Arial" w:eastAsia="Arial" w:hAnsi="Arial"/>
          <w:sz w:val="19"/>
          <w:szCs w:val="19"/>
          <w:i w:val="1"/>
          <w:iCs w:val="1"/>
          <w:color w:val="auto"/>
        </w:rPr>
        <w:t>Equity Grant Practices</w:t>
      </w:r>
      <w:r>
        <w:rPr>
          <w:rFonts w:ascii="Arial" w:cs="Arial" w:eastAsia="Arial" w:hAnsi="Arial"/>
          <w:sz w:val="19"/>
          <w:szCs w:val="19"/>
          <w:color w:val="auto"/>
        </w:rPr>
        <w:t>. The Compensation Committee recognizes the importance of</w:t>
      </w:r>
      <w:r>
        <w:rPr>
          <w:rFonts w:ascii="Arial" w:cs="Arial" w:eastAsia="Arial" w:hAnsi="Arial"/>
          <w:sz w:val="19"/>
          <w:szCs w:val="19"/>
          <w:i w:val="1"/>
          <w:iCs w:val="1"/>
          <w:color w:val="auto"/>
        </w:rPr>
        <w:t xml:space="preserve"> </w:t>
      </w:r>
      <w:r>
        <w:rPr>
          <w:rFonts w:ascii="Arial" w:cs="Arial" w:eastAsia="Arial" w:hAnsi="Arial"/>
          <w:sz w:val="19"/>
          <w:szCs w:val="19"/>
          <w:color w:val="auto"/>
        </w:rPr>
        <w:t>equity ownership in the alignment of shareholder and 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24" w:lineRule="exact"/>
        <w:rPr>
          <w:sz w:val="20"/>
          <w:szCs w:val="20"/>
          <w:color w:val="auto"/>
        </w:rPr>
      </w:pPr>
    </w:p>
    <w:p>
      <w:pPr>
        <w:ind w:right="1799" w:firstLine="648"/>
        <w:spacing w:after="0" w:line="272" w:lineRule="auto"/>
        <w:rPr>
          <w:sz w:val="20"/>
          <w:szCs w:val="20"/>
          <w:color w:val="auto"/>
        </w:rPr>
      </w:pPr>
      <w:r>
        <w:rPr>
          <w:rFonts w:ascii="Arial" w:cs="Arial" w:eastAsia="Arial" w:hAnsi="Arial"/>
          <w:sz w:val="19"/>
          <w:szCs w:val="19"/>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year ended December 31, 2011.</w:t>
      </w:r>
    </w:p>
    <w:p>
      <w:pPr>
        <w:spacing w:after="0" w:line="129" w:lineRule="exact"/>
        <w:rPr>
          <w:sz w:val="20"/>
          <w:szCs w:val="20"/>
          <w:color w:val="auto"/>
        </w:rPr>
      </w:pPr>
    </w:p>
    <w:p>
      <w:pPr>
        <w:ind w:right="1899" w:firstLine="648"/>
        <w:spacing w:after="0" w:line="237" w:lineRule="auto"/>
        <w:rPr>
          <w:sz w:val="20"/>
          <w:szCs w:val="20"/>
          <w:color w:val="auto"/>
        </w:rPr>
      </w:pPr>
      <w:r>
        <w:rPr>
          <w:rFonts w:ascii="Arial" w:cs="Arial" w:eastAsia="Arial" w:hAnsi="Arial"/>
          <w:sz w:val="22"/>
          <w:szCs w:val="22"/>
          <w:b w:val="1"/>
          <w:bCs w:val="1"/>
          <w:color w:val="auto"/>
        </w:rPr>
        <w:t xml:space="preserve">Nominating Committee. </w:t>
      </w:r>
      <w:r>
        <w:rPr>
          <w:rFonts w:ascii="Arial" w:cs="Arial" w:eastAsia="Arial" w:hAnsi="Arial"/>
          <w:sz w:val="22"/>
          <w:szCs w:val="22"/>
          <w:color w:val="auto"/>
        </w:rPr>
        <w:t>The Nominating Committee is responsible for overseeing the</w:t>
      </w:r>
      <w:r>
        <w:rPr>
          <w:rFonts w:ascii="Arial" w:cs="Arial" w:eastAsia="Arial" w:hAnsi="Arial"/>
          <w:sz w:val="22"/>
          <w:szCs w:val="22"/>
          <w:b w:val="1"/>
          <w:bCs w:val="1"/>
          <w:color w:val="auto"/>
        </w:rPr>
        <w:t xml:space="preserve"> </w:t>
      </w:r>
      <w:r>
        <w:rPr>
          <w:rFonts w:ascii="Arial" w:cs="Arial" w:eastAsia="Arial" w:hAnsi="Arial"/>
          <w:sz w:val="22"/>
          <w:szCs w:val="22"/>
          <w:color w:val="auto"/>
        </w:rPr>
        <w:t>nomination of our directors. The Nominating Committee selects, evaluates, and recommends to the full Board of Directors qualified candidates for election to the Board of Directors. The members of the Nominating Committee are Larry R. Hendricks (Chairman), Brad R. Baldwin, and Scott M. Huntsman.</w:t>
      </w:r>
    </w:p>
    <w:p>
      <w:pPr>
        <w:spacing w:after="0" w:line="162" w:lineRule="exact"/>
        <w:rPr>
          <w:sz w:val="20"/>
          <w:szCs w:val="20"/>
          <w:color w:val="auto"/>
        </w:rPr>
      </w:pPr>
    </w:p>
    <w:p>
      <w:pPr>
        <w:ind w:right="1799" w:firstLine="648"/>
        <w:spacing w:after="0" w:line="279" w:lineRule="auto"/>
        <w:rPr>
          <w:sz w:val="20"/>
          <w:szCs w:val="20"/>
          <w:color w:val="auto"/>
        </w:rPr>
      </w:pPr>
      <w:r>
        <w:rPr>
          <w:rFonts w:ascii="Arial" w:cs="Arial" w:eastAsia="Arial" w:hAnsi="Arial"/>
          <w:sz w:val="19"/>
          <w:szCs w:val="19"/>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w:t>
      </w:r>
    </w:p>
    <w:p>
      <w:pPr>
        <w:sectPr>
          <w:pgSz w:w="11900" w:h="16887" w:orient="portrait"/>
          <w:cols w:equalWidth="0" w:num="1">
            <w:col w:w="10219"/>
          </w:cols>
          <w:pgMar w:left="240" w:top="361" w:right="1440" w:bottom="0" w:gutter="0" w:footer="0" w:header="0"/>
        </w:sectPr>
      </w:pPr>
    </w:p>
    <w:bookmarkStart w:id="12" w:name="page13"/>
    <w:bookmarkEnd w:id="12"/>
    <w:p>
      <w:pPr>
        <w:ind w:left="2960"/>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258445</wp:posOffset>
            </wp:positionV>
            <wp:extent cx="535114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9019"/>
          </w:cols>
          <w:pgMar w:left="1440" w:top="1260" w:right="1440" w:bottom="1440" w:gutter="0" w:footer="0" w:header="0"/>
        </w:sectPr>
      </w:pPr>
    </w:p>
    <w:bookmarkStart w:id="13" w:name="page14"/>
    <w:bookmarkEnd w:id="13"/>
    <w:p>
      <w:pPr>
        <w:spacing w:after="0" w:line="17" w:lineRule="exact"/>
        <w:rPr>
          <w:sz w:val="20"/>
          <w:szCs w:val="20"/>
          <w:color w:val="auto"/>
        </w:rPr>
      </w:pPr>
    </w:p>
    <w:p>
      <w:pPr>
        <w:ind w:right="1839" w:firstLine="702"/>
        <w:spacing w:after="0" w:line="245" w:lineRule="auto"/>
        <w:rPr>
          <w:sz w:val="20"/>
          <w:szCs w:val="20"/>
          <w:color w:val="auto"/>
        </w:rPr>
      </w:pPr>
      <w:r>
        <w:rPr>
          <w:rFonts w:ascii="Arial" w:cs="Arial" w:eastAsia="Arial" w:hAnsi="Arial"/>
          <w:sz w:val="21"/>
          <w:szCs w:val="21"/>
          <w:color w:val="auto"/>
        </w:rPr>
        <w:t>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The current nominees for director were recommended by the Nominating Committee and nominated by the Board of Directors, including the independent members thereof.</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Committee Meetings</w:t>
      </w:r>
    </w:p>
    <w:p>
      <w:pPr>
        <w:spacing w:after="0" w:line="185" w:lineRule="exact"/>
        <w:rPr>
          <w:sz w:val="20"/>
          <w:szCs w:val="20"/>
          <w:color w:val="auto"/>
        </w:rPr>
      </w:pPr>
    </w:p>
    <w:p>
      <w:pPr>
        <w:ind w:right="1919" w:firstLine="648"/>
        <w:spacing w:after="0" w:line="274" w:lineRule="auto"/>
        <w:rPr>
          <w:sz w:val="20"/>
          <w:szCs w:val="20"/>
          <w:color w:val="auto"/>
        </w:rPr>
      </w:pPr>
      <w:r>
        <w:rPr>
          <w:rFonts w:ascii="Arial" w:cs="Arial" w:eastAsia="Arial" w:hAnsi="Arial"/>
          <w:sz w:val="19"/>
          <w:szCs w:val="19"/>
          <w:color w:val="auto"/>
        </w:rPr>
        <w:t>Our Board of Directors held a total of 10 meetings in 2011.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Board of Directors attended the 2011 Annual Meeting of Shareholders.</w:t>
      </w:r>
    </w:p>
    <w:p>
      <w:pPr>
        <w:spacing w:after="0" w:line="132" w:lineRule="exact"/>
        <w:rPr>
          <w:sz w:val="20"/>
          <w:szCs w:val="20"/>
          <w:color w:val="auto"/>
        </w:rPr>
      </w:pPr>
    </w:p>
    <w:p>
      <w:pPr>
        <w:ind w:right="2419" w:firstLine="648"/>
        <w:spacing w:after="0" w:line="328" w:lineRule="auto"/>
        <w:rPr>
          <w:sz w:val="20"/>
          <w:szCs w:val="20"/>
          <w:color w:val="auto"/>
        </w:rPr>
      </w:pPr>
      <w:r>
        <w:rPr>
          <w:rFonts w:ascii="Arial" w:cs="Arial" w:eastAsia="Arial" w:hAnsi="Arial"/>
          <w:sz w:val="19"/>
          <w:szCs w:val="19"/>
          <w:color w:val="auto"/>
        </w:rPr>
        <w:t>In 2011, the Audit and Compliance Committee held 6 meetings, the Compensation Committee held 5 meetings, and the Nominating Committee held 2 meetings.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185" w:lineRule="exact"/>
        <w:rPr>
          <w:sz w:val="20"/>
          <w:szCs w:val="20"/>
          <w:color w:val="auto"/>
        </w:rPr>
      </w:pPr>
    </w:p>
    <w:p>
      <w:pPr>
        <w:jc w:val="both"/>
        <w:ind w:right="2039" w:firstLine="648"/>
        <w:spacing w:after="0"/>
        <w:rPr>
          <w:sz w:val="20"/>
          <w:szCs w:val="20"/>
          <w:color w:val="auto"/>
        </w:rPr>
      </w:pPr>
      <w:r>
        <w:rPr>
          <w:rFonts w:ascii="Arial" w:cs="Arial" w:eastAsia="Arial" w:hAnsi="Arial"/>
          <w:sz w:val="22"/>
          <w:szCs w:val="22"/>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22"/>
          <w:szCs w:val="22"/>
          <w:u w:val="single" w:color="auto"/>
          <w:color w:val="auto"/>
        </w:rPr>
        <w:t>www.clearone.com</w:t>
      </w:r>
      <w:r>
        <w:rPr>
          <w:rFonts w:ascii="Arial" w:cs="Arial" w:eastAsia="Arial" w:hAnsi="Arial"/>
          <w:sz w:val="22"/>
          <w:szCs w:val="2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185" w:lineRule="exact"/>
        <w:rPr>
          <w:sz w:val="20"/>
          <w:szCs w:val="20"/>
          <w:color w:val="auto"/>
        </w:rPr>
      </w:pPr>
    </w:p>
    <w:p>
      <w:pPr>
        <w:ind w:right="1839" w:firstLine="1297"/>
        <w:spacing w:after="0" w:line="273" w:lineRule="auto"/>
        <w:rPr>
          <w:sz w:val="20"/>
          <w:szCs w:val="20"/>
          <w:color w:val="auto"/>
        </w:rPr>
      </w:pPr>
      <w:r>
        <w:rPr>
          <w:rFonts w:ascii="Arial" w:cs="Arial" w:eastAsia="Arial" w:hAnsi="Arial"/>
          <w:sz w:val="19"/>
          <w:szCs w:val="19"/>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2011, and written representations that no other reports were required, we believe that each person who, at any time during such fiscal year was a director, officer, or beneficial owner of more than 10% of our common stock, complied with all Section 16(a) filing requirements during such period , except that Edward Dallin Bagley, a beneficial owner of more than 10% of our common stock filed two Forms 4 late for one transaction each.</w:t>
      </w:r>
    </w:p>
    <w:p>
      <w:pPr>
        <w:spacing w:after="0" w:line="123"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EXECUTIVE OFFICERS</w:t>
      </w:r>
    </w:p>
    <w:p>
      <w:pPr>
        <w:spacing w:after="0" w:line="185"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The following table sets forth certain information regarding our executive officers.</w:t>
      </w:r>
    </w:p>
    <w:p>
      <w:pPr>
        <w:spacing w:after="0" w:line="191" w:lineRule="exact"/>
        <w:rPr>
          <w:sz w:val="20"/>
          <w:szCs w:val="20"/>
          <w:color w:val="auto"/>
        </w:rPr>
      </w:pPr>
    </w:p>
    <w:tbl>
      <w:tblPr>
        <w:tblLayout w:type="fixed"/>
        <w:tblInd w:w="30" w:type="dxa"/>
        <w:tblCellMar>
          <w:top w:w="0" w:type="dxa"/>
          <w:left w:w="0" w:type="dxa"/>
          <w:bottom w:w="0" w:type="dxa"/>
          <w:right w:w="0" w:type="dxa"/>
        </w:tblCellMar>
      </w:tblPr>
      <w:tr>
        <w:trPr>
          <w:trHeight w:val="240"/>
        </w:trPr>
        <w:tc>
          <w:tcPr>
            <w:tcW w:w="1820" w:type="dxa"/>
            <w:vAlign w:val="bottom"/>
            <w:tcBorders>
              <w:top w:val="single" w:sz="8" w:color="808080"/>
              <w:left w:val="single" w:sz="8" w:color="808080"/>
            </w:tcBorders>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top w:val="single" w:sz="8" w:color="808080"/>
            </w:tcBorders>
          </w:tcPr>
          <w:p>
            <w:pPr>
              <w:spacing w:after="0"/>
              <w:rPr>
                <w:sz w:val="20"/>
                <w:szCs w:val="20"/>
                <w:color w:val="auto"/>
              </w:rPr>
            </w:pPr>
          </w:p>
        </w:tc>
        <w:tc>
          <w:tcPr>
            <w:tcW w:w="700" w:type="dxa"/>
            <w:vAlign w:val="bottom"/>
            <w:tcBorders>
              <w:top w:val="single" w:sz="8" w:color="808080"/>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Borders>
              <w:top w:val="single" w:sz="8" w:color="808080"/>
            </w:tcBorders>
          </w:tcPr>
          <w:p>
            <w:pPr>
              <w:spacing w:after="0"/>
              <w:rPr>
                <w:sz w:val="20"/>
                <w:szCs w:val="20"/>
                <w:color w:val="auto"/>
              </w:rPr>
            </w:pPr>
          </w:p>
        </w:tc>
        <w:tc>
          <w:tcPr>
            <w:tcW w:w="5800" w:type="dxa"/>
            <w:vAlign w:val="bottom"/>
            <w:tcBorders>
              <w:top w:val="single" w:sz="8" w:color="808080"/>
              <w:right w:val="single" w:sz="8" w:color="808080"/>
            </w:tcBorders>
            <w:gridSpan w:val="2"/>
          </w:tcPr>
          <w:p>
            <w:pPr>
              <w:ind w:left="2600"/>
              <w:spacing w:after="0"/>
              <w:rPr>
                <w:sz w:val="20"/>
                <w:szCs w:val="20"/>
                <w:color w:val="auto"/>
              </w:rPr>
            </w:pPr>
            <w:r>
              <w:rPr>
                <w:rFonts w:ascii="Arial" w:cs="Arial" w:eastAsia="Arial" w:hAnsi="Arial"/>
                <w:sz w:val="16"/>
                <w:szCs w:val="16"/>
                <w:b w:val="1"/>
                <w:bCs w:val="1"/>
                <w:color w:val="auto"/>
              </w:rPr>
              <w:t>Position</w:t>
            </w:r>
          </w:p>
        </w:tc>
      </w:tr>
      <w:tr>
        <w:trPr>
          <w:trHeight w:val="230"/>
        </w:trPr>
        <w:tc>
          <w:tcPr>
            <w:tcW w:w="1820" w:type="dxa"/>
            <w:vAlign w:val="bottom"/>
            <w:tcBorders>
              <w:top w:val="single" w:sz="8" w:color="auto"/>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Zee Hakimoglu</w:t>
            </w:r>
          </w:p>
        </w:tc>
        <w:tc>
          <w:tcPr>
            <w:tcW w:w="120" w:type="dxa"/>
            <w:vAlign w:val="bottom"/>
            <w:shd w:val="clear" w:color="auto" w:fill="B6DDE8"/>
          </w:tcPr>
          <w:p>
            <w:pPr>
              <w:spacing w:after="0"/>
              <w:rPr>
                <w:sz w:val="19"/>
                <w:szCs w:val="19"/>
                <w:color w:val="auto"/>
              </w:rPr>
            </w:pPr>
          </w:p>
        </w:tc>
        <w:tc>
          <w:tcPr>
            <w:tcW w:w="700" w:type="dxa"/>
            <w:vAlign w:val="bottom"/>
            <w:tcBorders>
              <w:top w:val="single" w:sz="8" w:color="auto"/>
            </w:tcBorders>
            <w:shd w:val="clear" w:color="auto" w:fill="B6DDE8"/>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B6DDE8"/>
          </w:tcPr>
          <w:p>
            <w:pPr>
              <w:spacing w:after="0"/>
              <w:rPr>
                <w:sz w:val="19"/>
                <w:szCs w:val="19"/>
                <w:color w:val="auto"/>
              </w:rPr>
            </w:pPr>
          </w:p>
        </w:tc>
        <w:tc>
          <w:tcPr>
            <w:tcW w:w="5760" w:type="dxa"/>
            <w:vAlign w:val="bottom"/>
            <w:tcBorders>
              <w:top w:val="single" w:sz="8" w:color="auto"/>
            </w:tcBorders>
            <w:shd w:val="clear" w:color="auto" w:fill="B6DDE8"/>
          </w:tcPr>
          <w:p>
            <w:pPr>
              <w:spacing w:after="0"/>
              <w:rPr>
                <w:sz w:val="20"/>
                <w:szCs w:val="20"/>
                <w:color w:val="auto"/>
              </w:rPr>
            </w:pPr>
            <w:r>
              <w:rPr>
                <w:rFonts w:ascii="Arial" w:cs="Arial" w:eastAsia="Arial" w:hAnsi="Arial"/>
                <w:sz w:val="18"/>
                <w:szCs w:val="18"/>
                <w:color w:val="auto"/>
                <w:w w:val="96"/>
              </w:rPr>
              <w:t>President, Chief Executive Officer, and Chairman of the Board of Directors</w:t>
            </w:r>
          </w:p>
        </w:tc>
        <w:tc>
          <w:tcPr>
            <w:tcW w:w="40" w:type="dxa"/>
            <w:vAlign w:val="bottom"/>
            <w:tcBorders>
              <w:right w:val="single" w:sz="8" w:color="808080"/>
            </w:tcBorders>
          </w:tcPr>
          <w:p>
            <w:pPr>
              <w:spacing w:after="0"/>
              <w:rPr>
                <w:sz w:val="19"/>
                <w:szCs w:val="19"/>
                <w:color w:val="auto"/>
              </w:rPr>
            </w:pPr>
          </w:p>
        </w:tc>
      </w:tr>
      <w:tr>
        <w:trPr>
          <w:trHeight w:val="230"/>
        </w:trPr>
        <w:tc>
          <w:tcPr>
            <w:tcW w:w="1820" w:type="dxa"/>
            <w:vAlign w:val="bottom"/>
            <w:tcBorders>
              <w:left w:val="single" w:sz="8" w:color="808080"/>
            </w:tcBorders>
          </w:tcPr>
          <w:p>
            <w:pPr>
              <w:ind w:left="20"/>
              <w:spacing w:after="0"/>
              <w:rPr>
                <w:sz w:val="20"/>
                <w:szCs w:val="20"/>
                <w:color w:val="auto"/>
              </w:rPr>
            </w:pPr>
            <w:r>
              <w:rPr>
                <w:rFonts w:ascii="Arial" w:cs="Arial" w:eastAsia="Arial" w:hAnsi="Arial"/>
                <w:sz w:val="18"/>
                <w:szCs w:val="18"/>
                <w:color w:val="auto"/>
              </w:rPr>
              <w:t>Narsi Narayanan</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Vice President of Finance and Corporate Secretary</w:t>
            </w:r>
          </w:p>
        </w:tc>
        <w:tc>
          <w:tcPr>
            <w:tcW w:w="40" w:type="dxa"/>
            <w:vAlign w:val="bottom"/>
            <w:tcBorders>
              <w:right w:val="single" w:sz="8" w:color="808080"/>
            </w:tcBorders>
          </w:tcPr>
          <w:p>
            <w:pPr>
              <w:spacing w:after="0"/>
              <w:rPr>
                <w:sz w:val="19"/>
                <w:szCs w:val="19"/>
                <w:color w:val="auto"/>
              </w:rPr>
            </w:pPr>
          </w:p>
        </w:tc>
      </w:tr>
      <w:tr>
        <w:trPr>
          <w:trHeight w:val="230"/>
        </w:trPr>
        <w:tc>
          <w:tcPr>
            <w:tcW w:w="182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w w:val="99"/>
              </w:rPr>
              <w:t>Michael E. Braithwaite</w:t>
            </w:r>
          </w:p>
        </w:tc>
        <w:tc>
          <w:tcPr>
            <w:tcW w:w="820" w:type="dxa"/>
            <w:vAlign w:val="bottom"/>
            <w:gridSpan w:val="2"/>
            <w:shd w:val="clear" w:color="auto" w:fill="B6DDE8"/>
          </w:tcPr>
          <w:p>
            <w:pPr>
              <w:jc w:val="center"/>
              <w:ind w:left="30"/>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B6DDE8"/>
          </w:tcPr>
          <w:p>
            <w:pPr>
              <w:spacing w:after="0"/>
              <w:rPr>
                <w:sz w:val="19"/>
                <w:szCs w:val="19"/>
                <w:color w:val="auto"/>
              </w:rPr>
            </w:pPr>
          </w:p>
        </w:tc>
        <w:tc>
          <w:tcPr>
            <w:tcW w:w="5760" w:type="dxa"/>
            <w:vAlign w:val="bottom"/>
            <w:shd w:val="clear" w:color="auto" w:fill="B6DDE8"/>
          </w:tcPr>
          <w:p>
            <w:pPr>
              <w:spacing w:after="0"/>
              <w:rPr>
                <w:sz w:val="20"/>
                <w:szCs w:val="20"/>
                <w:color w:val="auto"/>
              </w:rPr>
            </w:pPr>
            <w:r>
              <w:rPr>
                <w:rFonts w:ascii="Arial" w:cs="Arial" w:eastAsia="Arial" w:hAnsi="Arial"/>
                <w:sz w:val="18"/>
                <w:szCs w:val="18"/>
                <w:color w:val="auto"/>
              </w:rPr>
              <w:t>Chief Strategy Officer</w:t>
            </w:r>
          </w:p>
        </w:tc>
        <w:tc>
          <w:tcPr>
            <w:tcW w:w="40" w:type="dxa"/>
            <w:vAlign w:val="bottom"/>
            <w:tcBorders>
              <w:right w:val="single" w:sz="8" w:color="808080"/>
            </w:tcBorders>
          </w:tcPr>
          <w:p>
            <w:pPr>
              <w:spacing w:after="0"/>
              <w:rPr>
                <w:sz w:val="19"/>
                <w:szCs w:val="19"/>
                <w:color w:val="auto"/>
              </w:rPr>
            </w:pPr>
          </w:p>
        </w:tc>
      </w:tr>
      <w:tr>
        <w:trPr>
          <w:trHeight w:val="20"/>
        </w:trPr>
        <w:tc>
          <w:tcPr>
            <w:tcW w:w="1820" w:type="dxa"/>
            <w:vAlign w:val="bottom"/>
            <w:tcBorders>
              <w:left w:val="single" w:sz="8" w:color="808080"/>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57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-601980</wp:posOffset>
            </wp:positionV>
            <wp:extent cx="538543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5435"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-309880</wp:posOffset>
            </wp:positionV>
            <wp:extent cx="538543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85435" cy="146050"/>
                    </a:xfrm>
                    <a:prstGeom prst="rect">
                      <a:avLst/>
                    </a:prstGeom>
                    <a:noFill/>
                  </pic:spPr>
                </pic:pic>
              </a:graphicData>
            </a:graphic>
          </wp:anchor>
        </w:drawing>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biography of Ms. Hakimoglu, see “Nominees for Director.”</w:t>
      </w:r>
    </w:p>
    <w:p>
      <w:pPr>
        <w:spacing w:after="0" w:line="8" w:lineRule="exact"/>
        <w:rPr>
          <w:sz w:val="20"/>
          <w:szCs w:val="20"/>
          <w:color w:val="auto"/>
        </w:rPr>
      </w:pPr>
    </w:p>
    <w:p>
      <w:pPr>
        <w:jc w:val="both"/>
        <w:ind w:right="2039" w:firstLine="1297"/>
        <w:spacing w:after="0" w:line="267" w:lineRule="auto"/>
        <w:rPr>
          <w:sz w:val="20"/>
          <w:szCs w:val="20"/>
          <w:color w:val="auto"/>
        </w:rPr>
      </w:pPr>
      <w:r>
        <w:rPr>
          <w:rFonts w:ascii="Arial" w:cs="Arial" w:eastAsia="Arial" w:hAnsi="Arial"/>
          <w:sz w:val="19"/>
          <w:szCs w:val="19"/>
          <w:b w:val="1"/>
          <w:bCs w:val="1"/>
          <w:color w:val="auto"/>
        </w:rPr>
        <w:t xml:space="preserve">Narsi Narayanan </w:t>
      </w:r>
      <w:r>
        <w:rPr>
          <w:rFonts w:ascii="Arial" w:cs="Arial" w:eastAsia="Arial" w:hAnsi="Arial"/>
          <w:sz w:val="19"/>
          <w:szCs w:val="19"/>
          <w:color w:val="auto"/>
        </w:rPr>
        <w:t>has served as our Vice President of Finance since July 2009</w:t>
      </w:r>
      <w:r>
        <w:rPr>
          <w:rFonts w:ascii="Arial" w:cs="Arial" w:eastAsia="Arial" w:hAnsi="Arial"/>
          <w:sz w:val="19"/>
          <w:szCs w:val="19"/>
          <w:b w:val="1"/>
          <w:bCs w:val="1"/>
          <w:color w:val="auto"/>
        </w:rPr>
        <w:t xml:space="preserve"> </w:t>
      </w:r>
      <w:r>
        <w:rPr>
          <w:rFonts w:ascii="Arial" w:cs="Arial" w:eastAsia="Arial" w:hAnsi="Arial"/>
          <w:sz w:val="19"/>
          <w:szCs w:val="19"/>
          <w:color w:val="auto"/>
        </w:rPr>
        <w:t>and has over 18 years of professional experience in the areas of accounting, finance and taxes. Prior to joining our company, he managed the SEC reporting, US GAAP accounting research, SOX compliance and other financial reporting functions from August 2007 through February 2009 at Solo Cup Company, a publicly reporting international consumer products company.</w:t>
      </w:r>
    </w:p>
    <w:p>
      <w:pPr>
        <w:ind w:right="2279" w:firstLine="54"/>
        <w:spacing w:after="0" w:line="234" w:lineRule="auto"/>
        <w:rPr>
          <w:sz w:val="20"/>
          <w:szCs w:val="20"/>
          <w:color w:val="auto"/>
        </w:rPr>
      </w:pPr>
      <w:r>
        <w:rPr>
          <w:rFonts w:ascii="Arial" w:cs="Arial" w:eastAsia="Arial" w:hAnsi="Arial"/>
          <w:sz w:val="22"/>
          <w:szCs w:val="22"/>
          <w:color w:val="auto"/>
        </w:rPr>
        <w:t>Prior to that, Mr. Narayanan managed the accounting and finance functions, including SEC Reporting, SOX compliance and US GAAP accounting research, from June 2004 through August 2007 at eCollege.com,</w:t>
      </w:r>
    </w:p>
    <w:p>
      <w:pPr>
        <w:sectPr>
          <w:pgSz w:w="11900" w:h="16855" w:orient="portrait"/>
          <w:cols w:equalWidth="0" w:num="1">
            <w:col w:w="10219"/>
          </w:cols>
          <w:pgMar w:left="240" w:top="36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7</w:t>
      </w:r>
    </w:p>
    <w:p>
      <w:pPr>
        <w:sectPr>
          <w:pgSz w:w="11900" w:h="16855" w:orient="portrait"/>
          <w:cols w:equalWidth="0" w:num="1">
            <w:col w:w="10219"/>
          </w:cols>
          <w:pgMar w:left="240" w:top="361" w:right="1440" w:bottom="0" w:gutter="0" w:footer="0" w:header="0"/>
          <w:type w:val="continuous"/>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ind w:right="1879" w:firstLine="648"/>
        <w:spacing w:after="0" w:line="235" w:lineRule="auto"/>
        <w:rPr>
          <w:sz w:val="20"/>
          <w:szCs w:val="20"/>
          <w:color w:val="auto"/>
        </w:rPr>
      </w:pPr>
      <w:r>
        <w:rPr>
          <w:rFonts w:ascii="Arial" w:cs="Arial" w:eastAsia="Arial" w:hAnsi="Arial"/>
          <w:sz w:val="22"/>
          <w:szCs w:val="22"/>
          <w:color w:val="auto"/>
        </w:rPr>
        <w:t>a leading technology company serving private educational institutions which was also a publicly 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55" w:lineRule="exact"/>
        <w:rPr>
          <w:sz w:val="20"/>
          <w:szCs w:val="20"/>
          <w:color w:val="auto"/>
        </w:rPr>
      </w:pPr>
    </w:p>
    <w:p>
      <w:pPr>
        <w:ind w:right="1879" w:firstLine="648"/>
        <w:spacing w:after="0" w:line="245" w:lineRule="auto"/>
        <w:rPr>
          <w:sz w:val="20"/>
          <w:szCs w:val="20"/>
          <w:color w:val="auto"/>
        </w:rPr>
      </w:pPr>
      <w:r>
        <w:rPr>
          <w:rFonts w:ascii="Arial" w:cs="Arial" w:eastAsia="Arial" w:hAnsi="Arial"/>
          <w:sz w:val="21"/>
          <w:szCs w:val="21"/>
          <w:b w:val="1"/>
          <w:bCs w:val="1"/>
          <w:color w:val="auto"/>
        </w:rPr>
        <w:t xml:space="preserve">Michael Braithwaite </w:t>
      </w:r>
      <w:r>
        <w:rPr>
          <w:rFonts w:ascii="Arial" w:cs="Arial" w:eastAsia="Arial" w:hAnsi="Arial"/>
          <w:sz w:val="21"/>
          <w:szCs w:val="21"/>
          <w:color w:val="auto"/>
        </w:rPr>
        <w:t>joined us in November 2009 through the acquisition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NetStreams, Inc. where he was the co-founder and CTO since 2004. Mr. Braithwaite has led a distinguished twenty-plus-year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on the Consumer Electronics Association’s R10 working group technical committees and the AVnu (AVB) marketing and technical committees and is a very active member in technology standard efforts for the CEA and other standard-setting bodies.</w:t>
      </w:r>
    </w:p>
    <w:p>
      <w:pPr>
        <w:spacing w:after="0" w:line="200" w:lineRule="exact"/>
        <w:rPr>
          <w:sz w:val="20"/>
          <w:szCs w:val="20"/>
          <w:color w:val="auto"/>
        </w:rPr>
      </w:pPr>
    </w:p>
    <w:p>
      <w:pPr>
        <w:spacing w:after="0" w:line="320"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EXECUTIVE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w:t>
      </w:r>
    </w:p>
    <w:p>
      <w:pPr>
        <w:spacing w:after="0" w:line="91" w:lineRule="exact"/>
        <w:rPr>
          <w:sz w:val="20"/>
          <w:szCs w:val="20"/>
          <w:color w:val="auto"/>
        </w:rPr>
      </w:pPr>
    </w:p>
    <w:p>
      <w:pPr>
        <w:ind w:right="1939" w:firstLine="648"/>
        <w:spacing w:after="0" w:line="328" w:lineRule="auto"/>
        <w:rPr>
          <w:sz w:val="20"/>
          <w:szCs w:val="20"/>
          <w:color w:val="auto"/>
        </w:rPr>
      </w:pPr>
      <w:r>
        <w:rPr>
          <w:rFonts w:ascii="Arial" w:cs="Arial" w:eastAsia="Arial" w:hAnsi="Arial"/>
          <w:sz w:val="19"/>
          <w:szCs w:val="19"/>
          <w:color w:val="auto"/>
        </w:rPr>
        <w:t>The following tables set forth for the periods indicated, the compensation paid or earned by each named executive officer for the years ended December 31, 2011 and 2010.</w:t>
      </w:r>
    </w:p>
    <w:tbl>
      <w:tblPr>
        <w:tblLayout w:type="fixed"/>
        <w:tblInd w:w="30" w:type="dxa"/>
        <w:tblCellMar>
          <w:top w:w="0" w:type="dxa"/>
          <w:left w:w="0" w:type="dxa"/>
          <w:bottom w:w="0" w:type="dxa"/>
          <w:right w:w="0" w:type="dxa"/>
        </w:tblCellMar>
      </w:tblPr>
      <w:tr>
        <w:trPr>
          <w:trHeight w:val="151"/>
        </w:trPr>
        <w:tc>
          <w:tcPr>
            <w:tcW w:w="3440" w:type="dxa"/>
            <w:vAlign w:val="bottom"/>
            <w:tcBorders>
              <w:top w:val="single" w:sz="8" w:color="808080"/>
              <w:left w:val="single" w:sz="8" w:color="808080"/>
            </w:tcBorders>
          </w:tcPr>
          <w:p>
            <w:pPr>
              <w:ind w:left="880"/>
              <w:spacing w:after="0" w:line="151" w:lineRule="exact"/>
              <w:rPr>
                <w:sz w:val="20"/>
                <w:szCs w:val="20"/>
                <w:color w:val="auto"/>
              </w:rPr>
            </w:pPr>
            <w:r>
              <w:rPr>
                <w:rFonts w:ascii="Arial" w:cs="Arial" w:eastAsia="Arial" w:hAnsi="Arial"/>
                <w:sz w:val="14"/>
                <w:szCs w:val="14"/>
                <w:b w:val="1"/>
                <w:bCs w:val="1"/>
                <w:color w:val="auto"/>
              </w:rPr>
              <w:t>Name and Principal Position</w:t>
            </w:r>
          </w:p>
        </w:tc>
        <w:tc>
          <w:tcPr>
            <w:tcW w:w="780" w:type="dxa"/>
            <w:vAlign w:val="bottom"/>
            <w:tcBorders>
              <w:top w:val="single" w:sz="8" w:color="808080"/>
            </w:tcBorders>
          </w:tcPr>
          <w:p>
            <w:pPr>
              <w:jc w:val="right"/>
              <w:ind w:right="20"/>
              <w:spacing w:after="0" w:line="151" w:lineRule="exact"/>
              <w:rPr>
                <w:sz w:val="20"/>
                <w:szCs w:val="20"/>
                <w:color w:val="auto"/>
              </w:rPr>
            </w:pPr>
            <w:r>
              <w:rPr>
                <w:rFonts w:ascii="Arial" w:cs="Arial" w:eastAsia="Arial" w:hAnsi="Arial"/>
                <w:sz w:val="14"/>
                <w:szCs w:val="14"/>
                <w:b w:val="1"/>
                <w:bCs w:val="1"/>
                <w:color w:val="auto"/>
              </w:rPr>
              <w:t>Salary</w:t>
            </w:r>
          </w:p>
        </w:tc>
        <w:tc>
          <w:tcPr>
            <w:tcW w:w="860" w:type="dxa"/>
            <w:vAlign w:val="bottom"/>
            <w:tcBorders>
              <w:top w:val="single" w:sz="8" w:color="808080"/>
            </w:tcBorders>
          </w:tcPr>
          <w:p>
            <w:pPr>
              <w:jc w:val="right"/>
              <w:ind w:right="81"/>
              <w:spacing w:after="0" w:line="151" w:lineRule="exact"/>
              <w:rPr>
                <w:sz w:val="20"/>
                <w:szCs w:val="20"/>
                <w:color w:val="auto"/>
              </w:rPr>
            </w:pPr>
            <w:r>
              <w:rPr>
                <w:rFonts w:ascii="Arial" w:cs="Arial" w:eastAsia="Arial" w:hAnsi="Arial"/>
                <w:sz w:val="14"/>
                <w:szCs w:val="14"/>
                <w:b w:val="1"/>
                <w:bCs w:val="1"/>
                <w:color w:val="auto"/>
              </w:rPr>
              <w:t>Option</w:t>
            </w:r>
          </w:p>
        </w:tc>
        <w:tc>
          <w:tcPr>
            <w:tcW w:w="1180" w:type="dxa"/>
            <w:vAlign w:val="bottom"/>
            <w:tcBorders>
              <w:top w:val="single" w:sz="8" w:color="808080"/>
            </w:tcBorders>
          </w:tcPr>
          <w:p>
            <w:pPr>
              <w:jc w:val="center"/>
              <w:spacing w:after="0" w:line="151" w:lineRule="exact"/>
              <w:rPr>
                <w:sz w:val="20"/>
                <w:szCs w:val="20"/>
                <w:color w:val="auto"/>
              </w:rPr>
            </w:pPr>
            <w:r>
              <w:rPr>
                <w:rFonts w:ascii="Arial" w:cs="Arial" w:eastAsia="Arial" w:hAnsi="Arial"/>
                <w:sz w:val="14"/>
                <w:szCs w:val="14"/>
                <w:b w:val="1"/>
                <w:bCs w:val="1"/>
                <w:color w:val="auto"/>
                <w:w w:val="96"/>
              </w:rPr>
              <w:t>Non-Equity</w:t>
            </w:r>
          </w:p>
        </w:tc>
        <w:tc>
          <w:tcPr>
            <w:tcW w:w="260" w:type="dxa"/>
            <w:vAlign w:val="bottom"/>
            <w:tcBorders>
              <w:top w:val="single" w:sz="8" w:color="808080"/>
            </w:tcBorders>
          </w:tcPr>
          <w:p>
            <w:pPr>
              <w:spacing w:after="0"/>
              <w:rPr>
                <w:sz w:val="13"/>
                <w:szCs w:val="13"/>
                <w:color w:val="auto"/>
              </w:rPr>
            </w:pPr>
          </w:p>
        </w:tc>
        <w:tc>
          <w:tcPr>
            <w:tcW w:w="700" w:type="dxa"/>
            <w:vAlign w:val="bottom"/>
            <w:tcBorders>
              <w:top w:val="single" w:sz="8" w:color="808080"/>
            </w:tcBorders>
          </w:tcPr>
          <w:p>
            <w:pPr>
              <w:jc w:val="right"/>
              <w:spacing w:after="0" w:line="151" w:lineRule="exact"/>
              <w:rPr>
                <w:sz w:val="20"/>
                <w:szCs w:val="20"/>
                <w:color w:val="auto"/>
              </w:rPr>
            </w:pPr>
            <w:r>
              <w:rPr>
                <w:rFonts w:ascii="Arial" w:cs="Arial" w:eastAsia="Arial" w:hAnsi="Arial"/>
                <w:sz w:val="14"/>
                <w:szCs w:val="14"/>
                <w:b w:val="1"/>
                <w:bCs w:val="1"/>
                <w:color w:val="auto"/>
              </w:rPr>
              <w:t>All Other</w:t>
            </w:r>
          </w:p>
        </w:tc>
        <w:tc>
          <w:tcPr>
            <w:tcW w:w="1140" w:type="dxa"/>
            <w:vAlign w:val="bottom"/>
            <w:tcBorders>
              <w:top w:val="single" w:sz="8" w:color="808080"/>
              <w:right w:val="single" w:sz="8" w:color="808080"/>
            </w:tcBorders>
            <w:gridSpan w:val="2"/>
          </w:tcPr>
          <w:p>
            <w:pPr>
              <w:ind w:left="520"/>
              <w:spacing w:after="0" w:line="151" w:lineRule="exact"/>
              <w:rPr>
                <w:sz w:val="20"/>
                <w:szCs w:val="20"/>
                <w:color w:val="auto"/>
              </w:rPr>
            </w:pPr>
            <w:r>
              <w:rPr>
                <w:rFonts w:ascii="Arial" w:cs="Arial" w:eastAsia="Arial" w:hAnsi="Arial"/>
                <w:sz w:val="14"/>
                <w:szCs w:val="14"/>
                <w:b w:val="1"/>
                <w:bCs w:val="1"/>
                <w:color w:val="auto"/>
              </w:rPr>
              <w:t>Total</w:t>
            </w:r>
          </w:p>
        </w:tc>
      </w:tr>
      <w:tr>
        <w:trPr>
          <w:trHeight w:val="144"/>
        </w:trPr>
        <w:tc>
          <w:tcPr>
            <w:tcW w:w="3440" w:type="dxa"/>
            <w:vAlign w:val="bottom"/>
            <w:tcBorders>
              <w:left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5"/>
                <w:szCs w:val="15"/>
                <w:b w:val="1"/>
                <w:bCs w:val="1"/>
                <w:color w:val="auto"/>
              </w:rPr>
              <w:t>(1)</w:t>
            </w: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jc w:val="right"/>
              <w:ind w:right="840"/>
              <w:spacing w:after="0" w:line="144" w:lineRule="exact"/>
              <w:rPr>
                <w:sz w:val="20"/>
                <w:szCs w:val="20"/>
                <w:color w:val="auto"/>
              </w:rPr>
            </w:pPr>
            <w:r>
              <w:rPr>
                <w:rFonts w:ascii="Arial" w:cs="Arial" w:eastAsia="Arial" w:hAnsi="Arial"/>
                <w:sz w:val="15"/>
                <w:szCs w:val="15"/>
                <w:b w:val="1"/>
                <w:bCs w:val="1"/>
                <w:color w:val="auto"/>
                <w:w w:val="87"/>
              </w:rPr>
              <w:t>(3)</w:t>
            </w:r>
          </w:p>
        </w:tc>
        <w:tc>
          <w:tcPr>
            <w:tcW w:w="40" w:type="dxa"/>
            <w:vAlign w:val="bottom"/>
            <w:tcBorders>
              <w:right w:val="single" w:sz="8" w:color="808080"/>
            </w:tcBorders>
          </w:tcPr>
          <w:p>
            <w:pPr>
              <w:spacing w:after="0"/>
              <w:rPr>
                <w:sz w:val="12"/>
                <w:szCs w:val="12"/>
                <w:color w:val="auto"/>
              </w:rPr>
            </w:pPr>
          </w:p>
        </w:tc>
      </w:tr>
      <w:tr>
        <w:trPr>
          <w:trHeight w:val="304"/>
        </w:trPr>
        <w:tc>
          <w:tcPr>
            <w:tcW w:w="3440" w:type="dxa"/>
            <w:vAlign w:val="bottom"/>
            <w:tcBorders>
              <w:left w:val="single" w:sz="8" w:color="808080"/>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Awards</w:t>
            </w:r>
          </w:p>
        </w:tc>
        <w:tc>
          <w:tcPr>
            <w:tcW w:w="1180" w:type="dxa"/>
            <w:vAlign w:val="bottom"/>
            <w:tcBorders>
              <w:bottom w:val="single" w:sz="8" w:color="auto"/>
            </w:tcBorders>
          </w:tcPr>
          <w:p>
            <w:pPr>
              <w:jc w:val="center"/>
              <w:spacing w:after="0" w:line="297" w:lineRule="exact"/>
              <w:rPr>
                <w:sz w:val="20"/>
                <w:szCs w:val="20"/>
                <w:color w:val="auto"/>
              </w:rPr>
            </w:pPr>
            <w:r>
              <w:rPr>
                <w:rFonts w:ascii="Arial" w:cs="Arial" w:eastAsia="Arial" w:hAnsi="Arial"/>
                <w:sz w:val="14"/>
                <w:szCs w:val="14"/>
                <w:b w:val="1"/>
                <w:bCs w:val="1"/>
                <w:color w:val="auto"/>
                <w:w w:val="88"/>
              </w:rPr>
              <w:t>Compensation</w:t>
            </w:r>
            <w:r>
              <w:rPr>
                <w:rFonts w:ascii="Arial" w:cs="Arial" w:eastAsia="Arial" w:hAnsi="Arial"/>
                <w:sz w:val="23"/>
                <w:szCs w:val="23"/>
                <w:b w:val="1"/>
                <w:bCs w:val="1"/>
                <w:color w:val="auto"/>
                <w:w w:val="88"/>
                <w:vertAlign w:val="superscript"/>
              </w:rPr>
              <w:t>(</w:t>
            </w:r>
            <w:r>
              <w:rPr>
                <w:rFonts w:ascii="Arial" w:cs="Arial" w:eastAsia="Arial" w:hAnsi="Arial"/>
                <w:sz w:val="30"/>
                <w:szCs w:val="30"/>
                <w:b w:val="1"/>
                <w:bCs w:val="1"/>
                <w:color w:val="auto"/>
                <w:w w:val="88"/>
                <w:vertAlign w:val="superscript"/>
              </w:rPr>
              <w:t>2)</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Compensation</w:t>
            </w:r>
          </w:p>
        </w:tc>
        <w:tc>
          <w:tcPr>
            <w:tcW w:w="1100" w:type="dxa"/>
            <w:vAlign w:val="bottom"/>
            <w:tcBorders>
              <w:bottom w:val="single" w:sz="8" w:color="auto"/>
            </w:tcBorders>
          </w:tcPr>
          <w:p>
            <w:pPr>
              <w:spacing w:after="0"/>
              <w:rPr>
                <w:sz w:val="24"/>
                <w:szCs w:val="24"/>
                <w:color w:val="auto"/>
              </w:rPr>
            </w:pPr>
          </w:p>
        </w:tc>
        <w:tc>
          <w:tcPr>
            <w:tcW w:w="40" w:type="dxa"/>
            <w:vAlign w:val="bottom"/>
            <w:tcBorders>
              <w:right w:val="single" w:sz="8" w:color="808080"/>
            </w:tcBorders>
          </w:tcPr>
          <w:p>
            <w:pPr>
              <w:spacing w:after="0"/>
              <w:rPr>
                <w:sz w:val="24"/>
                <w:szCs w:val="24"/>
                <w:color w:val="auto"/>
              </w:rPr>
            </w:pPr>
          </w:p>
        </w:tc>
      </w:tr>
      <w:tr>
        <w:trPr>
          <w:trHeight w:val="206"/>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 Chairman of the Board, Chief</w:t>
            </w:r>
          </w:p>
        </w:tc>
        <w:tc>
          <w:tcPr>
            <w:tcW w:w="780" w:type="dxa"/>
            <w:vAlign w:val="bottom"/>
            <w:shd w:val="clear" w:color="auto" w:fill="B6DDE8"/>
          </w:tcPr>
          <w:p>
            <w:pPr>
              <w:spacing w:after="0"/>
              <w:rPr>
                <w:sz w:val="17"/>
                <w:szCs w:val="17"/>
                <w:color w:val="auto"/>
              </w:rPr>
            </w:pPr>
          </w:p>
        </w:tc>
        <w:tc>
          <w:tcPr>
            <w:tcW w:w="860" w:type="dxa"/>
            <w:vAlign w:val="bottom"/>
            <w:shd w:val="clear" w:color="auto" w:fill="B6DDE8"/>
          </w:tcPr>
          <w:p>
            <w:pPr>
              <w:spacing w:after="0"/>
              <w:rPr>
                <w:sz w:val="17"/>
                <w:szCs w:val="17"/>
                <w:color w:val="auto"/>
              </w:rPr>
            </w:pPr>
          </w:p>
        </w:tc>
        <w:tc>
          <w:tcPr>
            <w:tcW w:w="1180" w:type="dxa"/>
            <w:vAlign w:val="bottom"/>
            <w:shd w:val="clear" w:color="auto" w:fill="B6DDE8"/>
          </w:tcPr>
          <w:p>
            <w:pPr>
              <w:spacing w:after="0"/>
              <w:rPr>
                <w:sz w:val="17"/>
                <w:szCs w:val="17"/>
                <w:color w:val="auto"/>
              </w:rPr>
            </w:pPr>
          </w:p>
        </w:tc>
        <w:tc>
          <w:tcPr>
            <w:tcW w:w="260" w:type="dxa"/>
            <w:vAlign w:val="bottom"/>
            <w:shd w:val="clear" w:color="auto" w:fill="B6DDE8"/>
          </w:tcPr>
          <w:p>
            <w:pPr>
              <w:spacing w:after="0"/>
              <w:rPr>
                <w:sz w:val="17"/>
                <w:szCs w:val="17"/>
                <w:color w:val="auto"/>
              </w:rPr>
            </w:pPr>
          </w:p>
        </w:tc>
        <w:tc>
          <w:tcPr>
            <w:tcW w:w="700" w:type="dxa"/>
            <w:vAlign w:val="bottom"/>
            <w:shd w:val="clear" w:color="auto" w:fill="B6DDE8"/>
          </w:tcPr>
          <w:p>
            <w:pPr>
              <w:spacing w:after="0"/>
              <w:rPr>
                <w:sz w:val="17"/>
                <w:szCs w:val="17"/>
                <w:color w:val="auto"/>
              </w:rPr>
            </w:pPr>
          </w:p>
        </w:tc>
        <w:tc>
          <w:tcPr>
            <w:tcW w:w="1100" w:type="dxa"/>
            <w:vAlign w:val="bottom"/>
            <w:shd w:val="clear" w:color="auto" w:fill="B6DDE8"/>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26"/>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Executive Officer and President</w:t>
            </w:r>
          </w:p>
        </w:tc>
        <w:tc>
          <w:tcPr>
            <w:tcW w:w="780" w:type="dxa"/>
            <w:vAlign w:val="bottom"/>
            <w:shd w:val="clear" w:color="auto" w:fill="B6DDE8"/>
          </w:tcPr>
          <w:p>
            <w:pPr>
              <w:spacing w:after="0"/>
              <w:rPr>
                <w:sz w:val="19"/>
                <w:szCs w:val="19"/>
                <w:color w:val="auto"/>
              </w:rPr>
            </w:pPr>
          </w:p>
        </w:tc>
        <w:tc>
          <w:tcPr>
            <w:tcW w:w="860" w:type="dxa"/>
            <w:vAlign w:val="bottom"/>
            <w:shd w:val="clear" w:color="auto" w:fill="B6DDE8"/>
          </w:tcPr>
          <w:p>
            <w:pPr>
              <w:spacing w:after="0"/>
              <w:rPr>
                <w:sz w:val="19"/>
                <w:szCs w:val="19"/>
                <w:color w:val="auto"/>
              </w:rPr>
            </w:pPr>
          </w:p>
        </w:tc>
        <w:tc>
          <w:tcPr>
            <w:tcW w:w="1180" w:type="dxa"/>
            <w:vAlign w:val="bottom"/>
            <w:shd w:val="clear" w:color="auto" w:fill="B6DDE8"/>
          </w:tcPr>
          <w:p>
            <w:pPr>
              <w:spacing w:after="0"/>
              <w:rPr>
                <w:sz w:val="19"/>
                <w:szCs w:val="19"/>
                <w:color w:val="auto"/>
              </w:rPr>
            </w:pPr>
          </w:p>
        </w:tc>
        <w:tc>
          <w:tcPr>
            <w:tcW w:w="260" w:type="dxa"/>
            <w:vAlign w:val="bottom"/>
            <w:shd w:val="clear" w:color="auto" w:fill="B6DDE8"/>
          </w:tcPr>
          <w:p>
            <w:pPr>
              <w:spacing w:after="0"/>
              <w:rPr>
                <w:sz w:val="19"/>
                <w:szCs w:val="19"/>
                <w:color w:val="auto"/>
              </w:rPr>
            </w:pPr>
          </w:p>
        </w:tc>
        <w:tc>
          <w:tcPr>
            <w:tcW w:w="700" w:type="dxa"/>
            <w:vAlign w:val="bottom"/>
            <w:shd w:val="clear" w:color="auto" w:fill="B6DDE8"/>
          </w:tcPr>
          <w:p>
            <w:pPr>
              <w:spacing w:after="0"/>
              <w:rPr>
                <w:sz w:val="19"/>
                <w:szCs w:val="19"/>
                <w:color w:val="auto"/>
              </w:rPr>
            </w:pPr>
          </w:p>
        </w:tc>
        <w:tc>
          <w:tcPr>
            <w:tcW w:w="1100" w:type="dxa"/>
            <w:vAlign w:val="bottom"/>
            <w:shd w:val="clear" w:color="auto" w:fill="B6DDE8"/>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27"/>
        </w:trPr>
        <w:tc>
          <w:tcPr>
            <w:tcW w:w="344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Year ended December 31, 2011</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8"/>
              </w:rPr>
              <w:t>$230,000</w:t>
            </w:r>
          </w:p>
        </w:tc>
        <w:tc>
          <w:tcPr>
            <w:tcW w:w="860" w:type="dxa"/>
            <w:vAlign w:val="bottom"/>
          </w:tcPr>
          <w:p>
            <w:pPr>
              <w:jc w:val="right"/>
              <w:ind w:right="141"/>
              <w:spacing w:after="0"/>
              <w:rPr>
                <w:sz w:val="20"/>
                <w:szCs w:val="20"/>
                <w:color w:val="auto"/>
              </w:rPr>
            </w:pPr>
            <w:r>
              <w:rPr>
                <w:rFonts w:ascii="Arial" w:cs="Arial" w:eastAsia="Arial" w:hAnsi="Arial"/>
                <w:sz w:val="16"/>
                <w:szCs w:val="16"/>
                <w:color w:val="auto"/>
                <w:w w:val="99"/>
              </w:rPr>
              <w:t>$ 29,436</w:t>
            </w:r>
          </w:p>
        </w:tc>
        <w:tc>
          <w:tcPr>
            <w:tcW w:w="1180" w:type="dxa"/>
            <w:vAlign w:val="bottom"/>
          </w:tcPr>
          <w:p>
            <w:pPr>
              <w:jc w:val="right"/>
              <w:ind w:right="321"/>
              <w:spacing w:after="0"/>
              <w:rPr>
                <w:sz w:val="20"/>
                <w:szCs w:val="20"/>
                <w:color w:val="auto"/>
              </w:rPr>
            </w:pPr>
            <w:r>
              <w:rPr>
                <w:rFonts w:ascii="Arial" w:cs="Arial" w:eastAsia="Arial" w:hAnsi="Arial"/>
                <w:sz w:val="16"/>
                <w:szCs w:val="16"/>
                <w:color w:val="auto"/>
              </w:rPr>
              <w:t>$  93,953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0"/>
              <w:spacing w:after="0"/>
              <w:rPr>
                <w:sz w:val="20"/>
                <w:szCs w:val="20"/>
                <w:color w:val="auto"/>
              </w:rPr>
            </w:pPr>
            <w:r>
              <w:rPr>
                <w:rFonts w:ascii="Arial" w:cs="Arial" w:eastAsia="Arial" w:hAnsi="Arial"/>
                <w:sz w:val="16"/>
                <w:szCs w:val="16"/>
                <w:color w:val="auto"/>
              </w:rPr>
              <w:t>$353,389</w:t>
            </w:r>
          </w:p>
        </w:tc>
        <w:tc>
          <w:tcPr>
            <w:tcW w:w="40" w:type="dxa"/>
            <w:vAlign w:val="bottom"/>
            <w:tcBorders>
              <w:right w:val="single" w:sz="8" w:color="808080"/>
            </w:tcBorders>
          </w:tcPr>
          <w:p>
            <w:pPr>
              <w:spacing w:after="0"/>
              <w:rPr>
                <w:sz w:val="19"/>
                <w:szCs w:val="19"/>
                <w:color w:val="auto"/>
              </w:rPr>
            </w:pPr>
          </w:p>
        </w:tc>
      </w:tr>
      <w:tr>
        <w:trPr>
          <w:trHeight w:val="226"/>
        </w:trPr>
        <w:tc>
          <w:tcPr>
            <w:tcW w:w="3440" w:type="dxa"/>
            <w:vAlign w:val="bottom"/>
            <w:tcBorders>
              <w:left w:val="single" w:sz="8" w:color="808080"/>
              <w:bottom w:val="single" w:sz="8" w:color="auto"/>
            </w:tcBorders>
            <w:shd w:val="clear" w:color="auto" w:fill="B6DDE8"/>
          </w:tcPr>
          <w:p>
            <w:pPr>
              <w:ind w:left="20"/>
              <w:spacing w:after="0"/>
              <w:rPr>
                <w:sz w:val="20"/>
                <w:szCs w:val="20"/>
                <w:color w:val="auto"/>
              </w:rPr>
            </w:pPr>
            <w:r>
              <w:rPr>
                <w:rFonts w:ascii="Arial" w:cs="Arial" w:eastAsia="Arial" w:hAnsi="Arial"/>
                <w:sz w:val="16"/>
                <w:szCs w:val="16"/>
                <w:color w:val="auto"/>
              </w:rPr>
              <w:t>Year ended December 31, 2010</w:t>
            </w:r>
          </w:p>
        </w:tc>
        <w:tc>
          <w:tcPr>
            <w:tcW w:w="780" w:type="dxa"/>
            <w:vAlign w:val="bottom"/>
            <w:tcBorders>
              <w:bottom w:val="single" w:sz="8" w:color="auto"/>
            </w:tcBorders>
            <w:shd w:val="clear" w:color="auto" w:fill="B6DDE8"/>
          </w:tcPr>
          <w:p>
            <w:pPr>
              <w:jc w:val="right"/>
              <w:ind w:right="20"/>
              <w:spacing w:after="0"/>
              <w:rPr>
                <w:sz w:val="20"/>
                <w:szCs w:val="20"/>
                <w:color w:val="auto"/>
              </w:rPr>
            </w:pPr>
            <w:r>
              <w:rPr>
                <w:rFonts w:ascii="Arial" w:cs="Arial" w:eastAsia="Arial" w:hAnsi="Arial"/>
                <w:sz w:val="16"/>
                <w:szCs w:val="16"/>
                <w:color w:val="auto"/>
              </w:rPr>
              <w:t>225,000</w:t>
            </w:r>
          </w:p>
        </w:tc>
        <w:tc>
          <w:tcPr>
            <w:tcW w:w="860" w:type="dxa"/>
            <w:vAlign w:val="bottom"/>
            <w:tcBorders>
              <w:bottom w:val="single" w:sz="8" w:color="auto"/>
            </w:tcBorders>
            <w:shd w:val="clear" w:color="auto" w:fill="B6DDE8"/>
          </w:tcPr>
          <w:p>
            <w:pPr>
              <w:jc w:val="right"/>
              <w:ind w:right="141"/>
              <w:spacing w:after="0"/>
              <w:rPr>
                <w:sz w:val="20"/>
                <w:szCs w:val="20"/>
                <w:color w:val="auto"/>
              </w:rPr>
            </w:pPr>
            <w:r>
              <w:rPr>
                <w:rFonts w:ascii="Arial" w:cs="Arial" w:eastAsia="Arial" w:hAnsi="Arial"/>
                <w:sz w:val="16"/>
                <w:szCs w:val="16"/>
                <w:color w:val="auto"/>
              </w:rPr>
              <w:t>12,400</w:t>
            </w:r>
          </w:p>
        </w:tc>
        <w:tc>
          <w:tcPr>
            <w:tcW w:w="1180" w:type="dxa"/>
            <w:vAlign w:val="bottom"/>
            <w:tcBorders>
              <w:bottom w:val="single" w:sz="8" w:color="auto"/>
            </w:tcBorders>
            <w:shd w:val="clear" w:color="auto" w:fill="B6DDE8"/>
          </w:tcPr>
          <w:p>
            <w:pPr>
              <w:jc w:val="right"/>
              <w:ind w:right="321"/>
              <w:spacing w:after="0"/>
              <w:rPr>
                <w:sz w:val="20"/>
                <w:szCs w:val="20"/>
                <w:color w:val="auto"/>
              </w:rPr>
            </w:pPr>
            <w:r>
              <w:rPr>
                <w:rFonts w:ascii="Arial" w:cs="Arial" w:eastAsia="Arial" w:hAnsi="Arial"/>
                <w:sz w:val="16"/>
                <w:szCs w:val="16"/>
                <w:color w:val="auto"/>
              </w:rPr>
              <w:t>73,523</w:t>
            </w:r>
          </w:p>
        </w:tc>
        <w:tc>
          <w:tcPr>
            <w:tcW w:w="260" w:type="dxa"/>
            <w:vAlign w:val="bottom"/>
            <w:tcBorders>
              <w:bottom w:val="single" w:sz="8" w:color="auto"/>
            </w:tcBorders>
            <w:shd w:val="clear" w:color="auto" w:fill="B6DDE8"/>
          </w:tcPr>
          <w:p>
            <w:pPr>
              <w:spacing w:after="0"/>
              <w:rPr>
                <w:sz w:val="19"/>
                <w:szCs w:val="19"/>
                <w:color w:val="auto"/>
              </w:rPr>
            </w:pPr>
          </w:p>
        </w:tc>
        <w:tc>
          <w:tcPr>
            <w:tcW w:w="700" w:type="dxa"/>
            <w:vAlign w:val="bottom"/>
            <w:tcBorders>
              <w:bottom w:val="single" w:sz="8" w:color="auto"/>
            </w:tcBorders>
            <w:shd w:val="clear" w:color="auto" w:fill="B6DDE8"/>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B6DDE8"/>
          </w:tcPr>
          <w:p>
            <w:pPr>
              <w:jc w:val="right"/>
              <w:ind w:right="160"/>
              <w:spacing w:after="0"/>
              <w:rPr>
                <w:sz w:val="20"/>
                <w:szCs w:val="20"/>
                <w:color w:val="auto"/>
              </w:rPr>
            </w:pPr>
            <w:r>
              <w:rPr>
                <w:rFonts w:ascii="Arial" w:cs="Arial" w:eastAsia="Arial" w:hAnsi="Arial"/>
                <w:sz w:val="16"/>
                <w:szCs w:val="16"/>
                <w:color w:val="auto"/>
              </w:rPr>
              <w:t>310,923</w:t>
            </w:r>
          </w:p>
        </w:tc>
        <w:tc>
          <w:tcPr>
            <w:tcW w:w="40" w:type="dxa"/>
            <w:vAlign w:val="bottom"/>
            <w:tcBorders>
              <w:right w:val="single" w:sz="8" w:color="808080"/>
            </w:tcBorders>
          </w:tcPr>
          <w:p>
            <w:pPr>
              <w:spacing w:after="0"/>
              <w:rPr>
                <w:sz w:val="19"/>
                <w:szCs w:val="19"/>
                <w:color w:val="auto"/>
              </w:rPr>
            </w:pPr>
          </w:p>
        </w:tc>
      </w:tr>
      <w:tr>
        <w:trPr>
          <w:trHeight w:val="220"/>
        </w:trPr>
        <w:tc>
          <w:tcPr>
            <w:tcW w:w="3440" w:type="dxa"/>
            <w:vAlign w:val="bottom"/>
            <w:tcBorders>
              <w:left w:val="single" w:sz="8" w:color="808080"/>
            </w:tcBorders>
          </w:tcPr>
          <w:p>
            <w:pPr>
              <w:ind w:left="20"/>
              <w:spacing w:after="0"/>
              <w:rPr>
                <w:sz w:val="20"/>
                <w:szCs w:val="20"/>
                <w:color w:val="auto"/>
              </w:rPr>
            </w:pPr>
            <w:r>
              <w:rPr>
                <w:rFonts w:ascii="Arial" w:cs="Arial" w:eastAsia="Arial" w:hAnsi="Arial"/>
                <w:sz w:val="16"/>
                <w:szCs w:val="16"/>
                <w:b w:val="1"/>
                <w:bCs w:val="1"/>
                <w:color w:val="auto"/>
              </w:rPr>
              <w:t xml:space="preserve">Tracy A. Bathurst </w:t>
            </w:r>
            <w:r>
              <w:rPr>
                <w:rFonts w:ascii="Arial" w:cs="Arial" w:eastAsia="Arial" w:hAnsi="Arial"/>
                <w:sz w:val="16"/>
                <w:szCs w:val="16"/>
                <w:color w:val="auto"/>
              </w:rPr>
              <w:t>(4) - Chief Strategy Officer</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9"/>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Year ended December 31, 2011</w:t>
            </w:r>
          </w:p>
        </w:tc>
        <w:tc>
          <w:tcPr>
            <w:tcW w:w="780" w:type="dxa"/>
            <w:vAlign w:val="bottom"/>
            <w:shd w:val="clear" w:color="auto" w:fill="B6DDE8"/>
          </w:tcPr>
          <w:p>
            <w:pPr>
              <w:jc w:val="right"/>
              <w:ind w:right="20"/>
              <w:spacing w:after="0"/>
              <w:rPr>
                <w:sz w:val="20"/>
                <w:szCs w:val="20"/>
                <w:color w:val="auto"/>
              </w:rPr>
            </w:pPr>
            <w:r>
              <w:rPr>
                <w:rFonts w:ascii="Arial" w:cs="Arial" w:eastAsia="Arial" w:hAnsi="Arial"/>
                <w:sz w:val="16"/>
                <w:szCs w:val="16"/>
                <w:color w:val="auto"/>
              </w:rPr>
              <w:t>35,769</w:t>
            </w:r>
          </w:p>
        </w:tc>
        <w:tc>
          <w:tcPr>
            <w:tcW w:w="860" w:type="dxa"/>
            <w:vAlign w:val="bottom"/>
            <w:shd w:val="clear" w:color="auto" w:fill="B6DDE8"/>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shd w:val="clear" w:color="auto" w:fill="B6DDE8"/>
          </w:tcPr>
          <w:p>
            <w:pPr>
              <w:jc w:val="right"/>
              <w:ind w:right="321"/>
              <w:spacing w:after="0"/>
              <w:rPr>
                <w:sz w:val="20"/>
                <w:szCs w:val="20"/>
                <w:color w:val="auto"/>
              </w:rPr>
            </w:pPr>
            <w:r>
              <w:rPr>
                <w:rFonts w:ascii="Arial" w:cs="Arial" w:eastAsia="Arial" w:hAnsi="Arial"/>
                <w:sz w:val="16"/>
                <w:szCs w:val="16"/>
                <w:color w:val="auto"/>
              </w:rPr>
              <w:t>22,900</w:t>
            </w:r>
          </w:p>
        </w:tc>
        <w:tc>
          <w:tcPr>
            <w:tcW w:w="260" w:type="dxa"/>
            <w:vAlign w:val="bottom"/>
            <w:shd w:val="clear" w:color="auto" w:fill="B6DDE8"/>
          </w:tcPr>
          <w:p>
            <w:pPr>
              <w:spacing w:after="0"/>
              <w:rPr>
                <w:sz w:val="20"/>
                <w:szCs w:val="20"/>
                <w:color w:val="auto"/>
              </w:rPr>
            </w:pPr>
          </w:p>
        </w:tc>
        <w:tc>
          <w:tcPr>
            <w:tcW w:w="700" w:type="dxa"/>
            <w:vAlign w:val="bottom"/>
            <w:shd w:val="clear" w:color="auto" w:fill="B6DDE8"/>
          </w:tcPr>
          <w:p>
            <w:pPr>
              <w:jc w:val="right"/>
              <w:ind w:right="100"/>
              <w:spacing w:after="0"/>
              <w:rPr>
                <w:sz w:val="20"/>
                <w:szCs w:val="20"/>
                <w:color w:val="auto"/>
              </w:rPr>
            </w:pPr>
            <w:r>
              <w:rPr>
                <w:rFonts w:ascii="Arial" w:cs="Arial" w:eastAsia="Arial" w:hAnsi="Arial"/>
                <w:sz w:val="16"/>
                <w:szCs w:val="16"/>
                <w:color w:val="auto"/>
              </w:rPr>
              <w:t>300</w:t>
            </w:r>
          </w:p>
        </w:tc>
        <w:tc>
          <w:tcPr>
            <w:tcW w:w="1100" w:type="dxa"/>
            <w:vAlign w:val="bottom"/>
            <w:shd w:val="clear" w:color="auto" w:fill="B6DDE8"/>
          </w:tcPr>
          <w:p>
            <w:pPr>
              <w:jc w:val="right"/>
              <w:ind w:right="160"/>
              <w:spacing w:after="0"/>
              <w:rPr>
                <w:sz w:val="20"/>
                <w:szCs w:val="20"/>
                <w:color w:val="auto"/>
              </w:rPr>
            </w:pPr>
            <w:r>
              <w:rPr>
                <w:rFonts w:ascii="Arial" w:cs="Arial" w:eastAsia="Arial" w:hAnsi="Arial"/>
                <w:sz w:val="16"/>
                <w:szCs w:val="16"/>
                <w:color w:val="auto"/>
              </w:rPr>
              <w:t>58,969</w:t>
            </w:r>
          </w:p>
        </w:tc>
        <w:tc>
          <w:tcPr>
            <w:tcW w:w="40" w:type="dxa"/>
            <w:vAlign w:val="bottom"/>
            <w:tcBorders>
              <w:right w:val="single" w:sz="8" w:color="808080"/>
            </w:tcBorders>
          </w:tcPr>
          <w:p>
            <w:pPr>
              <w:spacing w:after="0"/>
              <w:rPr>
                <w:sz w:val="20"/>
                <w:szCs w:val="20"/>
                <w:color w:val="auto"/>
              </w:rPr>
            </w:pPr>
          </w:p>
        </w:tc>
      </w:tr>
      <w:tr>
        <w:trPr>
          <w:trHeight w:val="223"/>
        </w:trPr>
        <w:tc>
          <w:tcPr>
            <w:tcW w:w="3440" w:type="dxa"/>
            <w:vAlign w:val="bottom"/>
            <w:tcBorders>
              <w:left w:val="single" w:sz="8" w:color="808080"/>
              <w:bottom w:val="single" w:sz="8" w:color="auto"/>
            </w:tcBorders>
          </w:tcPr>
          <w:p>
            <w:pPr>
              <w:ind w:left="20"/>
              <w:spacing w:after="0"/>
              <w:rPr>
                <w:sz w:val="20"/>
                <w:szCs w:val="20"/>
                <w:color w:val="auto"/>
              </w:rPr>
            </w:pPr>
            <w:r>
              <w:rPr>
                <w:rFonts w:ascii="Arial" w:cs="Arial" w:eastAsia="Arial" w:hAnsi="Arial"/>
                <w:sz w:val="16"/>
                <w:szCs w:val="16"/>
                <w:color w:val="auto"/>
              </w:rPr>
              <w:t>Year ended December 31, 2010</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150,000</w:t>
            </w: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12,400</w:t>
            </w: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47,862</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2,425</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212,687</w:t>
            </w:r>
          </w:p>
        </w:tc>
        <w:tc>
          <w:tcPr>
            <w:tcW w:w="40" w:type="dxa"/>
            <w:vAlign w:val="bottom"/>
            <w:tcBorders>
              <w:right w:val="single" w:sz="8" w:color="808080"/>
            </w:tcBorders>
          </w:tcPr>
          <w:p>
            <w:pPr>
              <w:spacing w:after="0"/>
              <w:rPr>
                <w:sz w:val="19"/>
                <w:szCs w:val="19"/>
                <w:color w:val="auto"/>
              </w:rPr>
            </w:pPr>
          </w:p>
        </w:tc>
      </w:tr>
      <w:tr>
        <w:trPr>
          <w:trHeight w:val="206"/>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b w:val="1"/>
                <w:bCs w:val="1"/>
                <w:color w:val="auto"/>
                <w:w w:val="95"/>
              </w:rPr>
              <w:t xml:space="preserve">Narsi Narayanan </w:t>
            </w:r>
            <w:r>
              <w:rPr>
                <w:rFonts w:ascii="Arial" w:cs="Arial" w:eastAsia="Arial" w:hAnsi="Arial"/>
                <w:sz w:val="16"/>
                <w:szCs w:val="16"/>
                <w:color w:val="auto"/>
                <w:w w:val="95"/>
              </w:rPr>
              <w:t>– Vice President of Finance and</w:t>
            </w:r>
          </w:p>
        </w:tc>
        <w:tc>
          <w:tcPr>
            <w:tcW w:w="780" w:type="dxa"/>
            <w:vAlign w:val="bottom"/>
            <w:shd w:val="clear" w:color="auto" w:fill="B6DDE8"/>
          </w:tcPr>
          <w:p>
            <w:pPr>
              <w:spacing w:after="0"/>
              <w:rPr>
                <w:sz w:val="17"/>
                <w:szCs w:val="17"/>
                <w:color w:val="auto"/>
              </w:rPr>
            </w:pPr>
          </w:p>
        </w:tc>
        <w:tc>
          <w:tcPr>
            <w:tcW w:w="860" w:type="dxa"/>
            <w:vAlign w:val="bottom"/>
            <w:shd w:val="clear" w:color="auto" w:fill="B6DDE8"/>
          </w:tcPr>
          <w:p>
            <w:pPr>
              <w:spacing w:after="0"/>
              <w:rPr>
                <w:sz w:val="17"/>
                <w:szCs w:val="17"/>
                <w:color w:val="auto"/>
              </w:rPr>
            </w:pPr>
          </w:p>
        </w:tc>
        <w:tc>
          <w:tcPr>
            <w:tcW w:w="1180" w:type="dxa"/>
            <w:vAlign w:val="bottom"/>
            <w:shd w:val="clear" w:color="auto" w:fill="B6DDE8"/>
          </w:tcPr>
          <w:p>
            <w:pPr>
              <w:spacing w:after="0"/>
              <w:rPr>
                <w:sz w:val="17"/>
                <w:szCs w:val="17"/>
                <w:color w:val="auto"/>
              </w:rPr>
            </w:pPr>
          </w:p>
        </w:tc>
        <w:tc>
          <w:tcPr>
            <w:tcW w:w="260" w:type="dxa"/>
            <w:vAlign w:val="bottom"/>
            <w:shd w:val="clear" w:color="auto" w:fill="B6DDE8"/>
          </w:tcPr>
          <w:p>
            <w:pPr>
              <w:spacing w:after="0"/>
              <w:rPr>
                <w:sz w:val="17"/>
                <w:szCs w:val="17"/>
                <w:color w:val="auto"/>
              </w:rPr>
            </w:pPr>
          </w:p>
        </w:tc>
        <w:tc>
          <w:tcPr>
            <w:tcW w:w="700" w:type="dxa"/>
            <w:vAlign w:val="bottom"/>
            <w:shd w:val="clear" w:color="auto" w:fill="B6DDE8"/>
          </w:tcPr>
          <w:p>
            <w:pPr>
              <w:spacing w:after="0"/>
              <w:rPr>
                <w:sz w:val="17"/>
                <w:szCs w:val="17"/>
                <w:color w:val="auto"/>
              </w:rPr>
            </w:pPr>
          </w:p>
        </w:tc>
        <w:tc>
          <w:tcPr>
            <w:tcW w:w="1100" w:type="dxa"/>
            <w:vAlign w:val="bottom"/>
            <w:shd w:val="clear" w:color="auto" w:fill="B6DDE8"/>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r>
      <w:tr>
        <w:trPr>
          <w:trHeight w:val="226"/>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Corporate Secretary</w:t>
            </w:r>
          </w:p>
        </w:tc>
        <w:tc>
          <w:tcPr>
            <w:tcW w:w="780" w:type="dxa"/>
            <w:vAlign w:val="bottom"/>
            <w:shd w:val="clear" w:color="auto" w:fill="B6DDE8"/>
          </w:tcPr>
          <w:p>
            <w:pPr>
              <w:spacing w:after="0"/>
              <w:rPr>
                <w:sz w:val="19"/>
                <w:szCs w:val="19"/>
                <w:color w:val="auto"/>
              </w:rPr>
            </w:pPr>
          </w:p>
        </w:tc>
        <w:tc>
          <w:tcPr>
            <w:tcW w:w="860" w:type="dxa"/>
            <w:vAlign w:val="bottom"/>
            <w:shd w:val="clear" w:color="auto" w:fill="B6DDE8"/>
          </w:tcPr>
          <w:p>
            <w:pPr>
              <w:spacing w:after="0"/>
              <w:rPr>
                <w:sz w:val="19"/>
                <w:szCs w:val="19"/>
                <w:color w:val="auto"/>
              </w:rPr>
            </w:pPr>
          </w:p>
        </w:tc>
        <w:tc>
          <w:tcPr>
            <w:tcW w:w="1180" w:type="dxa"/>
            <w:vAlign w:val="bottom"/>
            <w:shd w:val="clear" w:color="auto" w:fill="B6DDE8"/>
          </w:tcPr>
          <w:p>
            <w:pPr>
              <w:spacing w:after="0"/>
              <w:rPr>
                <w:sz w:val="19"/>
                <w:szCs w:val="19"/>
                <w:color w:val="auto"/>
              </w:rPr>
            </w:pPr>
          </w:p>
        </w:tc>
        <w:tc>
          <w:tcPr>
            <w:tcW w:w="260" w:type="dxa"/>
            <w:vAlign w:val="bottom"/>
            <w:shd w:val="clear" w:color="auto" w:fill="B6DDE8"/>
          </w:tcPr>
          <w:p>
            <w:pPr>
              <w:spacing w:after="0"/>
              <w:rPr>
                <w:sz w:val="19"/>
                <w:szCs w:val="19"/>
                <w:color w:val="auto"/>
              </w:rPr>
            </w:pPr>
          </w:p>
        </w:tc>
        <w:tc>
          <w:tcPr>
            <w:tcW w:w="700" w:type="dxa"/>
            <w:vAlign w:val="bottom"/>
            <w:shd w:val="clear" w:color="auto" w:fill="B6DDE8"/>
          </w:tcPr>
          <w:p>
            <w:pPr>
              <w:spacing w:after="0"/>
              <w:rPr>
                <w:sz w:val="19"/>
                <w:szCs w:val="19"/>
                <w:color w:val="auto"/>
              </w:rPr>
            </w:pPr>
          </w:p>
        </w:tc>
        <w:tc>
          <w:tcPr>
            <w:tcW w:w="1100" w:type="dxa"/>
            <w:vAlign w:val="bottom"/>
            <w:shd w:val="clear" w:color="auto" w:fill="B6DDE8"/>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27"/>
        </w:trPr>
        <w:tc>
          <w:tcPr>
            <w:tcW w:w="344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Year ended December 31, 2011</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135,000</w:t>
            </w:r>
          </w:p>
        </w:tc>
        <w:tc>
          <w:tcPr>
            <w:tcW w:w="860" w:type="dxa"/>
            <w:vAlign w:val="bottom"/>
          </w:tcPr>
          <w:p>
            <w:pPr>
              <w:jc w:val="right"/>
              <w:ind w:right="141"/>
              <w:spacing w:after="0"/>
              <w:rPr>
                <w:sz w:val="20"/>
                <w:szCs w:val="20"/>
                <w:color w:val="auto"/>
              </w:rPr>
            </w:pPr>
            <w:r>
              <w:rPr>
                <w:rFonts w:ascii="Arial" w:cs="Arial" w:eastAsia="Arial" w:hAnsi="Arial"/>
                <w:sz w:val="16"/>
                <w:szCs w:val="16"/>
                <w:color w:val="auto"/>
              </w:rPr>
              <w:t>29,436</w:t>
            </w:r>
          </w:p>
        </w:tc>
        <w:tc>
          <w:tcPr>
            <w:tcW w:w="1180" w:type="dxa"/>
            <w:vAlign w:val="bottom"/>
          </w:tcPr>
          <w:p>
            <w:pPr>
              <w:jc w:val="right"/>
              <w:ind w:right="321"/>
              <w:spacing w:after="0"/>
              <w:rPr>
                <w:sz w:val="20"/>
                <w:szCs w:val="20"/>
                <w:color w:val="auto"/>
              </w:rPr>
            </w:pPr>
            <w:r>
              <w:rPr>
                <w:rFonts w:ascii="Arial" w:cs="Arial" w:eastAsia="Arial" w:hAnsi="Arial"/>
                <w:sz w:val="16"/>
                <w:szCs w:val="16"/>
                <w:color w:val="auto"/>
              </w:rPr>
              <w:t>52,090</w:t>
            </w:r>
          </w:p>
        </w:tc>
        <w:tc>
          <w:tcPr>
            <w:tcW w:w="260" w:type="dxa"/>
            <w:vAlign w:val="bottom"/>
          </w:tcPr>
          <w:p>
            <w:pPr>
              <w:spacing w:after="0"/>
              <w:rPr>
                <w:sz w:val="19"/>
                <w:szCs w:val="19"/>
                <w:color w:val="auto"/>
              </w:rPr>
            </w:pPr>
          </w:p>
        </w:tc>
        <w:tc>
          <w:tcPr>
            <w:tcW w:w="7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0"/>
              <w:spacing w:after="0"/>
              <w:rPr>
                <w:sz w:val="20"/>
                <w:szCs w:val="20"/>
                <w:color w:val="auto"/>
              </w:rPr>
            </w:pPr>
            <w:r>
              <w:rPr>
                <w:rFonts w:ascii="Arial" w:cs="Arial" w:eastAsia="Arial" w:hAnsi="Arial"/>
                <w:sz w:val="16"/>
                <w:szCs w:val="16"/>
                <w:color w:val="auto"/>
              </w:rPr>
              <w:t>216,526</w:t>
            </w:r>
          </w:p>
        </w:tc>
        <w:tc>
          <w:tcPr>
            <w:tcW w:w="40" w:type="dxa"/>
            <w:vAlign w:val="bottom"/>
            <w:tcBorders>
              <w:right w:val="single" w:sz="8" w:color="808080"/>
            </w:tcBorders>
          </w:tcPr>
          <w:p>
            <w:pPr>
              <w:spacing w:after="0"/>
              <w:rPr>
                <w:sz w:val="19"/>
                <w:szCs w:val="19"/>
                <w:color w:val="auto"/>
              </w:rPr>
            </w:pPr>
          </w:p>
        </w:tc>
      </w:tr>
      <w:tr>
        <w:trPr>
          <w:trHeight w:val="226"/>
        </w:trPr>
        <w:tc>
          <w:tcPr>
            <w:tcW w:w="3440" w:type="dxa"/>
            <w:vAlign w:val="bottom"/>
            <w:tcBorders>
              <w:left w:val="single" w:sz="8" w:color="808080"/>
              <w:bottom w:val="single" w:sz="8" w:color="auto"/>
            </w:tcBorders>
            <w:shd w:val="clear" w:color="auto" w:fill="B6DDE8"/>
          </w:tcPr>
          <w:p>
            <w:pPr>
              <w:ind w:left="20"/>
              <w:spacing w:after="0"/>
              <w:rPr>
                <w:sz w:val="20"/>
                <w:szCs w:val="20"/>
                <w:color w:val="auto"/>
              </w:rPr>
            </w:pPr>
            <w:r>
              <w:rPr>
                <w:rFonts w:ascii="Arial" w:cs="Arial" w:eastAsia="Arial" w:hAnsi="Arial"/>
                <w:sz w:val="16"/>
                <w:szCs w:val="16"/>
                <w:color w:val="auto"/>
              </w:rPr>
              <w:t>Year ended December 31, 2010</w:t>
            </w:r>
          </w:p>
        </w:tc>
        <w:tc>
          <w:tcPr>
            <w:tcW w:w="780" w:type="dxa"/>
            <w:vAlign w:val="bottom"/>
            <w:tcBorders>
              <w:bottom w:val="single" w:sz="8" w:color="auto"/>
            </w:tcBorders>
            <w:shd w:val="clear" w:color="auto" w:fill="B6DDE8"/>
          </w:tcPr>
          <w:p>
            <w:pPr>
              <w:jc w:val="right"/>
              <w:ind w:right="20"/>
              <w:spacing w:after="0"/>
              <w:rPr>
                <w:sz w:val="20"/>
                <w:szCs w:val="20"/>
                <w:color w:val="auto"/>
              </w:rPr>
            </w:pPr>
            <w:r>
              <w:rPr>
                <w:rFonts w:ascii="Arial" w:cs="Arial" w:eastAsia="Arial" w:hAnsi="Arial"/>
                <w:sz w:val="16"/>
                <w:szCs w:val="16"/>
                <w:color w:val="auto"/>
              </w:rPr>
              <w:t>122,500</w:t>
            </w:r>
          </w:p>
        </w:tc>
        <w:tc>
          <w:tcPr>
            <w:tcW w:w="860" w:type="dxa"/>
            <w:vAlign w:val="bottom"/>
            <w:tcBorders>
              <w:bottom w:val="single" w:sz="8" w:color="auto"/>
            </w:tcBorders>
            <w:shd w:val="clear" w:color="auto" w:fill="B6DDE8"/>
          </w:tcPr>
          <w:p>
            <w:pPr>
              <w:jc w:val="right"/>
              <w:ind w:right="141"/>
              <w:spacing w:after="0"/>
              <w:rPr>
                <w:sz w:val="20"/>
                <w:szCs w:val="20"/>
                <w:color w:val="auto"/>
              </w:rPr>
            </w:pPr>
            <w:r>
              <w:rPr>
                <w:rFonts w:ascii="Arial" w:cs="Arial" w:eastAsia="Arial" w:hAnsi="Arial"/>
                <w:sz w:val="16"/>
                <w:szCs w:val="16"/>
                <w:color w:val="auto"/>
              </w:rPr>
              <w:t>12,400</w:t>
            </w:r>
          </w:p>
        </w:tc>
        <w:tc>
          <w:tcPr>
            <w:tcW w:w="1180" w:type="dxa"/>
            <w:vAlign w:val="bottom"/>
            <w:tcBorders>
              <w:bottom w:val="single" w:sz="8" w:color="auto"/>
            </w:tcBorders>
            <w:shd w:val="clear" w:color="auto" w:fill="B6DDE8"/>
          </w:tcPr>
          <w:p>
            <w:pPr>
              <w:jc w:val="right"/>
              <w:ind w:right="321"/>
              <w:spacing w:after="0"/>
              <w:rPr>
                <w:sz w:val="20"/>
                <w:szCs w:val="20"/>
                <w:color w:val="auto"/>
              </w:rPr>
            </w:pPr>
            <w:r>
              <w:rPr>
                <w:rFonts w:ascii="Arial" w:cs="Arial" w:eastAsia="Arial" w:hAnsi="Arial"/>
                <w:sz w:val="16"/>
                <w:szCs w:val="16"/>
                <w:color w:val="auto"/>
              </w:rPr>
              <w:t>43,728</w:t>
            </w:r>
          </w:p>
        </w:tc>
        <w:tc>
          <w:tcPr>
            <w:tcW w:w="260" w:type="dxa"/>
            <w:vAlign w:val="bottom"/>
            <w:tcBorders>
              <w:bottom w:val="single" w:sz="8" w:color="auto"/>
            </w:tcBorders>
            <w:shd w:val="clear" w:color="auto" w:fill="B6DDE8"/>
          </w:tcPr>
          <w:p>
            <w:pPr>
              <w:spacing w:after="0"/>
              <w:rPr>
                <w:sz w:val="19"/>
                <w:szCs w:val="19"/>
                <w:color w:val="auto"/>
              </w:rPr>
            </w:pPr>
          </w:p>
        </w:tc>
        <w:tc>
          <w:tcPr>
            <w:tcW w:w="700" w:type="dxa"/>
            <w:vAlign w:val="bottom"/>
            <w:tcBorders>
              <w:bottom w:val="single" w:sz="8" w:color="auto"/>
            </w:tcBorders>
            <w:shd w:val="clear" w:color="auto" w:fill="B6DDE8"/>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B6DDE8"/>
          </w:tcPr>
          <w:p>
            <w:pPr>
              <w:jc w:val="right"/>
              <w:ind w:right="160"/>
              <w:spacing w:after="0"/>
              <w:rPr>
                <w:sz w:val="20"/>
                <w:szCs w:val="20"/>
                <w:color w:val="auto"/>
              </w:rPr>
            </w:pPr>
            <w:r>
              <w:rPr>
                <w:rFonts w:ascii="Arial" w:cs="Arial" w:eastAsia="Arial" w:hAnsi="Arial"/>
                <w:sz w:val="16"/>
                <w:szCs w:val="16"/>
                <w:color w:val="auto"/>
              </w:rPr>
              <w:t>178,628</w:t>
            </w:r>
          </w:p>
        </w:tc>
        <w:tc>
          <w:tcPr>
            <w:tcW w:w="40" w:type="dxa"/>
            <w:vAlign w:val="bottom"/>
            <w:tcBorders>
              <w:right w:val="single" w:sz="8" w:color="808080"/>
            </w:tcBorders>
          </w:tcPr>
          <w:p>
            <w:pPr>
              <w:spacing w:after="0"/>
              <w:rPr>
                <w:sz w:val="19"/>
                <w:szCs w:val="19"/>
                <w:color w:val="auto"/>
              </w:rPr>
            </w:pPr>
          </w:p>
        </w:tc>
      </w:tr>
      <w:tr>
        <w:trPr>
          <w:trHeight w:val="220"/>
        </w:trPr>
        <w:tc>
          <w:tcPr>
            <w:tcW w:w="3440" w:type="dxa"/>
            <w:vAlign w:val="bottom"/>
            <w:tcBorders>
              <w:left w:val="single" w:sz="8" w:color="808080"/>
            </w:tcBorders>
          </w:tcPr>
          <w:p>
            <w:pPr>
              <w:ind w:left="20"/>
              <w:spacing w:after="0"/>
              <w:rPr>
                <w:sz w:val="20"/>
                <w:szCs w:val="20"/>
                <w:color w:val="auto"/>
              </w:rPr>
            </w:pPr>
            <w:r>
              <w:rPr>
                <w:rFonts w:ascii="Arial" w:cs="Arial" w:eastAsia="Arial" w:hAnsi="Arial"/>
                <w:sz w:val="16"/>
                <w:szCs w:val="16"/>
                <w:b w:val="1"/>
                <w:bCs w:val="1"/>
                <w:color w:val="auto"/>
              </w:rPr>
              <w:t xml:space="preserve">Michael Braithwaite </w:t>
            </w:r>
            <w:r>
              <w:rPr>
                <w:rFonts w:ascii="Arial" w:cs="Arial" w:eastAsia="Arial" w:hAnsi="Arial"/>
                <w:sz w:val="16"/>
                <w:szCs w:val="16"/>
                <w:color w:val="auto"/>
              </w:rPr>
              <w:t>– Chief Strategy Officer</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39"/>
        </w:trPr>
        <w:tc>
          <w:tcPr>
            <w:tcW w:w="34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Year ended December 31, 2011</w:t>
            </w:r>
          </w:p>
        </w:tc>
        <w:tc>
          <w:tcPr>
            <w:tcW w:w="780" w:type="dxa"/>
            <w:vAlign w:val="bottom"/>
            <w:shd w:val="clear" w:color="auto" w:fill="B6DDE8"/>
          </w:tcPr>
          <w:p>
            <w:pPr>
              <w:jc w:val="right"/>
              <w:ind w:right="20"/>
              <w:spacing w:after="0"/>
              <w:rPr>
                <w:sz w:val="20"/>
                <w:szCs w:val="20"/>
                <w:color w:val="auto"/>
              </w:rPr>
            </w:pPr>
            <w:r>
              <w:rPr>
                <w:rFonts w:ascii="Arial" w:cs="Arial" w:eastAsia="Arial" w:hAnsi="Arial"/>
                <w:sz w:val="16"/>
                <w:szCs w:val="16"/>
                <w:color w:val="auto"/>
              </w:rPr>
              <w:t>155,000</w:t>
            </w:r>
          </w:p>
        </w:tc>
        <w:tc>
          <w:tcPr>
            <w:tcW w:w="860" w:type="dxa"/>
            <w:vAlign w:val="bottom"/>
            <w:shd w:val="clear" w:color="auto" w:fill="B6DDE8"/>
          </w:tcPr>
          <w:p>
            <w:pPr>
              <w:jc w:val="right"/>
              <w:ind w:right="141"/>
              <w:spacing w:after="0"/>
              <w:rPr>
                <w:sz w:val="20"/>
                <w:szCs w:val="20"/>
                <w:color w:val="auto"/>
              </w:rPr>
            </w:pPr>
            <w:r>
              <w:rPr>
                <w:rFonts w:ascii="Arial" w:cs="Arial" w:eastAsia="Arial" w:hAnsi="Arial"/>
                <w:sz w:val="16"/>
                <w:szCs w:val="16"/>
                <w:color w:val="auto"/>
              </w:rPr>
              <w:t>29,436</w:t>
            </w:r>
          </w:p>
        </w:tc>
        <w:tc>
          <w:tcPr>
            <w:tcW w:w="1180" w:type="dxa"/>
            <w:vAlign w:val="bottom"/>
            <w:shd w:val="clear" w:color="auto" w:fill="B6DDE8"/>
          </w:tcPr>
          <w:p>
            <w:pPr>
              <w:jc w:val="right"/>
              <w:ind w:right="321"/>
              <w:spacing w:after="0"/>
              <w:rPr>
                <w:sz w:val="20"/>
                <w:szCs w:val="20"/>
                <w:color w:val="auto"/>
              </w:rPr>
            </w:pPr>
            <w:r>
              <w:rPr>
                <w:rFonts w:ascii="Arial" w:cs="Arial" w:eastAsia="Arial" w:hAnsi="Arial"/>
                <w:sz w:val="16"/>
                <w:szCs w:val="16"/>
                <w:color w:val="auto"/>
              </w:rPr>
              <w:t>59,539</w:t>
            </w:r>
          </w:p>
        </w:tc>
        <w:tc>
          <w:tcPr>
            <w:tcW w:w="260" w:type="dxa"/>
            <w:vAlign w:val="bottom"/>
            <w:shd w:val="clear" w:color="auto" w:fill="B6DDE8"/>
          </w:tcPr>
          <w:p>
            <w:pPr>
              <w:spacing w:after="0"/>
              <w:rPr>
                <w:sz w:val="20"/>
                <w:szCs w:val="20"/>
                <w:color w:val="auto"/>
              </w:rPr>
            </w:pPr>
          </w:p>
        </w:tc>
        <w:tc>
          <w:tcPr>
            <w:tcW w:w="700" w:type="dxa"/>
            <w:vAlign w:val="bottom"/>
            <w:shd w:val="clear" w:color="auto" w:fill="B6DDE8"/>
          </w:tcPr>
          <w:p>
            <w:pPr>
              <w:jc w:val="right"/>
              <w:ind w:right="100"/>
              <w:spacing w:after="0"/>
              <w:rPr>
                <w:sz w:val="20"/>
                <w:szCs w:val="20"/>
                <w:color w:val="auto"/>
              </w:rPr>
            </w:pPr>
            <w:r>
              <w:rPr>
                <w:rFonts w:ascii="Arial" w:cs="Arial" w:eastAsia="Arial" w:hAnsi="Arial"/>
                <w:sz w:val="16"/>
                <w:szCs w:val="16"/>
                <w:color w:val="auto"/>
              </w:rPr>
              <w:t>2,200</w:t>
            </w:r>
          </w:p>
        </w:tc>
        <w:tc>
          <w:tcPr>
            <w:tcW w:w="1100" w:type="dxa"/>
            <w:vAlign w:val="bottom"/>
            <w:shd w:val="clear" w:color="auto" w:fill="B6DDE8"/>
          </w:tcPr>
          <w:p>
            <w:pPr>
              <w:jc w:val="right"/>
              <w:ind w:right="160"/>
              <w:spacing w:after="0"/>
              <w:rPr>
                <w:sz w:val="20"/>
                <w:szCs w:val="20"/>
                <w:color w:val="auto"/>
              </w:rPr>
            </w:pPr>
            <w:r>
              <w:rPr>
                <w:rFonts w:ascii="Arial" w:cs="Arial" w:eastAsia="Arial" w:hAnsi="Arial"/>
                <w:sz w:val="16"/>
                <w:szCs w:val="16"/>
                <w:color w:val="auto"/>
              </w:rPr>
              <w:t>246,175</w:t>
            </w:r>
          </w:p>
        </w:tc>
        <w:tc>
          <w:tcPr>
            <w:tcW w:w="40" w:type="dxa"/>
            <w:vAlign w:val="bottom"/>
            <w:tcBorders>
              <w:right w:val="single" w:sz="8" w:color="808080"/>
            </w:tcBorders>
          </w:tcPr>
          <w:p>
            <w:pPr>
              <w:spacing w:after="0"/>
              <w:rPr>
                <w:sz w:val="20"/>
                <w:szCs w:val="20"/>
                <w:color w:val="auto"/>
              </w:rPr>
            </w:pPr>
          </w:p>
        </w:tc>
      </w:tr>
      <w:tr>
        <w:trPr>
          <w:trHeight w:val="223"/>
        </w:trPr>
        <w:tc>
          <w:tcPr>
            <w:tcW w:w="3440" w:type="dxa"/>
            <w:vAlign w:val="bottom"/>
            <w:tcBorders>
              <w:left w:val="single" w:sz="8" w:color="808080"/>
              <w:bottom w:val="single" w:sz="8" w:color="auto"/>
            </w:tcBorders>
          </w:tcPr>
          <w:p>
            <w:pPr>
              <w:ind w:left="20"/>
              <w:spacing w:after="0"/>
              <w:rPr>
                <w:sz w:val="20"/>
                <w:szCs w:val="20"/>
                <w:color w:val="auto"/>
              </w:rPr>
            </w:pPr>
            <w:r>
              <w:rPr>
                <w:rFonts w:ascii="Arial" w:cs="Arial" w:eastAsia="Arial" w:hAnsi="Arial"/>
                <w:sz w:val="16"/>
                <w:szCs w:val="16"/>
                <w:color w:val="auto"/>
              </w:rPr>
              <w:t>Year ended December 31, 2010</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152,500</w:t>
            </w: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12,400</w:t>
            </w: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49,548</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9,275</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223,723</w:t>
            </w:r>
          </w:p>
        </w:tc>
        <w:tc>
          <w:tcPr>
            <w:tcW w:w="40" w:type="dxa"/>
            <w:vAlign w:val="bottom"/>
            <w:tcBorders>
              <w:right w:val="single" w:sz="8" w:color="808080"/>
            </w:tcBorders>
          </w:tcPr>
          <w:p>
            <w:pPr>
              <w:spacing w:after="0"/>
              <w:rPr>
                <w:sz w:val="19"/>
                <w:szCs w:val="19"/>
                <w:color w:val="auto"/>
              </w:rPr>
            </w:pPr>
          </w:p>
        </w:tc>
      </w:tr>
      <w:tr>
        <w:trPr>
          <w:trHeight w:val="20"/>
        </w:trPr>
        <w:tc>
          <w:tcPr>
            <w:tcW w:w="3440" w:type="dxa"/>
            <w:vAlign w:val="bottom"/>
            <w:tcBorders>
              <w:left w:val="single" w:sz="8" w:color="808080"/>
              <w:bottom w:val="single" w:sz="8" w:color="808080"/>
            </w:tcBorders>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164" w:lineRule="exact"/>
        <w:rPr>
          <w:sz w:val="20"/>
          <w:szCs w:val="20"/>
          <w:color w:val="auto"/>
        </w:rPr>
      </w:pPr>
    </w:p>
    <w:p>
      <w:pPr>
        <w:ind w:left="660" w:right="1839" w:hanging="598"/>
        <w:spacing w:after="0" w:line="247" w:lineRule="auto"/>
        <w:tabs>
          <w:tab w:leader="none" w:pos="633" w:val="left"/>
        </w:tabs>
        <w:numPr>
          <w:ilvl w:val="1"/>
          <w:numId w:val="9"/>
        </w:numPr>
        <w:rPr>
          <w:rFonts w:ascii="Arial" w:cs="Arial" w:eastAsia="Arial" w:hAnsi="Arial"/>
          <w:sz w:val="21"/>
          <w:szCs w:val="21"/>
          <w:color w:val="auto"/>
        </w:rPr>
      </w:pPr>
      <w:r>
        <w:rPr>
          <w:rFonts w:ascii="Arial" w:cs="Arial" w:eastAsia="Arial" w:hAnsi="Arial"/>
          <w:sz w:val="21"/>
          <w:szCs w:val="21"/>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21"/>
          <w:szCs w:val="21"/>
          <w:i w:val="1"/>
          <w:iCs w:val="1"/>
          <w:color w:val="auto"/>
        </w:rPr>
        <w:t xml:space="preserve">Compensation - Stock Compensation. </w:t>
      </w:r>
      <w:r>
        <w:rPr>
          <w:rFonts w:ascii="Arial" w:cs="Arial" w:eastAsia="Arial" w:hAnsi="Arial"/>
          <w:sz w:val="21"/>
          <w:szCs w:val="21"/>
          <w:color w:val="auto"/>
        </w:rPr>
        <w:t>The assumptions made in the valuation of our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option awards are disclosed in </w:t>
      </w:r>
      <w:r>
        <w:rPr>
          <w:rFonts w:ascii="Arial" w:cs="Arial" w:eastAsia="Arial" w:hAnsi="Arial"/>
          <w:sz w:val="21"/>
          <w:szCs w:val="21"/>
          <w:u w:val="single" w:color="auto"/>
          <w:color w:val="0000FF"/>
        </w:rPr>
        <w:t>Note 9 - Share Based Payments</w:t>
      </w:r>
      <w:r>
        <w:rPr>
          <w:rFonts w:ascii="Arial" w:cs="Arial" w:eastAsia="Arial" w:hAnsi="Arial"/>
          <w:sz w:val="21"/>
          <w:szCs w:val="21"/>
          <w:color w:val="auto"/>
        </w:rPr>
        <w:t xml:space="preserve"> in our Notes to Consolidated Financial Statements contained in our annual report on Form 10-K for the year ended December 31, 2011.</w:t>
      </w:r>
    </w:p>
    <w:p>
      <w:pPr>
        <w:spacing w:after="0" w:line="56" w:lineRule="exact"/>
        <w:rPr>
          <w:rFonts w:ascii="Arial" w:cs="Arial" w:eastAsia="Arial" w:hAnsi="Arial"/>
          <w:sz w:val="21"/>
          <w:szCs w:val="21"/>
          <w:color w:val="auto"/>
        </w:rPr>
      </w:pPr>
    </w:p>
    <w:p>
      <w:pPr>
        <w:ind w:left="660" w:right="1819" w:hanging="652"/>
        <w:spacing w:after="0" w:line="273" w:lineRule="auto"/>
        <w:tabs>
          <w:tab w:leader="none" w:pos="633" w:val="left"/>
        </w:tabs>
        <w:numPr>
          <w:ilvl w:val="0"/>
          <w:numId w:val="10"/>
        </w:numPr>
        <w:rPr>
          <w:rFonts w:ascii="Arial" w:cs="Arial" w:eastAsia="Arial" w:hAnsi="Arial"/>
          <w:sz w:val="19"/>
          <w:szCs w:val="19"/>
          <w:color w:val="auto"/>
        </w:rPr>
      </w:pPr>
      <w:r>
        <w:rPr>
          <w:rFonts w:ascii="Arial" w:cs="Arial" w:eastAsia="Arial" w:hAnsi="Arial"/>
          <w:sz w:val="19"/>
          <w:szCs w:val="19"/>
          <w:color w:val="auto"/>
        </w:rPr>
        <w:t>Non-Equity Incentive Plan Compensation is based upon the achievement of pre-determined quarterly goals, namely, quantitative financial goals comprising of revenue, gross margin and operating income, and non-quantitative performance goals. While quantitative financial goals are similar for all the executive officers, non-quantitative goals vary for each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Compensation under the non-equity incentive plan is calculated by assigning 70% weight to quantitative financial goals (with revenue, gross margin and operating income having equal share) and 30% to non-quantitative goals.</w:t>
      </w:r>
    </w:p>
    <w:p>
      <w:pPr>
        <w:sectPr>
          <w:pgSz w:w="11900" w:h="16838" w:orient="portrait"/>
          <w:cols w:equalWidth="0" w:num="1">
            <w:col w:w="10219"/>
          </w:cols>
          <w:pgMar w:left="240" w:top="36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0219"/>
          </w:cols>
          <w:pgMar w:left="240" w:top="361" w:right="1440" w:bottom="0" w:gutter="0" w:footer="0" w:header="0"/>
          <w:type w:val="continuous"/>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35114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Arial" w:cs="Arial" w:eastAsia="Arial" w:hAnsi="Arial"/>
          <w:sz w:val="19"/>
          <w:szCs w:val="19"/>
          <w:color w:val="auto"/>
        </w:rPr>
        <w:t>Of the amounts included above, Ms. Hakimoglu’s compensation for the year ended December</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31, 2011 included $64,628 for achieving financial goals and $29,325 for achieving non-</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quantitative goals, and for the year ended December 31, 2010 included $56,273 for</w:t>
      </w:r>
    </w:p>
    <w:p>
      <w:pPr>
        <w:ind w:left="660"/>
        <w:spacing w:after="0" w:line="232" w:lineRule="auto"/>
        <w:rPr>
          <w:sz w:val="20"/>
          <w:szCs w:val="20"/>
          <w:color w:val="auto"/>
        </w:rPr>
      </w:pPr>
      <w:r>
        <w:rPr>
          <w:rFonts w:ascii="Arial" w:cs="Arial" w:eastAsia="Arial" w:hAnsi="Arial"/>
          <w:sz w:val="22"/>
          <w:szCs w:val="22"/>
          <w:color w:val="auto"/>
        </w:rPr>
        <w:t>achieving financial goals and $17,250 for achieving non-quantitative goals. Mr.</w:t>
      </w:r>
    </w:p>
    <w:p>
      <w:pPr>
        <w:ind w:left="660"/>
        <w:spacing w:after="0"/>
        <w:rPr>
          <w:sz w:val="20"/>
          <w:szCs w:val="20"/>
          <w:color w:val="auto"/>
        </w:rPr>
      </w:pPr>
      <w:r>
        <w:rPr>
          <w:rFonts w:ascii="Arial" w:cs="Arial" w:eastAsia="Arial" w:hAnsi="Arial"/>
          <w:sz w:val="19"/>
          <w:szCs w:val="19"/>
          <w:color w:val="auto"/>
        </w:rPr>
        <w:t>Bathurst’s compensation for the year ended December 31, 2011 included $18,831 for</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achieving financial goals and $4,069 for achieving non-quantitative goals, and for the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year ended December 31, 2010 included $37,923 for achieving financial goals and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$9,939 for achieving non-quantitative goals. Mr. Narayanan’s compensation for the year</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ended December 31, 2011 included $37,934 for achieving financial goals and $14,156 for</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achieving non-quantitative goals, and for the year ended December 31, 2010 included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$33,030 for achieving financial goals and $10,698 for achieving non-quantitative goals.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Mr. Braithwaite’s compensation for the year ended December 31, 2011 included $43,554</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achieving financial goals and $15,985 for achieving non-quantitative goals, and for</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year ended December 31, 2010 included $37,923 for achieving financial goals and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$11,625 for achieving non-quantitative goals.</w:t>
      </w:r>
    </w:p>
    <w:p>
      <w:pPr>
        <w:spacing w:after="0" w:line="161" w:lineRule="exact"/>
        <w:rPr>
          <w:sz w:val="20"/>
          <w:szCs w:val="20"/>
          <w:color w:val="auto"/>
        </w:rPr>
      </w:pPr>
    </w:p>
    <w:p>
      <w:pPr>
        <w:ind w:left="660" w:right="2119" w:hanging="652"/>
        <w:spacing w:after="0" w:line="318" w:lineRule="auto"/>
        <w:tabs>
          <w:tab w:leader="none" w:pos="633"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amounts in the “All Other Compensation” column reflect the value of honorarium paid under a program to encourage the process of patenting process.</w:t>
      </w:r>
    </w:p>
    <w:p>
      <w:pPr>
        <w:spacing w:after="0" w:line="1" w:lineRule="exact"/>
        <w:rPr>
          <w:rFonts w:ascii="Arial" w:cs="Arial" w:eastAsia="Arial" w:hAnsi="Arial"/>
          <w:sz w:val="19"/>
          <w:szCs w:val="19"/>
          <w:color w:val="auto"/>
        </w:rPr>
      </w:pPr>
    </w:p>
    <w:p>
      <w:pPr>
        <w:ind w:left="620" w:hanging="612"/>
        <w:spacing w:after="0"/>
        <w:tabs>
          <w:tab w:leader="none" w:pos="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Mr. Bathurst left the company on May 13, 2011.</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85" w:lineRule="exact"/>
        <w:rPr>
          <w:sz w:val="20"/>
          <w:szCs w:val="20"/>
          <w:color w:val="auto"/>
        </w:rPr>
      </w:pPr>
    </w:p>
    <w:p>
      <w:pPr>
        <w:ind w:right="1919" w:firstLine="1297"/>
        <w:spacing w:after="0" w:line="251" w:lineRule="auto"/>
        <w:rPr>
          <w:sz w:val="20"/>
          <w:szCs w:val="20"/>
          <w:color w:val="auto"/>
        </w:rPr>
      </w:pPr>
      <w:r>
        <w:rPr>
          <w:rFonts w:ascii="Arial" w:cs="Arial" w:eastAsia="Arial" w:hAnsi="Arial"/>
          <w:sz w:val="22"/>
          <w:szCs w:val="22"/>
          <w:color w:val="auto"/>
        </w:rPr>
        <w:t>The following table provides information on the holdings of stock options by the named executive officers as of December 31, 2011.</w:t>
      </w:r>
    </w:p>
    <w:p>
      <w:pPr>
        <w:spacing w:after="0" w:line="63" w:lineRule="exact"/>
        <w:rPr>
          <w:sz w:val="20"/>
          <w:szCs w:val="20"/>
          <w:color w:val="auto"/>
        </w:rPr>
      </w:pPr>
    </w:p>
    <w:tbl>
      <w:tblPr>
        <w:tblLayout w:type="fixed"/>
        <w:tblInd w:w="30" w:type="dxa"/>
        <w:tblCellMar>
          <w:top w:w="0" w:type="dxa"/>
          <w:left w:w="0" w:type="dxa"/>
          <w:bottom w:w="0" w:type="dxa"/>
          <w:right w:w="0" w:type="dxa"/>
        </w:tblCellMar>
      </w:tblPr>
      <w:tr>
        <w:trPr>
          <w:trHeight w:val="489"/>
        </w:trPr>
        <w:tc>
          <w:tcPr>
            <w:tcW w:w="1580" w:type="dxa"/>
            <w:vAlign w:val="bottom"/>
            <w:tcBorders>
              <w:top w:val="single" w:sz="8" w:color="808080"/>
              <w:left w:val="single" w:sz="8" w:color="808080"/>
            </w:tcBorders>
          </w:tcPr>
          <w:p>
            <w:pPr>
              <w:spacing w:after="0"/>
              <w:rPr>
                <w:sz w:val="24"/>
                <w:szCs w:val="24"/>
                <w:color w:val="auto"/>
              </w:rPr>
            </w:pPr>
          </w:p>
        </w:tc>
        <w:tc>
          <w:tcPr>
            <w:tcW w:w="200" w:type="dxa"/>
            <w:vAlign w:val="bottom"/>
            <w:tcBorders>
              <w:top w:val="single" w:sz="8" w:color="808080"/>
            </w:tcBorders>
          </w:tcPr>
          <w:p>
            <w:pPr>
              <w:spacing w:after="0"/>
              <w:rPr>
                <w:sz w:val="24"/>
                <w:szCs w:val="24"/>
                <w:color w:val="auto"/>
              </w:rPr>
            </w:pPr>
          </w:p>
        </w:tc>
        <w:tc>
          <w:tcPr>
            <w:tcW w:w="146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Borders>
              <w:top w:val="single" w:sz="8" w:color="808080"/>
            </w:tcBorders>
          </w:tcPr>
          <w:p>
            <w:pPr>
              <w:spacing w:after="0"/>
              <w:rPr>
                <w:sz w:val="24"/>
                <w:szCs w:val="24"/>
                <w:color w:val="auto"/>
              </w:rPr>
            </w:pPr>
          </w:p>
        </w:tc>
        <w:tc>
          <w:tcPr>
            <w:tcW w:w="1320" w:type="dxa"/>
            <w:vAlign w:val="bottom"/>
            <w:tcBorders>
              <w:top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20" w:type="dxa"/>
            <w:vAlign w:val="bottom"/>
            <w:tcBorders>
              <w:top w:val="single" w:sz="8" w:color="808080"/>
            </w:tcBorders>
          </w:tcPr>
          <w:p>
            <w:pPr>
              <w:spacing w:after="0"/>
              <w:rPr>
                <w:sz w:val="24"/>
                <w:szCs w:val="24"/>
                <w:color w:val="auto"/>
              </w:rPr>
            </w:pPr>
          </w:p>
        </w:tc>
        <w:tc>
          <w:tcPr>
            <w:tcW w:w="80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Borders>
              <w:top w:val="single" w:sz="8" w:color="808080"/>
            </w:tcBorders>
          </w:tcPr>
          <w:p>
            <w:pPr>
              <w:spacing w:after="0"/>
              <w:rPr>
                <w:sz w:val="24"/>
                <w:szCs w:val="24"/>
                <w:color w:val="auto"/>
              </w:rPr>
            </w:pPr>
          </w:p>
        </w:tc>
        <w:tc>
          <w:tcPr>
            <w:tcW w:w="82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Borders>
              <w:top w:val="single" w:sz="8" w:color="808080"/>
            </w:tcBorders>
          </w:tcPr>
          <w:p>
            <w:pPr>
              <w:spacing w:after="0"/>
              <w:rPr>
                <w:sz w:val="24"/>
                <w:szCs w:val="24"/>
                <w:color w:val="auto"/>
              </w:rPr>
            </w:pPr>
          </w:p>
        </w:tc>
        <w:tc>
          <w:tcPr>
            <w:tcW w:w="1100" w:type="dxa"/>
            <w:vAlign w:val="bottom"/>
            <w:tcBorders>
              <w:top w:val="single" w:sz="8" w:color="808080"/>
              <w:right w:val="single" w:sz="8" w:color="808080"/>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1580" w:type="dxa"/>
            <w:vAlign w:val="bottom"/>
            <w:tcBorders>
              <w:left w:val="single" w:sz="8" w:color="808080"/>
            </w:tcBorders>
            <w:vMerge w:val="restart"/>
          </w:tcPr>
          <w:p>
            <w:pPr>
              <w:ind w:left="62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right w:val="single" w:sz="8" w:color="808080"/>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Borders>
              <w:left w:val="single" w:sz="8" w:color="808080"/>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12"/>
                <w:szCs w:val="12"/>
                <w:color w:val="auto"/>
              </w:rPr>
            </w:pPr>
          </w:p>
        </w:tc>
        <w:tc>
          <w:tcPr>
            <w:tcW w:w="1100" w:type="dxa"/>
            <w:vAlign w:val="bottom"/>
            <w:tcBorders>
              <w:right w:val="single" w:sz="8" w:color="808080"/>
            </w:tcBorders>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86"/>
        </w:trPr>
        <w:tc>
          <w:tcPr>
            <w:tcW w:w="1580" w:type="dxa"/>
            <w:vAlign w:val="bottom"/>
            <w:tcBorders>
              <w:left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 xml:space="preserve">Unexercisable </w:t>
            </w:r>
            <w:r>
              <w:rPr>
                <w:rFonts w:ascii="Arial" w:cs="Arial" w:eastAsia="Arial" w:hAnsi="Arial"/>
                <w:sz w:val="30"/>
                <w:szCs w:val="30"/>
                <w:b w:val="1"/>
                <w:bCs w:val="1"/>
                <w:color w:val="auto"/>
                <w:w w:val="85"/>
                <w:vertAlign w:val="superscript"/>
              </w:rPr>
              <w:t>(1)</w:t>
            </w: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80" w:type="dxa"/>
            <w:vAlign w:val="bottom"/>
            <w:tcBorders>
              <w:left w:val="single" w:sz="8" w:color="808080"/>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80" w:type="dxa"/>
            <w:vAlign w:val="bottom"/>
            <w:tcBorders>
              <w:left w:val="single" w:sz="8" w:color="808080"/>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58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Zee Hakimoglu</w:t>
            </w:r>
          </w:p>
        </w:tc>
        <w:tc>
          <w:tcPr>
            <w:tcW w:w="166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50,000</w:t>
            </w:r>
          </w:p>
        </w:tc>
        <w:tc>
          <w:tcPr>
            <w:tcW w:w="1520" w:type="dxa"/>
            <w:vAlign w:val="bottom"/>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$ 6.40</w:t>
            </w:r>
          </w:p>
        </w:tc>
        <w:tc>
          <w:tcPr>
            <w:tcW w:w="102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03-24-04</w:t>
            </w:r>
          </w:p>
        </w:tc>
        <w:tc>
          <w:tcPr>
            <w:tcW w:w="126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03-24-14</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808080"/>
            </w:tcBorders>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100,000</w:t>
            </w:r>
          </w:p>
        </w:tc>
        <w:tc>
          <w:tcPr>
            <w:tcW w:w="152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5.55</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07-26-04</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07-26-14</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80" w:type="dxa"/>
            <w:vAlign w:val="bottom"/>
            <w:tcBorders>
              <w:left w:val="single" w:sz="8" w:color="808080"/>
            </w:tcBorders>
            <w:shd w:val="clear" w:color="auto" w:fill="B6DDE8"/>
          </w:tcPr>
          <w:p>
            <w:pPr>
              <w:spacing w:after="0"/>
              <w:rPr>
                <w:sz w:val="20"/>
                <w:szCs w:val="20"/>
                <w:color w:val="auto"/>
              </w:rPr>
            </w:pPr>
          </w:p>
        </w:tc>
        <w:tc>
          <w:tcPr>
            <w:tcW w:w="166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150,000</w:t>
            </w:r>
          </w:p>
        </w:tc>
        <w:tc>
          <w:tcPr>
            <w:tcW w:w="1520" w:type="dxa"/>
            <w:vAlign w:val="bottom"/>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3.65</w:t>
            </w:r>
          </w:p>
        </w:tc>
        <w:tc>
          <w:tcPr>
            <w:tcW w:w="102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09-18-06</w:t>
            </w:r>
          </w:p>
        </w:tc>
        <w:tc>
          <w:tcPr>
            <w:tcW w:w="126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09-18-16</w:t>
            </w:r>
          </w:p>
        </w:tc>
        <w:tc>
          <w:tcPr>
            <w:tcW w:w="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808080"/>
            </w:tcBorders>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150,000</w:t>
            </w:r>
          </w:p>
        </w:tc>
        <w:tc>
          <w:tcPr>
            <w:tcW w:w="152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6.15</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08-14-07</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08-14-17</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80" w:type="dxa"/>
            <w:vAlign w:val="bottom"/>
            <w:tcBorders>
              <w:left w:val="single" w:sz="8" w:color="808080"/>
            </w:tcBorders>
            <w:shd w:val="clear" w:color="auto" w:fill="B6DDE8"/>
          </w:tcPr>
          <w:p>
            <w:pPr>
              <w:spacing w:after="0"/>
              <w:rPr>
                <w:sz w:val="20"/>
                <w:szCs w:val="20"/>
                <w:color w:val="auto"/>
              </w:rPr>
            </w:pPr>
          </w:p>
        </w:tc>
        <w:tc>
          <w:tcPr>
            <w:tcW w:w="166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50,000</w:t>
            </w:r>
          </w:p>
        </w:tc>
        <w:tc>
          <w:tcPr>
            <w:tcW w:w="1520" w:type="dxa"/>
            <w:vAlign w:val="bottom"/>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4.03</w:t>
            </w:r>
          </w:p>
        </w:tc>
        <w:tc>
          <w:tcPr>
            <w:tcW w:w="102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11-14-08</w:t>
            </w:r>
          </w:p>
        </w:tc>
        <w:tc>
          <w:tcPr>
            <w:tcW w:w="126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11-14-18</w:t>
            </w:r>
          </w:p>
        </w:tc>
        <w:tc>
          <w:tcPr>
            <w:tcW w:w="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808080"/>
            </w:tcBorders>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5,277</w:t>
            </w:r>
          </w:p>
        </w:tc>
        <w:tc>
          <w:tcPr>
            <w:tcW w:w="1520" w:type="dxa"/>
            <w:vAlign w:val="bottom"/>
            <w:gridSpan w:val="2"/>
          </w:tcPr>
          <w:p>
            <w:pPr>
              <w:jc w:val="right"/>
              <w:ind w:right="188"/>
              <w:spacing w:after="0"/>
              <w:rPr>
                <w:sz w:val="20"/>
                <w:szCs w:val="20"/>
                <w:color w:val="auto"/>
              </w:rPr>
            </w:pPr>
            <w:r>
              <w:rPr>
                <w:rFonts w:ascii="Arial" w:cs="Arial" w:eastAsia="Arial" w:hAnsi="Arial"/>
                <w:sz w:val="16"/>
                <w:szCs w:val="16"/>
                <w:color w:val="auto"/>
              </w:rPr>
              <w:t>4,723</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3.00</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05-26-10</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05-26-20</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580" w:type="dxa"/>
            <w:vAlign w:val="bottom"/>
            <w:tcBorders>
              <w:left w:val="single" w:sz="8" w:color="808080"/>
              <w:bottom w:val="single" w:sz="8" w:color="auto"/>
            </w:tcBorders>
            <w:shd w:val="clear" w:color="auto" w:fill="B6DDE8"/>
          </w:tcPr>
          <w:p>
            <w:pPr>
              <w:spacing w:after="0"/>
              <w:rPr>
                <w:sz w:val="19"/>
                <w:szCs w:val="19"/>
                <w:color w:val="auto"/>
              </w:rPr>
            </w:pPr>
          </w:p>
        </w:tc>
        <w:tc>
          <w:tcPr>
            <w:tcW w:w="1660" w:type="dxa"/>
            <w:vAlign w:val="bottom"/>
            <w:tcBorders>
              <w:bottom w:val="single" w:sz="8" w:color="auto"/>
            </w:tcBorders>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10,000</w:t>
            </w:r>
          </w:p>
        </w:tc>
        <w:tc>
          <w:tcPr>
            <w:tcW w:w="1020" w:type="dxa"/>
            <w:vAlign w:val="bottom"/>
            <w:tcBorders>
              <w:bottom w:val="single" w:sz="8" w:color="auto"/>
            </w:tcBorders>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5.48</w:t>
            </w:r>
          </w:p>
        </w:tc>
        <w:tc>
          <w:tcPr>
            <w:tcW w:w="1020" w:type="dxa"/>
            <w:vAlign w:val="bottom"/>
            <w:tcBorders>
              <w:bottom w:val="single" w:sz="8" w:color="auto"/>
            </w:tcBorders>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08-05-11</w:t>
            </w:r>
          </w:p>
        </w:tc>
        <w:tc>
          <w:tcPr>
            <w:tcW w:w="1260" w:type="dxa"/>
            <w:vAlign w:val="bottom"/>
            <w:tcBorders>
              <w:bottom w:val="single" w:sz="8" w:color="auto"/>
            </w:tcBorders>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08-05-21</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Narsi Narayanan</w:t>
            </w: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23,333</w:t>
            </w:r>
          </w:p>
        </w:tc>
        <w:tc>
          <w:tcPr>
            <w:tcW w:w="1520" w:type="dxa"/>
            <w:vAlign w:val="bottom"/>
            <w:gridSpan w:val="2"/>
          </w:tcPr>
          <w:p>
            <w:pPr>
              <w:jc w:val="right"/>
              <w:ind w:right="188"/>
              <w:spacing w:after="0"/>
              <w:rPr>
                <w:sz w:val="20"/>
                <w:szCs w:val="20"/>
                <w:color w:val="auto"/>
              </w:rPr>
            </w:pPr>
            <w:r>
              <w:rPr>
                <w:rFonts w:ascii="Arial" w:cs="Arial" w:eastAsia="Arial" w:hAnsi="Arial"/>
                <w:sz w:val="16"/>
                <w:szCs w:val="16"/>
                <w:color w:val="auto"/>
              </w:rPr>
              <w:t>6,667</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2.78</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08-27-09</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08-27-19</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580" w:type="dxa"/>
            <w:vAlign w:val="bottom"/>
            <w:tcBorders>
              <w:left w:val="single" w:sz="8" w:color="808080"/>
            </w:tcBorders>
            <w:shd w:val="clear" w:color="auto" w:fill="B6DDE8"/>
          </w:tcPr>
          <w:p>
            <w:pPr>
              <w:spacing w:after="0"/>
              <w:rPr>
                <w:sz w:val="20"/>
                <w:szCs w:val="20"/>
                <w:color w:val="auto"/>
              </w:rPr>
            </w:pPr>
          </w:p>
        </w:tc>
        <w:tc>
          <w:tcPr>
            <w:tcW w:w="166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5,277</w:t>
            </w:r>
          </w:p>
        </w:tc>
        <w:tc>
          <w:tcPr>
            <w:tcW w:w="1520" w:type="dxa"/>
            <w:vAlign w:val="bottom"/>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4,723</w:t>
            </w:r>
          </w:p>
        </w:tc>
        <w:tc>
          <w:tcPr>
            <w:tcW w:w="10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3.00</w:t>
            </w:r>
          </w:p>
        </w:tc>
        <w:tc>
          <w:tcPr>
            <w:tcW w:w="102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05-26-10</w:t>
            </w:r>
          </w:p>
        </w:tc>
        <w:tc>
          <w:tcPr>
            <w:tcW w:w="126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05-26-20</w:t>
            </w:r>
          </w:p>
        </w:tc>
        <w:tc>
          <w:tcPr>
            <w:tcW w:w="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tcBorders>
              <w:left w:val="single" w:sz="8" w:color="808080"/>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6"/>
                <w:szCs w:val="16"/>
                <w:color w:val="auto"/>
              </w:rPr>
              <w:t>10,000</w:t>
            </w:r>
          </w:p>
        </w:tc>
        <w:tc>
          <w:tcPr>
            <w:tcW w:w="10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6"/>
                <w:szCs w:val="16"/>
                <w:color w:val="auto"/>
              </w:rPr>
              <w:t>5.48</w:t>
            </w:r>
          </w:p>
        </w:tc>
        <w:tc>
          <w:tcPr>
            <w:tcW w:w="102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6"/>
                <w:szCs w:val="16"/>
                <w:color w:val="auto"/>
                <w:w w:val="90"/>
              </w:rPr>
              <w:t>08-05-11</w:t>
            </w:r>
          </w:p>
        </w:tc>
        <w:tc>
          <w:tcPr>
            <w:tcW w:w="126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6"/>
                <w:szCs w:val="16"/>
                <w:color w:val="auto"/>
                <w:w w:val="90"/>
              </w:rPr>
              <w:t>08-05-21</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Michael Braithwaite</w:t>
            </w:r>
          </w:p>
        </w:tc>
        <w:tc>
          <w:tcPr>
            <w:tcW w:w="166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10,833</w:t>
            </w:r>
          </w:p>
        </w:tc>
        <w:tc>
          <w:tcPr>
            <w:tcW w:w="1520" w:type="dxa"/>
            <w:vAlign w:val="bottom"/>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19,167</w:t>
            </w:r>
          </w:p>
        </w:tc>
        <w:tc>
          <w:tcPr>
            <w:tcW w:w="10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2.65</w:t>
            </w:r>
          </w:p>
        </w:tc>
        <w:tc>
          <w:tcPr>
            <w:tcW w:w="102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11-30-09</w:t>
            </w:r>
          </w:p>
        </w:tc>
        <w:tc>
          <w:tcPr>
            <w:tcW w:w="1260" w:type="dxa"/>
            <w:vAlign w:val="bottom"/>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11-30-19</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808080"/>
            </w:tcBorders>
          </w:tcPr>
          <w:p>
            <w:pPr>
              <w:spacing w:after="0"/>
              <w:rPr>
                <w:sz w:val="19"/>
                <w:szCs w:val="19"/>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6"/>
                <w:szCs w:val="16"/>
                <w:color w:val="auto"/>
              </w:rPr>
              <w:t>5,277</w:t>
            </w:r>
          </w:p>
        </w:tc>
        <w:tc>
          <w:tcPr>
            <w:tcW w:w="1520" w:type="dxa"/>
            <w:vAlign w:val="bottom"/>
            <w:gridSpan w:val="2"/>
          </w:tcPr>
          <w:p>
            <w:pPr>
              <w:jc w:val="right"/>
              <w:ind w:right="188"/>
              <w:spacing w:after="0"/>
              <w:rPr>
                <w:sz w:val="20"/>
                <w:szCs w:val="20"/>
                <w:color w:val="auto"/>
              </w:rPr>
            </w:pPr>
            <w:r>
              <w:rPr>
                <w:rFonts w:ascii="Arial" w:cs="Arial" w:eastAsia="Arial" w:hAnsi="Arial"/>
                <w:sz w:val="16"/>
                <w:szCs w:val="16"/>
                <w:color w:val="auto"/>
              </w:rPr>
              <w:t>4,723</w:t>
            </w:r>
          </w:p>
        </w:tc>
        <w:tc>
          <w:tcPr>
            <w:tcW w:w="1020" w:type="dxa"/>
            <w:vAlign w:val="bottom"/>
            <w:gridSpan w:val="2"/>
          </w:tcPr>
          <w:p>
            <w:pPr>
              <w:jc w:val="right"/>
              <w:ind w:right="228"/>
              <w:spacing w:after="0"/>
              <w:rPr>
                <w:sz w:val="20"/>
                <w:szCs w:val="20"/>
                <w:color w:val="auto"/>
              </w:rPr>
            </w:pPr>
            <w:r>
              <w:rPr>
                <w:rFonts w:ascii="Arial" w:cs="Arial" w:eastAsia="Arial" w:hAnsi="Arial"/>
                <w:sz w:val="16"/>
                <w:szCs w:val="16"/>
                <w:color w:val="auto"/>
              </w:rPr>
              <w:t>3.00</w:t>
            </w:r>
          </w:p>
        </w:tc>
        <w:tc>
          <w:tcPr>
            <w:tcW w:w="10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05-26-10</w:t>
            </w:r>
          </w:p>
        </w:tc>
        <w:tc>
          <w:tcPr>
            <w:tcW w:w="12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05-26-20</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580" w:type="dxa"/>
            <w:vAlign w:val="bottom"/>
            <w:tcBorders>
              <w:left w:val="single" w:sz="8" w:color="808080"/>
              <w:bottom w:val="single" w:sz="8" w:color="auto"/>
            </w:tcBorders>
            <w:shd w:val="clear" w:color="auto" w:fill="B6DDE8"/>
          </w:tcPr>
          <w:p>
            <w:pPr>
              <w:spacing w:after="0"/>
              <w:rPr>
                <w:sz w:val="19"/>
                <w:szCs w:val="19"/>
                <w:color w:val="auto"/>
              </w:rPr>
            </w:pPr>
          </w:p>
        </w:tc>
        <w:tc>
          <w:tcPr>
            <w:tcW w:w="1660" w:type="dxa"/>
            <w:vAlign w:val="bottom"/>
            <w:tcBorders>
              <w:bottom w:val="single" w:sz="8" w:color="auto"/>
            </w:tcBorders>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shd w:val="clear" w:color="auto" w:fill="B6DDE8"/>
          </w:tcPr>
          <w:p>
            <w:pPr>
              <w:jc w:val="right"/>
              <w:ind w:right="188"/>
              <w:spacing w:after="0"/>
              <w:rPr>
                <w:sz w:val="20"/>
                <w:szCs w:val="20"/>
                <w:color w:val="auto"/>
              </w:rPr>
            </w:pPr>
            <w:r>
              <w:rPr>
                <w:rFonts w:ascii="Arial" w:cs="Arial" w:eastAsia="Arial" w:hAnsi="Arial"/>
                <w:sz w:val="16"/>
                <w:szCs w:val="16"/>
                <w:color w:val="auto"/>
              </w:rPr>
              <w:t>10,000</w:t>
            </w:r>
          </w:p>
        </w:tc>
        <w:tc>
          <w:tcPr>
            <w:tcW w:w="1020" w:type="dxa"/>
            <w:vAlign w:val="bottom"/>
            <w:tcBorders>
              <w:bottom w:val="single" w:sz="8" w:color="auto"/>
            </w:tcBorders>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5.48</w:t>
            </w:r>
          </w:p>
        </w:tc>
        <w:tc>
          <w:tcPr>
            <w:tcW w:w="1020" w:type="dxa"/>
            <w:vAlign w:val="bottom"/>
            <w:tcBorders>
              <w:bottom w:val="single" w:sz="8" w:color="auto"/>
            </w:tcBorders>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08-05-11</w:t>
            </w:r>
          </w:p>
        </w:tc>
        <w:tc>
          <w:tcPr>
            <w:tcW w:w="1260" w:type="dxa"/>
            <w:vAlign w:val="bottom"/>
            <w:tcBorders>
              <w:bottom w:val="single" w:sz="8" w:color="auto"/>
            </w:tcBorders>
            <w:gridSpan w:val="2"/>
            <w:shd w:val="clear" w:color="auto" w:fill="B6DDE8"/>
          </w:tcPr>
          <w:p>
            <w:pPr>
              <w:jc w:val="center"/>
              <w:ind w:left="119"/>
              <w:spacing w:after="0"/>
              <w:rPr>
                <w:sz w:val="20"/>
                <w:szCs w:val="20"/>
                <w:color w:val="auto"/>
              </w:rPr>
            </w:pPr>
            <w:r>
              <w:rPr>
                <w:rFonts w:ascii="Arial" w:cs="Arial" w:eastAsia="Arial" w:hAnsi="Arial"/>
                <w:sz w:val="16"/>
                <w:szCs w:val="16"/>
                <w:color w:val="auto"/>
                <w:w w:val="90"/>
              </w:rPr>
              <w:t>08-05-21</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Borders>
              <w:left w:val="single" w:sz="8" w:color="808080"/>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46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Unvested options vest monthly over a three year period beginning on the date of grant.</w:t>
      </w:r>
    </w:p>
    <w:p>
      <w:pPr>
        <w:spacing w:after="0" w:line="262" w:lineRule="exact"/>
        <w:rPr>
          <w:sz w:val="20"/>
          <w:szCs w:val="20"/>
          <w:color w:val="auto"/>
        </w:rPr>
      </w:pPr>
    </w:p>
    <w:p>
      <w:pPr>
        <w:jc w:val="center"/>
        <w:ind w:right="1739"/>
        <w:spacing w:after="0"/>
        <w:rPr>
          <w:sz w:val="20"/>
          <w:szCs w:val="20"/>
          <w:color w:val="auto"/>
        </w:rPr>
      </w:pPr>
      <w:r>
        <w:rPr>
          <w:rFonts w:ascii="Arial" w:cs="Arial" w:eastAsia="Arial" w:hAnsi="Arial"/>
          <w:sz w:val="22"/>
          <w:szCs w:val="22"/>
          <w:b w:val="1"/>
          <w:bCs w:val="1"/>
          <w:color w:val="auto"/>
        </w:rPr>
        <w:t>Option Exercises</w:t>
      </w:r>
    </w:p>
    <w:p>
      <w:pPr>
        <w:spacing w:after="0" w:line="185" w:lineRule="exact"/>
        <w:rPr>
          <w:sz w:val="20"/>
          <w:szCs w:val="20"/>
          <w:color w:val="auto"/>
        </w:rPr>
      </w:pPr>
    </w:p>
    <w:p>
      <w:pPr>
        <w:ind w:right="2299" w:firstLine="648"/>
        <w:spacing w:after="0" w:line="251" w:lineRule="auto"/>
        <w:rPr>
          <w:sz w:val="20"/>
          <w:szCs w:val="20"/>
          <w:color w:val="auto"/>
        </w:rPr>
      </w:pPr>
      <w:r>
        <w:rPr>
          <w:rFonts w:ascii="Arial" w:cs="Arial" w:eastAsia="Arial" w:hAnsi="Arial"/>
          <w:sz w:val="22"/>
          <w:szCs w:val="22"/>
          <w:color w:val="auto"/>
        </w:rPr>
        <w:t>The following table provides information on the exercise of stock options by named executive officers during the year ended December 31, 2011.</w:t>
      </w:r>
    </w:p>
    <w:p>
      <w:pPr>
        <w:spacing w:after="0" w:line="158" w:lineRule="exact"/>
        <w:rPr>
          <w:sz w:val="20"/>
          <w:szCs w:val="20"/>
          <w:color w:val="auto"/>
        </w:rPr>
      </w:pPr>
    </w:p>
    <w:tbl>
      <w:tblPr>
        <w:tblLayout w:type="fixed"/>
        <w:tblInd w:w="30" w:type="dxa"/>
        <w:tblCellMar>
          <w:top w:w="0" w:type="dxa"/>
          <w:left w:w="0" w:type="dxa"/>
          <w:bottom w:w="0" w:type="dxa"/>
          <w:right w:w="0" w:type="dxa"/>
        </w:tblCellMar>
      </w:tblPr>
      <w:tr>
        <w:trPr>
          <w:trHeight w:val="156"/>
        </w:trPr>
        <w:tc>
          <w:tcPr>
            <w:tcW w:w="2180" w:type="dxa"/>
            <w:vAlign w:val="bottom"/>
            <w:tcBorders>
              <w:top w:val="single" w:sz="8" w:color="808080"/>
              <w:left w:val="single" w:sz="8" w:color="808080"/>
            </w:tcBorders>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300" w:type="dxa"/>
            <w:vAlign w:val="bottom"/>
            <w:tcBorders>
              <w:top w:val="single" w:sz="8" w:color="808080"/>
            </w:tcBorders>
          </w:tcPr>
          <w:p>
            <w:pPr>
              <w:spacing w:after="0"/>
              <w:rPr>
                <w:sz w:val="13"/>
                <w:szCs w:val="13"/>
                <w:color w:val="auto"/>
              </w:rPr>
            </w:pPr>
          </w:p>
        </w:tc>
        <w:tc>
          <w:tcPr>
            <w:tcW w:w="2040" w:type="dxa"/>
            <w:vAlign w:val="bottom"/>
            <w:tcBorders>
              <w:top w:val="single" w:sz="8" w:color="808080"/>
            </w:tcBorders>
          </w:tcPr>
          <w:p>
            <w:pPr>
              <w:jc w:val="center"/>
              <w:spacing w:after="0" w:line="156" w:lineRule="exact"/>
              <w:rPr>
                <w:sz w:val="20"/>
                <w:szCs w:val="20"/>
                <w:color w:val="auto"/>
              </w:rPr>
            </w:pPr>
            <w:r>
              <w:rPr>
                <w:rFonts w:ascii="Arial" w:cs="Arial" w:eastAsia="Arial" w:hAnsi="Arial"/>
                <w:sz w:val="14"/>
                <w:szCs w:val="14"/>
                <w:b w:val="1"/>
                <w:bCs w:val="1"/>
                <w:color w:val="auto"/>
                <w:w w:val="91"/>
              </w:rPr>
              <w:t>Number of shares acquired on</w:t>
            </w:r>
          </w:p>
        </w:tc>
        <w:tc>
          <w:tcPr>
            <w:tcW w:w="280" w:type="dxa"/>
            <w:vAlign w:val="bottom"/>
            <w:tcBorders>
              <w:top w:val="single" w:sz="8" w:color="808080"/>
            </w:tcBorders>
          </w:tcPr>
          <w:p>
            <w:pPr>
              <w:spacing w:after="0"/>
              <w:rPr>
                <w:sz w:val="13"/>
                <w:szCs w:val="13"/>
                <w:color w:val="auto"/>
              </w:rPr>
            </w:pPr>
          </w:p>
        </w:tc>
        <w:tc>
          <w:tcPr>
            <w:tcW w:w="1460" w:type="dxa"/>
            <w:vAlign w:val="bottom"/>
            <w:tcBorders>
              <w:top w:val="single" w:sz="8" w:color="808080"/>
              <w:right w:val="single" w:sz="8" w:color="808080"/>
            </w:tcBorders>
            <w:gridSpan w:val="3"/>
          </w:tcPr>
          <w:p>
            <w:pPr>
              <w:jc w:val="center"/>
              <w:ind w:right="20"/>
              <w:spacing w:after="0" w:line="156" w:lineRule="exact"/>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46"/>
        </w:trPr>
        <w:tc>
          <w:tcPr>
            <w:tcW w:w="2180" w:type="dxa"/>
            <w:vAlign w:val="bottom"/>
            <w:tcBorders>
              <w:left w:val="single" w:sz="8" w:color="808080"/>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exercise</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center"/>
              <w:ind w:right="204"/>
              <w:spacing w:after="0" w:line="252" w:lineRule="exact"/>
              <w:rPr>
                <w:sz w:val="20"/>
                <w:szCs w:val="20"/>
                <w:color w:val="auto"/>
              </w:rPr>
            </w:pPr>
            <w:r>
              <w:rPr>
                <w:rFonts w:ascii="Arial" w:cs="Arial" w:eastAsia="Arial" w:hAnsi="Arial"/>
                <w:sz w:val="14"/>
                <w:szCs w:val="14"/>
                <w:b w:val="1"/>
                <w:bCs w:val="1"/>
                <w:color w:val="auto"/>
                <w:w w:val="81"/>
              </w:rPr>
              <w:t xml:space="preserve">exercise </w:t>
            </w:r>
            <w:r>
              <w:rPr>
                <w:rFonts w:ascii="Arial" w:cs="Arial" w:eastAsia="Arial" w:hAnsi="Arial"/>
                <w:sz w:val="29"/>
                <w:szCs w:val="29"/>
                <w:b w:val="1"/>
                <w:bCs w:val="1"/>
                <w:color w:val="auto"/>
                <w:w w:val="81"/>
                <w:vertAlign w:val="superscript"/>
              </w:rPr>
              <w:t>(1)</w:t>
            </w:r>
          </w:p>
        </w:tc>
        <w:tc>
          <w:tcPr>
            <w:tcW w:w="40" w:type="dxa"/>
            <w:vAlign w:val="bottom"/>
            <w:tcBorders>
              <w:right w:val="single" w:sz="8" w:color="808080"/>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180" w:type="dxa"/>
            <w:vAlign w:val="bottom"/>
            <w:tcBorders>
              <w:left w:val="single" w:sz="8" w:color="808080"/>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40" w:type="dxa"/>
            <w:vAlign w:val="bottom"/>
            <w:tcBorders>
              <w:right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18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Tracy A. Bathurst</w:t>
            </w:r>
          </w:p>
        </w:tc>
        <w:tc>
          <w:tcPr>
            <w:tcW w:w="234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95,138</w:t>
            </w:r>
          </w:p>
        </w:tc>
        <w:tc>
          <w:tcPr>
            <w:tcW w:w="580" w:type="dxa"/>
            <w:vAlign w:val="bottom"/>
            <w:gridSpan w:val="2"/>
            <w:shd w:val="clear" w:color="auto" w:fill="B6DDE8"/>
          </w:tcPr>
          <w:p>
            <w:pPr>
              <w:jc w:val="right"/>
              <w:ind w:right="8"/>
              <w:spacing w:after="0"/>
              <w:rPr>
                <w:sz w:val="20"/>
                <w:szCs w:val="20"/>
                <w:color w:val="auto"/>
              </w:rPr>
            </w:pPr>
            <w:r>
              <w:rPr>
                <w:rFonts w:ascii="Arial" w:cs="Arial" w:eastAsia="Arial" w:hAnsi="Arial"/>
                <w:sz w:val="16"/>
                <w:szCs w:val="16"/>
                <w:color w:val="auto"/>
              </w:rPr>
              <w:t>$</w:t>
            </w:r>
          </w:p>
        </w:tc>
        <w:tc>
          <w:tcPr>
            <w:tcW w:w="1120" w:type="dxa"/>
            <w:vAlign w:val="bottom"/>
            <w:shd w:val="clear" w:color="auto" w:fill="B6DDE8"/>
          </w:tcPr>
          <w:p>
            <w:pPr>
              <w:jc w:val="right"/>
              <w:ind w:right="244"/>
              <w:spacing w:after="0"/>
              <w:rPr>
                <w:sz w:val="20"/>
                <w:szCs w:val="20"/>
                <w:color w:val="auto"/>
              </w:rPr>
            </w:pPr>
            <w:r>
              <w:rPr>
                <w:rFonts w:ascii="Arial" w:cs="Arial" w:eastAsia="Arial" w:hAnsi="Arial"/>
                <w:sz w:val="16"/>
                <w:szCs w:val="16"/>
                <w:color w:val="auto"/>
              </w:rPr>
              <w:t>185,449</w:t>
            </w:r>
          </w:p>
        </w:tc>
        <w:tc>
          <w:tcPr>
            <w:tcW w:w="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80" w:type="dxa"/>
            <w:vAlign w:val="bottom"/>
            <w:tcBorders>
              <w:left w:val="single" w:sz="8" w:color="808080"/>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204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1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-481965</wp:posOffset>
            </wp:positionV>
            <wp:extent cx="393636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36365" cy="257175"/>
                    </a:xfrm>
                    <a:prstGeom prst="rect">
                      <a:avLst/>
                    </a:prstGeom>
                    <a:noFill/>
                  </pic:spPr>
                </pic:pic>
              </a:graphicData>
            </a:graphic>
          </wp:anchor>
        </w:drawing>
      </w:r>
    </w:p>
    <w:p>
      <w:pPr>
        <w:spacing w:after="0" w:line="320" w:lineRule="exact"/>
        <w:rPr>
          <w:sz w:val="20"/>
          <w:szCs w:val="20"/>
          <w:color w:val="auto"/>
        </w:rPr>
      </w:pPr>
    </w:p>
    <w:p>
      <w:pPr>
        <w:ind w:left="660" w:right="1999" w:hanging="652"/>
        <w:spacing w:after="0" w:line="251" w:lineRule="auto"/>
        <w:tabs>
          <w:tab w:leader="none" w:pos="633" w:val="left"/>
        </w:tabs>
        <w:numPr>
          <w:ilvl w:val="0"/>
          <w:numId w:val="13"/>
        </w:numPr>
        <w:rPr>
          <w:rFonts w:ascii="Arial" w:cs="Arial" w:eastAsia="Arial" w:hAnsi="Arial"/>
          <w:sz w:val="22"/>
          <w:szCs w:val="22"/>
          <w:color w:val="auto"/>
        </w:rPr>
      </w:pPr>
      <w:r>
        <w:rPr>
          <w:rFonts w:ascii="Arial" w:cs="Arial" w:eastAsia="Arial" w:hAnsi="Arial"/>
          <w:sz w:val="22"/>
          <w:szCs w:val="22"/>
          <w:color w:val="auto"/>
        </w:rPr>
        <w:t>Value realized on exercise is the excess of market price of underlying shares on the date of exercise over exercise price for the options.</w:t>
      </w:r>
    </w:p>
    <w:p>
      <w:pPr>
        <w:sectPr>
          <w:pgSz w:w="11900" w:h="16838" w:orient="portrait"/>
          <w:cols w:equalWidth="0" w:num="1">
            <w:col w:w="10219"/>
          </w:cols>
          <w:pgMar w:left="240" w:top="361" w:right="1440" w:bottom="8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35114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61" w:right="1440" w:bottom="861" w:gutter="0" w:footer="0" w:header="0"/>
          <w:type w:val="continuous"/>
        </w:sectPr>
      </w:pPr>
    </w:p>
    <w:bookmarkStart w:id="18" w:name="page19"/>
    <w:bookmarkEnd w:id="18"/>
    <w:p>
      <w:pPr>
        <w:jc w:val="both"/>
        <w:ind w:right="1779"/>
        <w:spacing w:after="0" w:line="328" w:lineRule="auto"/>
        <w:rPr>
          <w:sz w:val="20"/>
          <w:szCs w:val="20"/>
          <w:color w:val="auto"/>
        </w:rPr>
      </w:pPr>
      <w:r>
        <w:rPr>
          <w:rFonts w:ascii="Arial" w:cs="Arial" w:eastAsia="Arial" w:hAnsi="Arial"/>
          <w:sz w:val="19"/>
          <w:szCs w:val="19"/>
          <w:color w:val="auto"/>
        </w:rPr>
        <w:t>The following table sets forth information as of December 31, 2011 with respect to compensation plans under which equity securities of ClearOne are authorized for issuance.</w:t>
      </w:r>
    </w:p>
    <w:p>
      <w:pPr>
        <w:spacing w:after="0" w:line="90" w:lineRule="exact"/>
        <w:rPr>
          <w:sz w:val="20"/>
          <w:szCs w:val="20"/>
          <w:color w:val="auto"/>
        </w:rPr>
      </w:pPr>
    </w:p>
    <w:tbl>
      <w:tblPr>
        <w:tblLayout w:type="fixed"/>
        <w:tblInd w:w="30" w:type="dxa"/>
        <w:tblCellMar>
          <w:top w:w="0" w:type="dxa"/>
          <w:left w:w="0" w:type="dxa"/>
          <w:bottom w:w="0" w:type="dxa"/>
          <w:right w:w="0" w:type="dxa"/>
        </w:tblCellMar>
      </w:tblPr>
      <w:tr>
        <w:trPr>
          <w:trHeight w:val="251"/>
        </w:trPr>
        <w:tc>
          <w:tcPr>
            <w:tcW w:w="2600" w:type="dxa"/>
            <w:vAlign w:val="bottom"/>
            <w:tcBorders>
              <w:top w:val="single" w:sz="8" w:color="808080"/>
              <w:left w:val="single" w:sz="8" w:color="808080"/>
            </w:tcBorders>
          </w:tcPr>
          <w:p>
            <w:pPr>
              <w:spacing w:after="0"/>
              <w:rPr>
                <w:sz w:val="21"/>
                <w:szCs w:val="21"/>
                <w:color w:val="auto"/>
              </w:rPr>
            </w:pPr>
          </w:p>
        </w:tc>
        <w:tc>
          <w:tcPr>
            <w:tcW w:w="196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240" w:type="dxa"/>
            <w:vAlign w:val="bottom"/>
            <w:tcBorders>
              <w:top w:val="single" w:sz="8" w:color="808080"/>
            </w:tcBorders>
          </w:tcPr>
          <w:p>
            <w:pPr>
              <w:spacing w:after="0"/>
              <w:rPr>
                <w:sz w:val="21"/>
                <w:szCs w:val="21"/>
                <w:color w:val="auto"/>
              </w:rPr>
            </w:pPr>
          </w:p>
        </w:tc>
        <w:tc>
          <w:tcPr>
            <w:tcW w:w="260" w:type="dxa"/>
            <w:vAlign w:val="bottom"/>
            <w:tcBorders>
              <w:top w:val="single" w:sz="8" w:color="808080"/>
            </w:tcBorders>
          </w:tcPr>
          <w:p>
            <w:pPr>
              <w:spacing w:after="0"/>
              <w:rPr>
                <w:sz w:val="21"/>
                <w:szCs w:val="21"/>
                <w:color w:val="auto"/>
              </w:rPr>
            </w:pPr>
          </w:p>
        </w:tc>
        <w:tc>
          <w:tcPr>
            <w:tcW w:w="1640" w:type="dxa"/>
            <w:vAlign w:val="bottom"/>
            <w:tcBorders>
              <w:top w:val="single" w:sz="8" w:color="808080"/>
            </w:tcBorders>
          </w:tcPr>
          <w:p>
            <w:pPr>
              <w:spacing w:after="0"/>
              <w:rPr>
                <w:sz w:val="21"/>
                <w:szCs w:val="21"/>
                <w:color w:val="auto"/>
              </w:rPr>
            </w:pPr>
          </w:p>
        </w:tc>
        <w:tc>
          <w:tcPr>
            <w:tcW w:w="220" w:type="dxa"/>
            <w:vAlign w:val="bottom"/>
            <w:tcBorders>
              <w:top w:val="single" w:sz="8" w:color="808080"/>
            </w:tcBorders>
          </w:tcPr>
          <w:p>
            <w:pPr>
              <w:spacing w:after="0"/>
              <w:rPr>
                <w:sz w:val="21"/>
                <w:szCs w:val="21"/>
                <w:color w:val="auto"/>
              </w:rPr>
            </w:pPr>
          </w:p>
        </w:tc>
        <w:tc>
          <w:tcPr>
            <w:tcW w:w="2020" w:type="dxa"/>
            <w:vAlign w:val="bottom"/>
            <w:tcBorders>
              <w:top w:val="single" w:sz="8" w:color="808080"/>
              <w:right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81"/>
        </w:trPr>
        <w:tc>
          <w:tcPr>
            <w:tcW w:w="2600" w:type="dxa"/>
            <w:vAlign w:val="bottom"/>
            <w:tcBorders>
              <w:left w:val="single" w:sz="8" w:color="808080"/>
            </w:tcBorders>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Weighted-average exercise</w:t>
            </w:r>
          </w:p>
        </w:tc>
        <w:tc>
          <w:tcPr>
            <w:tcW w:w="220" w:type="dxa"/>
            <w:vAlign w:val="bottom"/>
          </w:tcPr>
          <w:p>
            <w:pPr>
              <w:spacing w:after="0"/>
              <w:rPr>
                <w:sz w:val="7"/>
                <w:szCs w:val="7"/>
                <w:color w:val="auto"/>
              </w:rPr>
            </w:pPr>
          </w:p>
        </w:tc>
        <w:tc>
          <w:tcPr>
            <w:tcW w:w="2020" w:type="dxa"/>
            <w:vAlign w:val="bottom"/>
            <w:tcBorders>
              <w:right w:val="single" w:sz="8" w:color="808080"/>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68"/>
        </w:trPr>
        <w:tc>
          <w:tcPr>
            <w:tcW w:w="2600" w:type="dxa"/>
            <w:vAlign w:val="bottom"/>
            <w:tcBorders>
              <w:left w:val="single" w:sz="8" w:color="808080"/>
            </w:tcBorders>
          </w:tcPr>
          <w:p>
            <w:pPr>
              <w:spacing w:after="0"/>
              <w:rPr>
                <w:sz w:val="5"/>
                <w:szCs w:val="5"/>
                <w:color w:val="auto"/>
              </w:rPr>
            </w:pPr>
          </w:p>
        </w:tc>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4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Borders>
              <w:right w:val="single" w:sz="8" w:color="80808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808080"/>
            </w:tcBorders>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220" w:type="dxa"/>
            <w:vAlign w:val="bottom"/>
          </w:tcPr>
          <w:p>
            <w:pPr>
              <w:spacing w:after="0"/>
              <w:rPr>
                <w:sz w:val="7"/>
                <w:szCs w:val="7"/>
                <w:color w:val="auto"/>
              </w:rPr>
            </w:pPr>
          </w:p>
        </w:tc>
        <w:tc>
          <w:tcPr>
            <w:tcW w:w="2020" w:type="dxa"/>
            <w:vAlign w:val="bottom"/>
            <w:tcBorders>
              <w:right w:val="single" w:sz="8" w:color="808080"/>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w:t>
            </w:r>
          </w:p>
        </w:tc>
        <w:tc>
          <w:tcPr>
            <w:tcW w:w="0" w:type="dxa"/>
            <w:vAlign w:val="bottom"/>
          </w:tcPr>
          <w:p>
            <w:pPr>
              <w:spacing w:after="0"/>
              <w:rPr>
                <w:sz w:val="1"/>
                <w:szCs w:val="1"/>
                <w:color w:val="auto"/>
              </w:rPr>
            </w:pPr>
          </w:p>
        </w:tc>
      </w:tr>
      <w:tr>
        <w:trPr>
          <w:trHeight w:val="68"/>
        </w:trPr>
        <w:tc>
          <w:tcPr>
            <w:tcW w:w="2600" w:type="dxa"/>
            <w:vAlign w:val="bottom"/>
            <w:tcBorders>
              <w:left w:val="single" w:sz="8" w:color="808080"/>
            </w:tcBorders>
          </w:tcPr>
          <w:p>
            <w:pPr>
              <w:spacing w:after="0"/>
              <w:rPr>
                <w:sz w:val="5"/>
                <w:szCs w:val="5"/>
                <w:color w:val="auto"/>
              </w:rPr>
            </w:pPr>
          </w:p>
        </w:tc>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24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Borders>
              <w:right w:val="single" w:sz="8" w:color="80808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808080"/>
            </w:tcBorders>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40" w:type="dxa"/>
            <w:vAlign w:val="bottom"/>
            <w:vMerge w:val="restart"/>
          </w:tcPr>
          <w:p>
            <w:pPr>
              <w:jc w:val="center"/>
              <w:ind w:right="183"/>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20" w:type="dxa"/>
            <w:vAlign w:val="bottom"/>
          </w:tcPr>
          <w:p>
            <w:pPr>
              <w:spacing w:after="0"/>
              <w:rPr>
                <w:sz w:val="7"/>
                <w:szCs w:val="7"/>
                <w:color w:val="auto"/>
              </w:rPr>
            </w:pPr>
          </w:p>
        </w:tc>
        <w:tc>
          <w:tcPr>
            <w:tcW w:w="2020" w:type="dxa"/>
            <w:vAlign w:val="bottom"/>
            <w:tcBorders>
              <w:right w:val="single" w:sz="8" w:color="808080"/>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plans (excluding securities</w:t>
            </w:r>
          </w:p>
        </w:tc>
        <w:tc>
          <w:tcPr>
            <w:tcW w:w="0" w:type="dxa"/>
            <w:vAlign w:val="bottom"/>
          </w:tcPr>
          <w:p>
            <w:pPr>
              <w:spacing w:after="0"/>
              <w:rPr>
                <w:sz w:val="1"/>
                <w:szCs w:val="1"/>
                <w:color w:val="auto"/>
              </w:rPr>
            </w:pPr>
          </w:p>
        </w:tc>
      </w:tr>
      <w:tr>
        <w:trPr>
          <w:trHeight w:val="68"/>
        </w:trPr>
        <w:tc>
          <w:tcPr>
            <w:tcW w:w="2600" w:type="dxa"/>
            <w:vAlign w:val="bottom"/>
            <w:tcBorders>
              <w:left w:val="single" w:sz="8" w:color="808080"/>
            </w:tcBorders>
          </w:tcPr>
          <w:p>
            <w:pPr>
              <w:spacing w:after="0"/>
              <w:rPr>
                <w:sz w:val="5"/>
                <w:szCs w:val="5"/>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Borders>
              <w:right w:val="single" w:sz="8" w:color="80808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600" w:type="dxa"/>
            <w:vAlign w:val="bottom"/>
            <w:tcBorders>
              <w:left w:val="single" w:sz="8" w:color="808080"/>
            </w:tcBorders>
          </w:tcPr>
          <w:p>
            <w:pPr>
              <w:spacing w:after="0"/>
              <w:rPr>
                <w:sz w:val="10"/>
                <w:szCs w:val="10"/>
                <w:color w:val="auto"/>
              </w:rPr>
            </w:pPr>
          </w:p>
        </w:tc>
        <w:tc>
          <w:tcPr>
            <w:tcW w:w="1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tcBorders>
              <w:right w:val="single" w:sz="8" w:color="808080"/>
            </w:tcBorders>
            <w:vMerge w:val="restart"/>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68"/>
        </w:trPr>
        <w:tc>
          <w:tcPr>
            <w:tcW w:w="2600" w:type="dxa"/>
            <w:vAlign w:val="bottom"/>
            <w:tcBorders>
              <w:left w:val="single" w:sz="8" w:color="808080"/>
            </w:tcBorders>
          </w:tcPr>
          <w:p>
            <w:pPr>
              <w:spacing w:after="0"/>
              <w:rPr>
                <w:sz w:val="5"/>
                <w:szCs w:val="5"/>
                <w:color w:val="auto"/>
              </w:rPr>
            </w:pPr>
          </w:p>
        </w:tc>
        <w:tc>
          <w:tcPr>
            <w:tcW w:w="1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tcBorders>
              <w:right w:val="single" w:sz="8" w:color="80808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600" w:type="dxa"/>
            <w:vAlign w:val="bottom"/>
            <w:tcBorders>
              <w:left w:val="single" w:sz="8" w:color="808080"/>
            </w:tcBorders>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jc w:val="center"/>
              <w:ind w:right="183"/>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24"/>
                <w:szCs w:val="24"/>
                <w:color w:val="auto"/>
              </w:rPr>
            </w:pPr>
          </w:p>
        </w:tc>
        <w:tc>
          <w:tcPr>
            <w:tcW w:w="2020" w:type="dxa"/>
            <w:vAlign w:val="bottom"/>
            <w:tcBorders>
              <w:right w:val="single" w:sz="8" w:color="808080"/>
            </w:tcBorders>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6"/>
        </w:trPr>
        <w:tc>
          <w:tcPr>
            <w:tcW w:w="2600" w:type="dxa"/>
            <w:vAlign w:val="bottom"/>
            <w:tcBorders>
              <w:left w:val="single" w:sz="8" w:color="808080"/>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Borders>
              <w:bottom w:val="single" w:sz="8" w:color="auto"/>
              <w:right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Equity compensation plans</w:t>
            </w:r>
          </w:p>
        </w:tc>
        <w:tc>
          <w:tcPr>
            <w:tcW w:w="1960" w:type="dxa"/>
            <w:vAlign w:val="bottom"/>
            <w:vMerge w:val="restart"/>
            <w:shd w:val="clear" w:color="auto" w:fill="B6DDE8"/>
          </w:tcPr>
          <w:p>
            <w:pPr>
              <w:jc w:val="right"/>
              <w:ind w:right="245"/>
              <w:spacing w:after="0"/>
              <w:rPr>
                <w:sz w:val="20"/>
                <w:szCs w:val="20"/>
                <w:color w:val="auto"/>
              </w:rPr>
            </w:pPr>
            <w:r>
              <w:rPr>
                <w:rFonts w:ascii="Arial" w:cs="Arial" w:eastAsia="Arial" w:hAnsi="Arial"/>
                <w:sz w:val="16"/>
                <w:szCs w:val="16"/>
                <w:color w:val="auto"/>
              </w:rPr>
              <w:t>1,160,933</w:t>
            </w:r>
          </w:p>
        </w:tc>
        <w:tc>
          <w:tcPr>
            <w:tcW w:w="500" w:type="dxa"/>
            <w:vAlign w:val="bottom"/>
            <w:gridSpan w:val="2"/>
            <w:vMerge w:val="restart"/>
            <w:shd w:val="clear" w:color="auto" w:fill="B6DDE8"/>
          </w:tcPr>
          <w:p>
            <w:pPr>
              <w:jc w:val="right"/>
              <w:spacing w:after="0"/>
              <w:rPr>
                <w:sz w:val="20"/>
                <w:szCs w:val="20"/>
                <w:color w:val="auto"/>
              </w:rPr>
            </w:pPr>
            <w:r>
              <w:rPr>
                <w:rFonts w:ascii="Arial" w:cs="Arial" w:eastAsia="Arial" w:hAnsi="Arial"/>
                <w:sz w:val="16"/>
                <w:szCs w:val="16"/>
                <w:color w:val="auto"/>
              </w:rPr>
              <w:t>$</w:t>
            </w:r>
          </w:p>
        </w:tc>
        <w:tc>
          <w:tcPr>
            <w:tcW w:w="1640" w:type="dxa"/>
            <w:vAlign w:val="bottom"/>
            <w:vMerge w:val="restart"/>
            <w:shd w:val="clear" w:color="auto" w:fill="B6DDE8"/>
          </w:tcPr>
          <w:p>
            <w:pPr>
              <w:jc w:val="right"/>
              <w:ind w:right="243"/>
              <w:spacing w:after="0"/>
              <w:rPr>
                <w:sz w:val="20"/>
                <w:szCs w:val="20"/>
                <w:color w:val="auto"/>
              </w:rPr>
            </w:pPr>
            <w:r>
              <w:rPr>
                <w:rFonts w:ascii="Arial" w:cs="Arial" w:eastAsia="Arial" w:hAnsi="Arial"/>
                <w:sz w:val="16"/>
                <w:szCs w:val="16"/>
                <w:color w:val="auto"/>
              </w:rPr>
              <w:t>4.50</w:t>
            </w:r>
          </w:p>
        </w:tc>
        <w:tc>
          <w:tcPr>
            <w:tcW w:w="2240" w:type="dxa"/>
            <w:vAlign w:val="bottom"/>
            <w:tcBorders>
              <w:right w:val="single" w:sz="8" w:color="808080"/>
            </w:tcBorders>
            <w:gridSpan w:val="2"/>
            <w:vMerge w:val="restart"/>
            <w:shd w:val="clear" w:color="auto" w:fill="B6DDE8"/>
          </w:tcPr>
          <w:p>
            <w:pPr>
              <w:jc w:val="right"/>
              <w:ind w:right="268"/>
              <w:spacing w:after="0"/>
              <w:rPr>
                <w:sz w:val="20"/>
                <w:szCs w:val="20"/>
                <w:color w:val="auto"/>
              </w:rPr>
            </w:pPr>
            <w:r>
              <w:rPr>
                <w:rFonts w:ascii="Arial" w:cs="Arial" w:eastAsia="Arial" w:hAnsi="Arial"/>
                <w:sz w:val="16"/>
                <w:szCs w:val="16"/>
                <w:color w:val="auto"/>
              </w:rPr>
              <w:t>500,629</w:t>
            </w:r>
          </w:p>
        </w:tc>
        <w:tc>
          <w:tcPr>
            <w:tcW w:w="0" w:type="dxa"/>
            <w:vAlign w:val="bottom"/>
          </w:tcPr>
          <w:p>
            <w:pPr>
              <w:spacing w:after="0"/>
              <w:rPr>
                <w:sz w:val="1"/>
                <w:szCs w:val="1"/>
                <w:color w:val="auto"/>
              </w:rPr>
            </w:pPr>
          </w:p>
        </w:tc>
      </w:tr>
      <w:tr>
        <w:trPr>
          <w:trHeight w:val="112"/>
        </w:trPr>
        <w:tc>
          <w:tcPr>
            <w:tcW w:w="2600" w:type="dxa"/>
            <w:vAlign w:val="bottom"/>
            <w:tcBorders>
              <w:left w:val="single" w:sz="8" w:color="808080"/>
            </w:tcBorders>
            <w:vMerge w:val="restart"/>
            <w:shd w:val="clear" w:color="auto" w:fill="B6DDE8"/>
          </w:tcPr>
          <w:p>
            <w:pPr>
              <w:ind w:left="320"/>
              <w:spacing w:after="0"/>
              <w:rPr>
                <w:sz w:val="20"/>
                <w:szCs w:val="20"/>
                <w:color w:val="auto"/>
              </w:rPr>
            </w:pPr>
            <w:r>
              <w:rPr>
                <w:rFonts w:ascii="Arial" w:cs="Arial" w:eastAsia="Arial" w:hAnsi="Arial"/>
                <w:sz w:val="16"/>
                <w:szCs w:val="16"/>
                <w:color w:val="auto"/>
              </w:rPr>
              <w:t>approved by shareholders</w:t>
            </w:r>
          </w:p>
        </w:tc>
        <w:tc>
          <w:tcPr>
            <w:tcW w:w="1960" w:type="dxa"/>
            <w:vAlign w:val="bottom"/>
            <w:vMerge w:val="continue"/>
            <w:shd w:val="clear" w:color="auto" w:fill="B6DDE8"/>
          </w:tcPr>
          <w:p>
            <w:pPr>
              <w:spacing w:after="0"/>
              <w:rPr>
                <w:sz w:val="9"/>
                <w:szCs w:val="9"/>
                <w:color w:val="auto"/>
              </w:rPr>
            </w:pPr>
          </w:p>
        </w:tc>
        <w:tc>
          <w:tcPr>
            <w:tcW w:w="500" w:type="dxa"/>
            <w:vAlign w:val="bottom"/>
            <w:gridSpan w:val="2"/>
            <w:vMerge w:val="continue"/>
            <w:shd w:val="clear" w:color="auto" w:fill="B6DDE8"/>
          </w:tcPr>
          <w:p>
            <w:pPr>
              <w:spacing w:after="0"/>
              <w:rPr>
                <w:sz w:val="9"/>
                <w:szCs w:val="9"/>
                <w:color w:val="auto"/>
              </w:rPr>
            </w:pPr>
          </w:p>
        </w:tc>
        <w:tc>
          <w:tcPr>
            <w:tcW w:w="1640" w:type="dxa"/>
            <w:vAlign w:val="bottom"/>
            <w:vMerge w:val="continue"/>
            <w:shd w:val="clear" w:color="auto" w:fill="B6DDE8"/>
          </w:tcPr>
          <w:p>
            <w:pPr>
              <w:spacing w:after="0"/>
              <w:rPr>
                <w:sz w:val="9"/>
                <w:szCs w:val="9"/>
                <w:color w:val="auto"/>
              </w:rPr>
            </w:pPr>
          </w:p>
        </w:tc>
        <w:tc>
          <w:tcPr>
            <w:tcW w:w="2240" w:type="dxa"/>
            <w:vAlign w:val="bottom"/>
            <w:tcBorders>
              <w:right w:val="single" w:sz="8" w:color="808080"/>
            </w:tcBorders>
            <w:gridSpan w:val="2"/>
            <w:vMerge w:val="continue"/>
            <w:shd w:val="clear" w:color="auto" w:fill="B6DDE8"/>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00" w:type="dxa"/>
            <w:vAlign w:val="bottom"/>
            <w:tcBorders>
              <w:left w:val="single" w:sz="8" w:color="808080"/>
            </w:tcBorders>
            <w:vMerge w:val="continue"/>
            <w:shd w:val="clear" w:color="auto" w:fill="B6DDE8"/>
          </w:tcPr>
          <w:p>
            <w:pPr>
              <w:spacing w:after="0"/>
              <w:rPr>
                <w:sz w:val="9"/>
                <w:szCs w:val="9"/>
                <w:color w:val="auto"/>
              </w:rPr>
            </w:pPr>
          </w:p>
        </w:tc>
        <w:tc>
          <w:tcPr>
            <w:tcW w:w="1960" w:type="dxa"/>
            <w:vAlign w:val="bottom"/>
            <w:shd w:val="clear" w:color="auto" w:fill="B6DDE8"/>
          </w:tcPr>
          <w:p>
            <w:pPr>
              <w:spacing w:after="0"/>
              <w:rPr>
                <w:sz w:val="9"/>
                <w:szCs w:val="9"/>
                <w:color w:val="auto"/>
              </w:rPr>
            </w:pPr>
          </w:p>
        </w:tc>
        <w:tc>
          <w:tcPr>
            <w:tcW w:w="240" w:type="dxa"/>
            <w:vAlign w:val="bottom"/>
            <w:shd w:val="clear" w:color="auto" w:fill="B6DDE8"/>
          </w:tcPr>
          <w:p>
            <w:pPr>
              <w:spacing w:after="0"/>
              <w:rPr>
                <w:sz w:val="9"/>
                <w:szCs w:val="9"/>
                <w:color w:val="auto"/>
              </w:rPr>
            </w:pPr>
          </w:p>
        </w:tc>
        <w:tc>
          <w:tcPr>
            <w:tcW w:w="260" w:type="dxa"/>
            <w:vAlign w:val="bottom"/>
            <w:shd w:val="clear" w:color="auto" w:fill="B6DDE8"/>
          </w:tcPr>
          <w:p>
            <w:pPr>
              <w:spacing w:after="0"/>
              <w:rPr>
                <w:sz w:val="9"/>
                <w:szCs w:val="9"/>
                <w:color w:val="auto"/>
              </w:rPr>
            </w:pPr>
          </w:p>
        </w:tc>
        <w:tc>
          <w:tcPr>
            <w:tcW w:w="1640" w:type="dxa"/>
            <w:vAlign w:val="bottom"/>
            <w:shd w:val="clear" w:color="auto" w:fill="B6DDE8"/>
          </w:tcPr>
          <w:p>
            <w:pPr>
              <w:spacing w:after="0"/>
              <w:rPr>
                <w:sz w:val="9"/>
                <w:szCs w:val="9"/>
                <w:color w:val="auto"/>
              </w:rPr>
            </w:pPr>
          </w:p>
        </w:tc>
        <w:tc>
          <w:tcPr>
            <w:tcW w:w="220" w:type="dxa"/>
            <w:vAlign w:val="bottom"/>
            <w:shd w:val="clear" w:color="auto" w:fill="B6DDE8"/>
          </w:tcPr>
          <w:p>
            <w:pPr>
              <w:spacing w:after="0"/>
              <w:rPr>
                <w:sz w:val="9"/>
                <w:szCs w:val="9"/>
                <w:color w:val="auto"/>
              </w:rPr>
            </w:pPr>
          </w:p>
        </w:tc>
        <w:tc>
          <w:tcPr>
            <w:tcW w:w="2020" w:type="dxa"/>
            <w:vAlign w:val="bottom"/>
            <w:tcBorders>
              <w:right w:val="single" w:sz="8" w:color="808080"/>
            </w:tcBorders>
            <w:shd w:val="clear" w:color="auto" w:fill="B6DDE8"/>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6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Equity compensation plans not</w:t>
            </w:r>
          </w:p>
        </w:tc>
        <w:tc>
          <w:tcPr>
            <w:tcW w:w="1960" w:type="dxa"/>
            <w:vAlign w:val="bottom"/>
            <w:vMerge w:val="restart"/>
          </w:tcPr>
          <w:p>
            <w:pPr>
              <w:jc w:val="right"/>
              <w:ind w:right="24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vMerge w:val="restart"/>
          </w:tcPr>
          <w:p>
            <w:pPr>
              <w:jc w:val="right"/>
              <w:ind w:right="243"/>
              <w:spacing w:after="0"/>
              <w:rPr>
                <w:sz w:val="20"/>
                <w:szCs w:val="20"/>
                <w:color w:val="auto"/>
              </w:rPr>
            </w:pPr>
            <w:r>
              <w:rPr>
                <w:rFonts w:ascii="Arial" w:cs="Arial" w:eastAsia="Arial" w:hAnsi="Arial"/>
                <w:sz w:val="16"/>
                <w:szCs w:val="16"/>
                <w:color w:val="auto"/>
              </w:rPr>
              <w:t>-</w:t>
            </w:r>
          </w:p>
        </w:tc>
        <w:tc>
          <w:tcPr>
            <w:tcW w:w="2240" w:type="dxa"/>
            <w:vAlign w:val="bottom"/>
            <w:tcBorders>
              <w:right w:val="single" w:sz="8" w:color="808080"/>
            </w:tcBorders>
            <w:gridSpan w:val="2"/>
            <w:vMerge w:val="restart"/>
          </w:tcPr>
          <w:p>
            <w:pPr>
              <w:jc w:val="right"/>
              <w:ind w:right="26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2"/>
        </w:trPr>
        <w:tc>
          <w:tcPr>
            <w:tcW w:w="2600" w:type="dxa"/>
            <w:vAlign w:val="bottom"/>
            <w:tcBorders>
              <w:left w:val="single" w:sz="8" w:color="808080"/>
            </w:tcBorders>
            <w:vMerge w:val="restart"/>
          </w:tcPr>
          <w:p>
            <w:pPr>
              <w:ind w:left="320"/>
              <w:spacing w:after="0"/>
              <w:rPr>
                <w:sz w:val="20"/>
                <w:szCs w:val="20"/>
                <w:color w:val="auto"/>
              </w:rPr>
            </w:pPr>
            <w:r>
              <w:rPr>
                <w:rFonts w:ascii="Arial" w:cs="Arial" w:eastAsia="Arial" w:hAnsi="Arial"/>
                <w:sz w:val="16"/>
                <w:szCs w:val="16"/>
                <w:color w:val="auto"/>
              </w:rPr>
              <w:t>approved by shareholders</w:t>
            </w:r>
          </w:p>
        </w:tc>
        <w:tc>
          <w:tcPr>
            <w:tcW w:w="1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2240" w:type="dxa"/>
            <w:vAlign w:val="bottom"/>
            <w:tcBorders>
              <w:right w:val="single" w:sz="8" w:color="808080"/>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tcBorders>
              <w:left w:val="single" w:sz="8" w:color="808080"/>
              <w:bottom w:val="single" w:sz="8" w:color="B6DDE8"/>
            </w:tcBorders>
            <w:vMerge w:val="continue"/>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240" w:type="dxa"/>
            <w:vAlign w:val="bottom"/>
            <w:tcBorders>
              <w:bottom w:val="single" w:sz="8" w:color="B6DDE8"/>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20" w:type="dxa"/>
            <w:vAlign w:val="bottom"/>
            <w:tcBorders>
              <w:bottom w:val="single" w:sz="8" w:color="B6DDE8"/>
            </w:tcBorders>
          </w:tcPr>
          <w:p>
            <w:pPr>
              <w:spacing w:after="0"/>
              <w:rPr>
                <w:sz w:val="9"/>
                <w:szCs w:val="9"/>
                <w:color w:val="auto"/>
              </w:rPr>
            </w:pPr>
          </w:p>
        </w:tc>
        <w:tc>
          <w:tcPr>
            <w:tcW w:w="2020" w:type="dxa"/>
            <w:vAlign w:val="bottom"/>
            <w:tcBorders>
              <w:bottom w:val="single" w:sz="8" w:color="auto"/>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6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Total</w:t>
            </w:r>
          </w:p>
        </w:tc>
        <w:tc>
          <w:tcPr>
            <w:tcW w:w="1960" w:type="dxa"/>
            <w:vAlign w:val="bottom"/>
            <w:shd w:val="clear" w:color="auto" w:fill="B6DDE8"/>
          </w:tcPr>
          <w:p>
            <w:pPr>
              <w:jc w:val="right"/>
              <w:ind w:right="245"/>
              <w:spacing w:after="0"/>
              <w:rPr>
                <w:sz w:val="20"/>
                <w:szCs w:val="20"/>
                <w:color w:val="auto"/>
              </w:rPr>
            </w:pPr>
            <w:r>
              <w:rPr>
                <w:rFonts w:ascii="Arial" w:cs="Arial" w:eastAsia="Arial" w:hAnsi="Arial"/>
                <w:sz w:val="16"/>
                <w:szCs w:val="16"/>
                <w:color w:val="auto"/>
              </w:rPr>
              <w:t>1,160,933</w:t>
            </w:r>
          </w:p>
        </w:tc>
        <w:tc>
          <w:tcPr>
            <w:tcW w:w="500" w:type="dxa"/>
            <w:vAlign w:val="bottom"/>
            <w:gridSpan w:val="2"/>
            <w:shd w:val="clear" w:color="auto" w:fill="B6DDE8"/>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B6DDE8"/>
          </w:tcPr>
          <w:p>
            <w:pPr>
              <w:jc w:val="right"/>
              <w:ind w:right="243"/>
              <w:spacing w:after="0"/>
              <w:rPr>
                <w:sz w:val="20"/>
                <w:szCs w:val="20"/>
                <w:color w:val="auto"/>
              </w:rPr>
            </w:pPr>
            <w:r>
              <w:rPr>
                <w:rFonts w:ascii="Arial" w:cs="Arial" w:eastAsia="Arial" w:hAnsi="Arial"/>
                <w:sz w:val="16"/>
                <w:szCs w:val="16"/>
                <w:color w:val="auto"/>
              </w:rPr>
              <w:t>4.50</w:t>
            </w:r>
          </w:p>
        </w:tc>
        <w:tc>
          <w:tcPr>
            <w:tcW w:w="2240" w:type="dxa"/>
            <w:vAlign w:val="bottom"/>
            <w:tcBorders>
              <w:right w:val="single" w:sz="8" w:color="808080"/>
            </w:tcBorders>
            <w:gridSpan w:val="2"/>
            <w:shd w:val="clear" w:color="auto" w:fill="B6DDE8"/>
          </w:tcPr>
          <w:p>
            <w:pPr>
              <w:jc w:val="right"/>
              <w:ind w:right="268"/>
              <w:spacing w:after="0"/>
              <w:rPr>
                <w:sz w:val="20"/>
                <w:szCs w:val="20"/>
                <w:color w:val="auto"/>
              </w:rPr>
            </w:pPr>
            <w:r>
              <w:rPr>
                <w:rFonts w:ascii="Arial" w:cs="Arial" w:eastAsia="Arial" w:hAnsi="Arial"/>
                <w:sz w:val="16"/>
                <w:szCs w:val="16"/>
                <w:color w:val="auto"/>
              </w:rPr>
              <w:t>500,629</w:t>
            </w:r>
          </w:p>
        </w:tc>
        <w:tc>
          <w:tcPr>
            <w:tcW w:w="0" w:type="dxa"/>
            <w:vAlign w:val="bottom"/>
          </w:tcPr>
          <w:p>
            <w:pPr>
              <w:spacing w:after="0"/>
              <w:rPr>
                <w:sz w:val="1"/>
                <w:szCs w:val="1"/>
                <w:color w:val="auto"/>
              </w:rPr>
            </w:pPr>
          </w:p>
        </w:tc>
      </w:tr>
      <w:tr>
        <w:trPr>
          <w:trHeight w:val="20"/>
        </w:trPr>
        <w:tc>
          <w:tcPr>
            <w:tcW w:w="2600" w:type="dxa"/>
            <w:vAlign w:val="bottom"/>
            <w:tcBorders>
              <w:top w:val="single" w:sz="8" w:color="B6DDE8"/>
              <w:left w:val="single" w:sz="8" w:color="808080"/>
              <w:bottom w:val="single" w:sz="8" w:color="808080"/>
            </w:tcBorders>
          </w:tcPr>
          <w:p>
            <w:pPr>
              <w:spacing w:after="0" w:line="20" w:lineRule="exact"/>
              <w:rPr>
                <w:sz w:val="1"/>
                <w:szCs w:val="1"/>
                <w:color w:val="auto"/>
              </w:rPr>
            </w:pPr>
          </w:p>
        </w:tc>
        <w:tc>
          <w:tcPr>
            <w:tcW w:w="1960" w:type="dxa"/>
            <w:vAlign w:val="bottom"/>
            <w:tcBorders>
              <w:top w:val="single" w:sz="8" w:color="auto"/>
              <w:bottom w:val="single" w:sz="8" w:color="808080"/>
            </w:tcBorders>
          </w:tcPr>
          <w:p>
            <w:pPr>
              <w:spacing w:after="0" w:line="20" w:lineRule="exact"/>
              <w:rPr>
                <w:sz w:val="1"/>
                <w:szCs w:val="1"/>
                <w:color w:val="auto"/>
              </w:rPr>
            </w:pPr>
          </w:p>
        </w:tc>
        <w:tc>
          <w:tcPr>
            <w:tcW w:w="240" w:type="dxa"/>
            <w:vAlign w:val="bottom"/>
            <w:tcBorders>
              <w:top w:val="single" w:sz="8" w:color="B6DDE8"/>
              <w:bottom w:val="single" w:sz="8" w:color="808080"/>
            </w:tcBorders>
          </w:tcPr>
          <w:p>
            <w:pPr>
              <w:spacing w:after="0" w:line="20" w:lineRule="exact"/>
              <w:rPr>
                <w:sz w:val="1"/>
                <w:szCs w:val="1"/>
                <w:color w:val="auto"/>
              </w:rPr>
            </w:pPr>
          </w:p>
        </w:tc>
        <w:tc>
          <w:tcPr>
            <w:tcW w:w="260" w:type="dxa"/>
            <w:vAlign w:val="bottom"/>
            <w:tcBorders>
              <w:top w:val="single" w:sz="8" w:color="auto"/>
              <w:bottom w:val="single" w:sz="8" w:color="808080"/>
            </w:tcBorders>
          </w:tcPr>
          <w:p>
            <w:pPr>
              <w:spacing w:after="0" w:line="20" w:lineRule="exact"/>
              <w:rPr>
                <w:sz w:val="1"/>
                <w:szCs w:val="1"/>
                <w:color w:val="auto"/>
              </w:rPr>
            </w:pPr>
          </w:p>
        </w:tc>
        <w:tc>
          <w:tcPr>
            <w:tcW w:w="1640" w:type="dxa"/>
            <w:vAlign w:val="bottom"/>
            <w:tcBorders>
              <w:top w:val="single" w:sz="8" w:color="auto"/>
              <w:bottom w:val="single" w:sz="8" w:color="808080"/>
            </w:tcBorders>
          </w:tcPr>
          <w:p>
            <w:pPr>
              <w:spacing w:after="0" w:line="20" w:lineRule="exact"/>
              <w:rPr>
                <w:sz w:val="1"/>
                <w:szCs w:val="1"/>
                <w:color w:val="auto"/>
              </w:rPr>
            </w:pPr>
          </w:p>
        </w:tc>
        <w:tc>
          <w:tcPr>
            <w:tcW w:w="220" w:type="dxa"/>
            <w:vAlign w:val="bottom"/>
            <w:tcBorders>
              <w:top w:val="single" w:sz="8" w:color="B6DDE8"/>
              <w:bottom w:val="single" w:sz="8" w:color="808080"/>
            </w:tcBorders>
          </w:tcPr>
          <w:p>
            <w:pPr>
              <w:spacing w:after="0" w:line="20" w:lineRule="exact"/>
              <w:rPr>
                <w:sz w:val="1"/>
                <w:szCs w:val="1"/>
                <w:color w:val="auto"/>
              </w:rPr>
            </w:pPr>
          </w:p>
        </w:tc>
        <w:tc>
          <w:tcPr>
            <w:tcW w:w="2020" w:type="dxa"/>
            <w:vAlign w:val="bottom"/>
            <w:tcBorders>
              <w:top w:val="single" w:sz="8" w:color="auto"/>
              <w:bottom w:val="single" w:sz="8" w:color="808080"/>
              <w:righ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4" w:lineRule="exact"/>
        <w:rPr>
          <w:sz w:val="20"/>
          <w:szCs w:val="20"/>
          <w:color w:val="auto"/>
        </w:rPr>
      </w:pPr>
    </w:p>
    <w:p>
      <w:pPr>
        <w:jc w:val="both"/>
        <w:ind w:right="1799" w:firstLine="648"/>
        <w:spacing w:after="0" w:line="246" w:lineRule="auto"/>
        <w:rPr>
          <w:sz w:val="20"/>
          <w:szCs w:val="20"/>
          <w:color w:val="auto"/>
        </w:rPr>
      </w:pPr>
      <w:r>
        <w:rPr>
          <w:rFonts w:ascii="Arial" w:cs="Arial" w:eastAsia="Arial" w:hAnsi="Arial"/>
          <w:sz w:val="21"/>
          <w:szCs w:val="21"/>
          <w:i w:val="1"/>
          <w:iCs w:val="1"/>
          <w:color w:val="auto"/>
        </w:rPr>
        <w:t xml:space="preserve">Employment Agreements. </w:t>
      </w:r>
      <w:r>
        <w:rPr>
          <w:rFonts w:ascii="Arial" w:cs="Arial" w:eastAsia="Arial" w:hAnsi="Arial"/>
          <w:sz w:val="21"/>
          <w:szCs w:val="21"/>
          <w:color w:val="auto"/>
        </w:rPr>
        <w:t>As of the year ended December 31, 2011, none of our named</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officers was party to an employment or severance agreement with us, and each named executive officer’s employment was on an “at-will” basis, permitting either us or the executive to terminate his or her employment for any reason or for no reason.</w:t>
      </w:r>
    </w:p>
    <w:p>
      <w:pPr>
        <w:spacing w:after="0" w:line="59" w:lineRule="exact"/>
        <w:rPr>
          <w:sz w:val="20"/>
          <w:szCs w:val="20"/>
          <w:color w:val="auto"/>
        </w:rPr>
      </w:pPr>
    </w:p>
    <w:p>
      <w:pPr>
        <w:ind w:right="1799" w:firstLine="648"/>
        <w:spacing w:after="0" w:line="238" w:lineRule="auto"/>
        <w:rPr>
          <w:sz w:val="20"/>
          <w:szCs w:val="20"/>
          <w:color w:val="auto"/>
        </w:rPr>
      </w:pPr>
      <w:r>
        <w:rPr>
          <w:rFonts w:ascii="Arial" w:cs="Arial" w:eastAsia="Arial" w:hAnsi="Arial"/>
          <w:sz w:val="22"/>
          <w:szCs w:val="22"/>
          <w:i w:val="1"/>
          <w:iCs w:val="1"/>
          <w:color w:val="auto"/>
        </w:rPr>
        <w:t>Accelerated Stock Option Vesting Upon a Change in Control</w:t>
      </w:r>
      <w:r>
        <w:rPr>
          <w:rFonts w:ascii="Arial" w:cs="Arial" w:eastAsia="Arial" w:hAnsi="Arial"/>
          <w:sz w:val="22"/>
          <w:szCs w:val="22"/>
          <w:color w:val="auto"/>
        </w:rPr>
        <w:t>. For certain option grants to</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officers and directors, in the event of a change in control, all of such optionee’s unvested stock options will vest and become exercisable immediately prior to the event or closing of the transaction causing the change in control.</w:t>
      </w:r>
    </w:p>
    <w:p>
      <w:pPr>
        <w:spacing w:after="0" w:line="63" w:lineRule="exact"/>
        <w:rPr>
          <w:sz w:val="20"/>
          <w:szCs w:val="20"/>
          <w:color w:val="auto"/>
        </w:rPr>
      </w:pPr>
    </w:p>
    <w:p>
      <w:pPr>
        <w:ind w:right="1899" w:firstLine="648"/>
        <w:spacing w:after="0" w:line="251" w:lineRule="auto"/>
        <w:rPr>
          <w:sz w:val="20"/>
          <w:szCs w:val="20"/>
          <w:color w:val="auto"/>
        </w:rPr>
      </w:pPr>
      <w:r>
        <w:rPr>
          <w:rFonts w:ascii="Arial" w:cs="Arial" w:eastAsia="Arial" w:hAnsi="Arial"/>
          <w:sz w:val="22"/>
          <w:szCs w:val="22"/>
          <w:color w:val="auto"/>
        </w:rPr>
        <w:t>Under the option grants, a “</w:t>
      </w:r>
      <w:r>
        <w:rPr>
          <w:rFonts w:ascii="Arial" w:cs="Arial" w:eastAsia="Arial" w:hAnsi="Arial"/>
          <w:sz w:val="22"/>
          <w:szCs w:val="22"/>
          <w:i w:val="1"/>
          <w:iCs w:val="1"/>
          <w:color w:val="auto"/>
        </w:rPr>
        <w:t>Change in Control</w:t>
      </w:r>
      <w:r>
        <w:rPr>
          <w:rFonts w:ascii="Arial" w:cs="Arial" w:eastAsia="Arial" w:hAnsi="Arial"/>
          <w:sz w:val="22"/>
          <w:szCs w:val="22"/>
          <w:color w:val="auto"/>
        </w:rPr>
        <w:t>” means a change in ownership or control of the Company effected through either of the following transactions:</w:t>
      </w:r>
    </w:p>
    <w:p>
      <w:pPr>
        <w:spacing w:after="0" w:line="52" w:lineRule="exact"/>
        <w:rPr>
          <w:sz w:val="20"/>
          <w:szCs w:val="20"/>
          <w:color w:val="auto"/>
        </w:rPr>
      </w:pPr>
    </w:p>
    <w:p>
      <w:pPr>
        <w:ind w:right="1859" w:firstLine="656"/>
        <w:spacing w:after="0" w:line="247" w:lineRule="auto"/>
        <w:tabs>
          <w:tab w:leader="none" w:pos="906"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acquisition, directly or indirectly, by any person or related group of persons (other than the Company or a person that directly or indirectly controls, is controlled by, or is under common control with, the Company ), of beneficial ownership (within the meaning of Rule 13d-3 of the 1934 Act) of securities possessing more than fifty percent (50%) of the total combined voting power of the Company ’s outstanding securities pursuant to a tender or exchange offer made directly to the Company ’s shareholders, which the Board does not recommend such shareholders to accept, or</w:t>
      </w:r>
    </w:p>
    <w:p>
      <w:pPr>
        <w:spacing w:after="0" w:line="56" w:lineRule="exact"/>
        <w:rPr>
          <w:rFonts w:ascii="Arial" w:cs="Arial" w:eastAsia="Arial" w:hAnsi="Arial"/>
          <w:sz w:val="21"/>
          <w:szCs w:val="21"/>
          <w:color w:val="auto"/>
        </w:rPr>
      </w:pPr>
    </w:p>
    <w:p>
      <w:pPr>
        <w:ind w:right="1919" w:firstLine="656"/>
        <w:spacing w:after="0" w:line="247" w:lineRule="auto"/>
        <w:tabs>
          <w:tab w:leader="none" w:pos="966" w:val="left"/>
        </w:tabs>
        <w:numPr>
          <w:ilvl w:val="0"/>
          <w:numId w:val="14"/>
        </w:numPr>
        <w:rPr>
          <w:rFonts w:ascii="Arial" w:cs="Arial" w:eastAsia="Arial" w:hAnsi="Arial"/>
          <w:sz w:val="21"/>
          <w:szCs w:val="21"/>
          <w:color w:val="auto"/>
        </w:rPr>
      </w:pPr>
      <w:r>
        <w:rPr>
          <w:rFonts w:ascii="Arial" w:cs="Arial" w:eastAsia="Arial" w:hAnsi="Arial"/>
          <w:sz w:val="21"/>
          <w:szCs w:val="21"/>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57" w:lineRule="exact"/>
        <w:rPr>
          <w:sz w:val="20"/>
          <w:szCs w:val="20"/>
          <w:color w:val="auto"/>
        </w:rPr>
      </w:pPr>
    </w:p>
    <w:p>
      <w:pPr>
        <w:ind w:right="1859" w:firstLine="648"/>
        <w:spacing w:after="0" w:line="248" w:lineRule="auto"/>
        <w:rPr>
          <w:sz w:val="20"/>
          <w:szCs w:val="20"/>
          <w:color w:val="auto"/>
        </w:rPr>
      </w:pPr>
      <w:r>
        <w:rPr>
          <w:rFonts w:ascii="Arial" w:cs="Arial" w:eastAsia="Arial" w:hAnsi="Arial"/>
          <w:sz w:val="21"/>
          <w:szCs w:val="21"/>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56" w:lineRule="exact"/>
        <w:rPr>
          <w:sz w:val="20"/>
          <w:szCs w:val="20"/>
          <w:color w:val="auto"/>
        </w:rPr>
      </w:pPr>
    </w:p>
    <w:p>
      <w:pPr>
        <w:ind w:right="2119" w:firstLine="648"/>
        <w:spacing w:after="0" w:line="274" w:lineRule="auto"/>
        <w:rPr>
          <w:sz w:val="20"/>
          <w:szCs w:val="20"/>
          <w:color w:val="auto"/>
        </w:rPr>
      </w:pPr>
      <w:r>
        <w:rPr>
          <w:rFonts w:ascii="Arial" w:cs="Arial" w:eastAsia="Arial" w:hAnsi="Arial"/>
          <w:sz w:val="21"/>
          <w:szCs w:val="21"/>
          <w:color w:val="auto"/>
        </w:rPr>
        <w:t>At our current stock price of about $4.00, all the named executive officers would each benefit from any potential accelerated vesting of unvested stock options.</w:t>
      </w:r>
    </w:p>
    <w:p>
      <w:pPr>
        <w:sectPr>
          <w:pgSz w:w="11900" w:h="16838" w:orient="portrait"/>
          <w:cols w:equalWidth="0" w:num="1">
            <w:col w:w="10219"/>
          </w:cols>
          <w:pgMar w:left="240" w:top="3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535114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type w:val="continuous"/>
        </w:sectPr>
      </w:pPr>
    </w:p>
    <w:bookmarkStart w:id="19" w:name="page20"/>
    <w:bookmarkEnd w:id="19"/>
    <w:p>
      <w:pPr>
        <w:jc w:val="center"/>
        <w:ind w:right="1759"/>
        <w:spacing w:after="0"/>
        <w:rPr>
          <w:sz w:val="20"/>
          <w:szCs w:val="20"/>
          <w:color w:val="auto"/>
        </w:rPr>
      </w:pPr>
      <w:r>
        <w:rPr>
          <w:rFonts w:ascii="Arial" w:cs="Arial" w:eastAsia="Arial" w:hAnsi="Arial"/>
          <w:sz w:val="22"/>
          <w:szCs w:val="22"/>
          <w:b w:val="1"/>
          <w:bCs w:val="1"/>
          <w:color w:val="auto"/>
        </w:rPr>
        <w:t>DIRECTOR COMPENSATION</w:t>
      </w:r>
    </w:p>
    <w:p>
      <w:pPr>
        <w:spacing w:after="0" w:line="85" w:lineRule="exact"/>
        <w:rPr>
          <w:sz w:val="20"/>
          <w:szCs w:val="20"/>
          <w:color w:val="auto"/>
        </w:rPr>
      </w:pPr>
    </w:p>
    <w:p>
      <w:pPr>
        <w:jc w:val="center"/>
        <w:ind w:right="1759"/>
        <w:spacing w:after="0"/>
        <w:rPr>
          <w:sz w:val="20"/>
          <w:szCs w:val="20"/>
          <w:color w:val="auto"/>
        </w:rPr>
      </w:pPr>
      <w:r>
        <w:rPr>
          <w:rFonts w:ascii="Arial" w:cs="Arial" w:eastAsia="Arial" w:hAnsi="Arial"/>
          <w:sz w:val="22"/>
          <w:szCs w:val="22"/>
          <w:b w:val="1"/>
          <w:bCs w:val="1"/>
          <w:color w:val="auto"/>
        </w:rPr>
        <w:t>Director Compensation</w:t>
      </w:r>
    </w:p>
    <w:p>
      <w:pPr>
        <w:spacing w:after="0" w:line="185" w:lineRule="exact"/>
        <w:rPr>
          <w:sz w:val="20"/>
          <w:szCs w:val="20"/>
          <w:color w:val="auto"/>
        </w:rPr>
      </w:pPr>
    </w:p>
    <w:p>
      <w:pPr>
        <w:jc w:val="both"/>
        <w:ind w:right="1879" w:firstLine="648"/>
        <w:spacing w:after="0"/>
        <w:rPr>
          <w:sz w:val="20"/>
          <w:szCs w:val="20"/>
          <w:color w:val="auto"/>
        </w:rPr>
      </w:pPr>
      <w:r>
        <w:rPr>
          <w:rFonts w:ascii="Arial" w:cs="Arial" w:eastAsia="Arial" w:hAnsi="Arial"/>
          <w:sz w:val="22"/>
          <w:szCs w:val="22"/>
          <w:color w:val="auto"/>
        </w:rPr>
        <w:t>The following table summarizes the compensation paid by us to non-employee directors for the year ended December 31, 2011. Ms. Hakimoglu did not receive additional compensation for her service as a director.</w:t>
      </w:r>
    </w:p>
    <w:p>
      <w:pPr>
        <w:spacing w:after="0" w:line="77" w:lineRule="exact"/>
        <w:rPr>
          <w:sz w:val="20"/>
          <w:szCs w:val="20"/>
          <w:color w:val="auto"/>
        </w:rPr>
      </w:pPr>
    </w:p>
    <w:tbl>
      <w:tblPr>
        <w:tblLayout w:type="fixed"/>
        <w:tblInd w:w="30" w:type="dxa"/>
        <w:tblCellMar>
          <w:top w:w="0" w:type="dxa"/>
          <w:left w:w="0" w:type="dxa"/>
          <w:bottom w:w="0" w:type="dxa"/>
          <w:right w:w="0" w:type="dxa"/>
        </w:tblCellMar>
      </w:tblPr>
      <w:tr>
        <w:trPr>
          <w:trHeight w:val="278"/>
        </w:trPr>
        <w:tc>
          <w:tcPr>
            <w:tcW w:w="2140" w:type="dxa"/>
            <w:vAlign w:val="bottom"/>
            <w:tcBorders>
              <w:top w:val="single" w:sz="8" w:color="808080"/>
              <w:left w:val="single" w:sz="8" w:color="808080"/>
            </w:tcBorders>
            <w:vMerge w:val="restart"/>
          </w:tcPr>
          <w:p>
            <w:pPr>
              <w:ind w:left="900"/>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top w:val="single" w:sz="8" w:color="808080"/>
            </w:tcBorders>
          </w:tcPr>
          <w:p>
            <w:pPr>
              <w:spacing w:after="0"/>
              <w:rPr>
                <w:sz w:val="24"/>
                <w:szCs w:val="24"/>
                <w:color w:val="auto"/>
              </w:rPr>
            </w:pPr>
          </w:p>
        </w:tc>
        <w:tc>
          <w:tcPr>
            <w:tcW w:w="1400" w:type="dxa"/>
            <w:vAlign w:val="bottom"/>
            <w:tcBorders>
              <w:top w:val="single" w:sz="8" w:color="808080"/>
            </w:tcBorders>
            <w:gridSpan w:val="2"/>
          </w:tcPr>
          <w:p>
            <w:pPr>
              <w:jc w:val="right"/>
              <w:spacing w:after="0"/>
              <w:rPr>
                <w:sz w:val="20"/>
                <w:szCs w:val="20"/>
                <w:color w:val="auto"/>
              </w:rPr>
            </w:pPr>
            <w:r>
              <w:rPr>
                <w:rFonts w:ascii="Arial" w:cs="Arial" w:eastAsia="Arial" w:hAnsi="Arial"/>
                <w:sz w:val="14"/>
                <w:szCs w:val="14"/>
                <w:b w:val="1"/>
                <w:bCs w:val="1"/>
                <w:color w:val="auto"/>
                <w:w w:val="96"/>
              </w:rPr>
              <w:t>Fees Earned or Paid</w:t>
            </w:r>
          </w:p>
        </w:tc>
        <w:tc>
          <w:tcPr>
            <w:tcW w:w="180" w:type="dxa"/>
            <w:vAlign w:val="bottom"/>
            <w:tcBorders>
              <w:top w:val="single" w:sz="8" w:color="808080"/>
            </w:tcBorders>
          </w:tcPr>
          <w:p>
            <w:pPr>
              <w:spacing w:after="0"/>
              <w:rPr>
                <w:sz w:val="24"/>
                <w:szCs w:val="24"/>
                <w:color w:val="auto"/>
              </w:rPr>
            </w:pPr>
          </w:p>
        </w:tc>
        <w:tc>
          <w:tcPr>
            <w:tcW w:w="1160" w:type="dxa"/>
            <w:vAlign w:val="bottom"/>
            <w:tcBorders>
              <w:top w:val="single" w:sz="8" w:color="808080"/>
            </w:tcBorders>
          </w:tcPr>
          <w:p>
            <w:pPr>
              <w:jc w:val="right"/>
              <w:ind w:right="19"/>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top w:val="single" w:sz="8" w:color="808080"/>
            </w:tcBorders>
          </w:tcPr>
          <w:p>
            <w:pPr>
              <w:spacing w:after="0"/>
              <w:rPr>
                <w:sz w:val="24"/>
                <w:szCs w:val="24"/>
                <w:color w:val="auto"/>
              </w:rPr>
            </w:pPr>
          </w:p>
        </w:tc>
        <w:tc>
          <w:tcPr>
            <w:tcW w:w="340" w:type="dxa"/>
            <w:vAlign w:val="bottom"/>
            <w:tcBorders>
              <w:top w:val="single" w:sz="8" w:color="808080"/>
            </w:tcBorders>
          </w:tcPr>
          <w:p>
            <w:pPr>
              <w:spacing w:after="0"/>
              <w:rPr>
                <w:sz w:val="24"/>
                <w:szCs w:val="24"/>
                <w:color w:val="auto"/>
              </w:rPr>
            </w:pPr>
          </w:p>
        </w:tc>
        <w:tc>
          <w:tcPr>
            <w:tcW w:w="980" w:type="dxa"/>
            <w:vAlign w:val="bottom"/>
            <w:tcBorders>
              <w:top w:val="single" w:sz="8" w:color="808080"/>
              <w:right w:val="single" w:sz="8" w:color="808080"/>
            </w:tcBorders>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140" w:type="dxa"/>
            <w:vAlign w:val="bottom"/>
            <w:tcBorders>
              <w:left w:val="single" w:sz="8" w:color="808080"/>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in Cash (1)</w:t>
            </w:r>
          </w:p>
        </w:tc>
        <w:tc>
          <w:tcPr>
            <w:tcW w:w="134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(2) ( 3)</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Borders>
              <w:right w:val="single" w:sz="8" w:color="808080"/>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40" w:type="dxa"/>
            <w:vAlign w:val="bottom"/>
            <w:tcBorders>
              <w:left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140" w:type="dxa"/>
            <w:vAlign w:val="bottom"/>
            <w:tcBorders>
              <w:left w:val="single" w:sz="8" w:color="808080"/>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Brad R. Baldwin</w:t>
            </w:r>
          </w:p>
        </w:tc>
        <w:tc>
          <w:tcPr>
            <w:tcW w:w="180" w:type="dxa"/>
            <w:vAlign w:val="bottom"/>
            <w:shd w:val="clear" w:color="auto" w:fill="B6DDE8"/>
          </w:tcPr>
          <w:p>
            <w:pPr>
              <w:spacing w:after="0"/>
              <w:rPr>
                <w:sz w:val="19"/>
                <w:szCs w:val="19"/>
                <w:color w:val="auto"/>
              </w:rPr>
            </w:pPr>
          </w:p>
        </w:tc>
        <w:tc>
          <w:tcPr>
            <w:tcW w:w="300" w:type="dxa"/>
            <w:vAlign w:val="bottom"/>
            <w:shd w:val="clear" w:color="auto" w:fill="B6DD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DDE8"/>
          </w:tcPr>
          <w:p>
            <w:pPr>
              <w:jc w:val="right"/>
              <w:ind w:right="234"/>
              <w:spacing w:after="0"/>
              <w:rPr>
                <w:sz w:val="20"/>
                <w:szCs w:val="20"/>
                <w:color w:val="auto"/>
              </w:rPr>
            </w:pPr>
            <w:r>
              <w:rPr>
                <w:rFonts w:ascii="Arial" w:cs="Arial" w:eastAsia="Arial" w:hAnsi="Arial"/>
                <w:sz w:val="18"/>
                <w:szCs w:val="18"/>
                <w:color w:val="auto"/>
              </w:rPr>
              <w:t>24,000</w:t>
            </w:r>
          </w:p>
        </w:tc>
        <w:tc>
          <w:tcPr>
            <w:tcW w:w="180" w:type="dxa"/>
            <w:vAlign w:val="bottom"/>
            <w:shd w:val="clear" w:color="auto" w:fill="B6DDE8"/>
          </w:tcPr>
          <w:p>
            <w:pPr>
              <w:spacing w:after="0"/>
              <w:rPr>
                <w:sz w:val="19"/>
                <w:szCs w:val="19"/>
                <w:color w:val="auto"/>
              </w:rPr>
            </w:pPr>
          </w:p>
        </w:tc>
        <w:tc>
          <w:tcPr>
            <w:tcW w:w="1160" w:type="dxa"/>
            <w:vAlign w:val="bottom"/>
            <w:shd w:val="clear" w:color="auto" w:fill="B6DDE8"/>
          </w:tcPr>
          <w:p>
            <w:pPr>
              <w:jc w:val="right"/>
              <w:ind w:right="239"/>
              <w:spacing w:after="0"/>
              <w:rPr>
                <w:sz w:val="20"/>
                <w:szCs w:val="20"/>
                <w:color w:val="auto"/>
              </w:rPr>
            </w:pPr>
            <w:r>
              <w:rPr>
                <w:rFonts w:ascii="Arial" w:cs="Arial" w:eastAsia="Arial" w:hAnsi="Arial"/>
                <w:sz w:val="18"/>
                <w:szCs w:val="18"/>
                <w:color w:val="auto"/>
              </w:rPr>
              <w:t>$  14,718</w:t>
            </w:r>
          </w:p>
        </w:tc>
        <w:tc>
          <w:tcPr>
            <w:tcW w:w="200" w:type="dxa"/>
            <w:vAlign w:val="bottom"/>
            <w:shd w:val="clear" w:color="auto" w:fill="B6DDE8"/>
          </w:tcPr>
          <w:p>
            <w:pPr>
              <w:spacing w:after="0"/>
              <w:rPr>
                <w:sz w:val="19"/>
                <w:szCs w:val="19"/>
                <w:color w:val="auto"/>
              </w:rPr>
            </w:pPr>
          </w:p>
        </w:tc>
        <w:tc>
          <w:tcPr>
            <w:tcW w:w="340" w:type="dxa"/>
            <w:vAlign w:val="bottom"/>
            <w:shd w:val="clear" w:color="auto" w:fill="B6DDE8"/>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B6DDE8"/>
          </w:tcPr>
          <w:p>
            <w:pPr>
              <w:ind w:left="140"/>
              <w:spacing w:after="0"/>
              <w:rPr>
                <w:sz w:val="20"/>
                <w:szCs w:val="20"/>
                <w:color w:val="auto"/>
              </w:rPr>
            </w:pPr>
            <w:r>
              <w:rPr>
                <w:rFonts w:ascii="Arial" w:cs="Arial" w:eastAsia="Arial" w:hAnsi="Arial"/>
                <w:sz w:val="18"/>
                <w:szCs w:val="18"/>
                <w:color w:val="auto"/>
              </w:rPr>
              <w:t>38,718</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808080"/>
            </w:tcBorders>
          </w:tcPr>
          <w:p>
            <w:pPr>
              <w:ind w:left="20"/>
              <w:spacing w:after="0"/>
              <w:rPr>
                <w:sz w:val="20"/>
                <w:szCs w:val="20"/>
                <w:color w:val="auto"/>
              </w:rPr>
            </w:pPr>
            <w:r>
              <w:rPr>
                <w:rFonts w:ascii="Arial" w:cs="Arial" w:eastAsia="Arial" w:hAnsi="Arial"/>
                <w:sz w:val="18"/>
                <w:szCs w:val="18"/>
                <w:color w:val="auto"/>
              </w:rPr>
              <w:t>Larry R. Hendricks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24,000</w:t>
            </w:r>
          </w:p>
        </w:tc>
        <w:tc>
          <w:tcPr>
            <w:tcW w:w="1340" w:type="dxa"/>
            <w:vAlign w:val="bottom"/>
            <w:gridSpan w:val="2"/>
          </w:tcPr>
          <w:p>
            <w:pPr>
              <w:jc w:val="right"/>
              <w:ind w:right="239"/>
              <w:spacing w:after="0"/>
              <w:rPr>
                <w:sz w:val="20"/>
                <w:szCs w:val="20"/>
                <w:color w:val="auto"/>
              </w:rPr>
            </w:pPr>
            <w:r>
              <w:rPr>
                <w:rFonts w:ascii="Arial" w:cs="Arial" w:eastAsia="Arial" w:hAnsi="Arial"/>
                <w:sz w:val="18"/>
                <w:szCs w:val="18"/>
                <w:color w:val="auto"/>
              </w:rPr>
              <w:t>14,718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ind w:left="140"/>
              <w:spacing w:after="0"/>
              <w:rPr>
                <w:sz w:val="20"/>
                <w:szCs w:val="20"/>
                <w:color w:val="auto"/>
              </w:rPr>
            </w:pPr>
            <w:r>
              <w:rPr>
                <w:rFonts w:ascii="Arial" w:cs="Arial" w:eastAsia="Arial" w:hAnsi="Arial"/>
                <w:sz w:val="18"/>
                <w:szCs w:val="18"/>
                <w:color w:val="auto"/>
              </w:rPr>
              <w:t>38,718</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8"/>
                <w:szCs w:val="18"/>
                <w:color w:val="auto"/>
              </w:rPr>
              <w:t>Scott M. Huntsman</w:t>
            </w:r>
          </w:p>
        </w:tc>
        <w:tc>
          <w:tcPr>
            <w:tcW w:w="180" w:type="dxa"/>
            <w:vAlign w:val="bottom"/>
            <w:shd w:val="clear" w:color="auto" w:fill="B6DDE8"/>
          </w:tcPr>
          <w:p>
            <w:pPr>
              <w:spacing w:after="0"/>
              <w:rPr>
                <w:sz w:val="19"/>
                <w:szCs w:val="19"/>
                <w:color w:val="auto"/>
              </w:rPr>
            </w:pPr>
          </w:p>
        </w:tc>
        <w:tc>
          <w:tcPr>
            <w:tcW w:w="300" w:type="dxa"/>
            <w:vAlign w:val="bottom"/>
            <w:shd w:val="clear" w:color="auto" w:fill="B6DDE8"/>
          </w:tcPr>
          <w:p>
            <w:pPr>
              <w:spacing w:after="0"/>
              <w:rPr>
                <w:sz w:val="19"/>
                <w:szCs w:val="19"/>
                <w:color w:val="auto"/>
              </w:rPr>
            </w:pPr>
          </w:p>
        </w:tc>
        <w:tc>
          <w:tcPr>
            <w:tcW w:w="1100" w:type="dxa"/>
            <w:vAlign w:val="bottom"/>
            <w:shd w:val="clear" w:color="auto" w:fill="B6DDE8"/>
          </w:tcPr>
          <w:p>
            <w:pPr>
              <w:jc w:val="right"/>
              <w:ind w:right="234"/>
              <w:spacing w:after="0"/>
              <w:rPr>
                <w:sz w:val="20"/>
                <w:szCs w:val="20"/>
                <w:color w:val="auto"/>
              </w:rPr>
            </w:pPr>
            <w:r>
              <w:rPr>
                <w:rFonts w:ascii="Arial" w:cs="Arial" w:eastAsia="Arial" w:hAnsi="Arial"/>
                <w:sz w:val="18"/>
                <w:szCs w:val="18"/>
                <w:color w:val="auto"/>
              </w:rPr>
              <w:t>24,000</w:t>
            </w:r>
          </w:p>
        </w:tc>
        <w:tc>
          <w:tcPr>
            <w:tcW w:w="1340" w:type="dxa"/>
            <w:vAlign w:val="bottom"/>
            <w:gridSpan w:val="2"/>
            <w:shd w:val="clear" w:color="auto" w:fill="B6DDE8"/>
          </w:tcPr>
          <w:p>
            <w:pPr>
              <w:jc w:val="right"/>
              <w:ind w:right="239"/>
              <w:spacing w:after="0"/>
              <w:rPr>
                <w:sz w:val="20"/>
                <w:szCs w:val="20"/>
                <w:color w:val="auto"/>
              </w:rPr>
            </w:pPr>
            <w:r>
              <w:rPr>
                <w:rFonts w:ascii="Arial" w:cs="Arial" w:eastAsia="Arial" w:hAnsi="Arial"/>
                <w:sz w:val="18"/>
                <w:szCs w:val="18"/>
                <w:color w:val="auto"/>
              </w:rPr>
              <w:t>14,718</w:t>
            </w:r>
          </w:p>
        </w:tc>
        <w:tc>
          <w:tcPr>
            <w:tcW w:w="200" w:type="dxa"/>
            <w:vAlign w:val="bottom"/>
            <w:shd w:val="clear" w:color="auto" w:fill="B6DDE8"/>
          </w:tcPr>
          <w:p>
            <w:pPr>
              <w:spacing w:after="0"/>
              <w:rPr>
                <w:sz w:val="19"/>
                <w:szCs w:val="19"/>
                <w:color w:val="auto"/>
              </w:rPr>
            </w:pPr>
          </w:p>
        </w:tc>
        <w:tc>
          <w:tcPr>
            <w:tcW w:w="340" w:type="dxa"/>
            <w:vAlign w:val="bottom"/>
            <w:shd w:val="clear" w:color="auto" w:fill="B6DDE8"/>
          </w:tcPr>
          <w:p>
            <w:pPr>
              <w:spacing w:after="0"/>
              <w:rPr>
                <w:sz w:val="19"/>
                <w:szCs w:val="19"/>
                <w:color w:val="auto"/>
              </w:rPr>
            </w:pPr>
          </w:p>
        </w:tc>
        <w:tc>
          <w:tcPr>
            <w:tcW w:w="940" w:type="dxa"/>
            <w:vAlign w:val="bottom"/>
            <w:shd w:val="clear" w:color="auto" w:fill="B6DDE8"/>
          </w:tcPr>
          <w:p>
            <w:pPr>
              <w:ind w:left="140"/>
              <w:spacing w:after="0"/>
              <w:rPr>
                <w:sz w:val="20"/>
                <w:szCs w:val="20"/>
                <w:color w:val="auto"/>
              </w:rPr>
            </w:pPr>
            <w:r>
              <w:rPr>
                <w:rFonts w:ascii="Arial" w:cs="Arial" w:eastAsia="Arial" w:hAnsi="Arial"/>
                <w:sz w:val="18"/>
                <w:szCs w:val="18"/>
                <w:color w:val="auto"/>
              </w:rPr>
              <w:t>38,718</w:t>
            </w: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140" w:type="dxa"/>
            <w:vAlign w:val="bottom"/>
            <w:tcBorders>
              <w:left w:val="single" w:sz="8" w:color="808080"/>
              <w:bottom w:val="single" w:sz="8" w:color="808080"/>
            </w:tcBorders>
          </w:tcPr>
          <w:p>
            <w:pPr>
              <w:ind w:left="20"/>
              <w:spacing w:after="0"/>
              <w:rPr>
                <w:sz w:val="20"/>
                <w:szCs w:val="20"/>
                <w:color w:val="auto"/>
              </w:rPr>
            </w:pPr>
            <w:r>
              <w:rPr>
                <w:rFonts w:ascii="Arial" w:cs="Arial" w:eastAsia="Arial" w:hAnsi="Arial"/>
                <w:sz w:val="18"/>
                <w:szCs w:val="18"/>
                <w:color w:val="auto"/>
              </w:rPr>
              <w:t>E. Bryan Bagley</w:t>
            </w:r>
          </w:p>
        </w:tc>
        <w:tc>
          <w:tcPr>
            <w:tcW w:w="1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ind w:right="234"/>
              <w:spacing w:after="0"/>
              <w:rPr>
                <w:sz w:val="20"/>
                <w:szCs w:val="20"/>
                <w:color w:val="auto"/>
              </w:rPr>
            </w:pPr>
            <w:r>
              <w:rPr>
                <w:rFonts w:ascii="Arial" w:cs="Arial" w:eastAsia="Arial" w:hAnsi="Arial"/>
                <w:sz w:val="18"/>
                <w:szCs w:val="18"/>
                <w:color w:val="auto"/>
              </w:rPr>
              <w:t>24,000</w:t>
            </w:r>
          </w:p>
        </w:tc>
        <w:tc>
          <w:tcPr>
            <w:tcW w:w="1340" w:type="dxa"/>
            <w:vAlign w:val="bottom"/>
            <w:tcBorders>
              <w:bottom w:val="single" w:sz="8" w:color="808080"/>
            </w:tcBorders>
            <w:gridSpan w:val="2"/>
          </w:tcPr>
          <w:p>
            <w:pPr>
              <w:jc w:val="right"/>
              <w:ind w:right="239"/>
              <w:spacing w:after="0"/>
              <w:rPr>
                <w:sz w:val="20"/>
                <w:szCs w:val="20"/>
                <w:color w:val="auto"/>
              </w:rPr>
            </w:pPr>
            <w:r>
              <w:rPr>
                <w:rFonts w:ascii="Arial" w:cs="Arial" w:eastAsia="Arial" w:hAnsi="Arial"/>
                <w:sz w:val="18"/>
                <w:szCs w:val="18"/>
                <w:color w:val="auto"/>
              </w:rPr>
              <w:t>14,718</w:t>
            </w:r>
          </w:p>
        </w:tc>
        <w:tc>
          <w:tcPr>
            <w:tcW w:w="20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ind w:left="140"/>
              <w:spacing w:after="0"/>
              <w:rPr>
                <w:sz w:val="20"/>
                <w:szCs w:val="20"/>
                <w:color w:val="auto"/>
              </w:rPr>
            </w:pPr>
            <w:r>
              <w:rPr>
                <w:rFonts w:ascii="Arial" w:cs="Arial" w:eastAsia="Arial" w:hAnsi="Arial"/>
                <w:sz w:val="18"/>
                <w:szCs w:val="18"/>
                <w:color w:val="auto"/>
              </w:rPr>
              <w:t>38,718</w:t>
            </w:r>
          </w:p>
        </w:tc>
        <w:tc>
          <w:tcPr>
            <w:tcW w:w="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base annual director’s fee for the year ended December 31, 2011 was $24,000.</w:t>
      </w:r>
    </w:p>
    <w:p>
      <w:pPr>
        <w:spacing w:after="0" w:line="163" w:lineRule="exact"/>
        <w:rPr>
          <w:rFonts w:ascii="Arial" w:cs="Arial" w:eastAsia="Arial" w:hAnsi="Arial"/>
          <w:sz w:val="21"/>
          <w:szCs w:val="21"/>
          <w:color w:val="auto"/>
        </w:rPr>
      </w:pPr>
    </w:p>
    <w:p>
      <w:pPr>
        <w:ind w:left="660" w:right="1839" w:hanging="652"/>
        <w:spacing w:after="0" w:line="247" w:lineRule="auto"/>
        <w:tabs>
          <w:tab w:leader="none" w:pos="633"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21"/>
          <w:szCs w:val="21"/>
          <w:i w:val="1"/>
          <w:iCs w:val="1"/>
          <w:color w:val="auto"/>
        </w:rPr>
        <w:t>Compensation - Stock Compensation</w:t>
      </w:r>
      <w:r>
        <w:rPr>
          <w:rFonts w:ascii="Arial" w:cs="Arial" w:eastAsia="Arial" w:hAnsi="Arial"/>
          <w:sz w:val="21"/>
          <w:szCs w:val="21"/>
          <w:color w:val="auto"/>
        </w:rPr>
        <w:t>. The assumptions made in the valuation of our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option awards are disclosed in </w:t>
      </w:r>
      <w:r>
        <w:rPr>
          <w:rFonts w:ascii="Arial" w:cs="Arial" w:eastAsia="Arial" w:hAnsi="Arial"/>
          <w:sz w:val="21"/>
          <w:szCs w:val="21"/>
          <w:u w:val="single" w:color="auto"/>
          <w:color w:val="0000FF"/>
        </w:rPr>
        <w:t>Note 9 - Share Based Payments</w:t>
      </w:r>
      <w:r>
        <w:rPr>
          <w:rFonts w:ascii="Arial" w:cs="Arial" w:eastAsia="Arial" w:hAnsi="Arial"/>
          <w:sz w:val="21"/>
          <w:szCs w:val="21"/>
          <w:color w:val="auto"/>
        </w:rPr>
        <w:t xml:space="preserve"> in our Notes to Consolidated Financial Statements contained in our annual report on Form 10-K for the year ended December 31, 2011.</w:t>
      </w:r>
    </w:p>
    <w:p>
      <w:pPr>
        <w:spacing w:after="0" w:line="43" w:lineRule="exact"/>
        <w:rPr>
          <w:rFonts w:ascii="Arial" w:cs="Arial" w:eastAsia="Arial" w:hAnsi="Arial"/>
          <w:sz w:val="21"/>
          <w:szCs w:val="21"/>
          <w:color w:val="auto"/>
        </w:rPr>
      </w:pPr>
    </w:p>
    <w:p>
      <w:pPr>
        <w:ind w:left="660" w:right="1819" w:hanging="598"/>
        <w:spacing w:after="0" w:line="297" w:lineRule="auto"/>
        <w:tabs>
          <w:tab w:leader="none" w:pos="633" w:val="left"/>
        </w:tabs>
        <w:numPr>
          <w:ilvl w:val="1"/>
          <w:numId w:val="15"/>
        </w:numPr>
        <w:rPr>
          <w:rFonts w:ascii="Arial" w:cs="Arial" w:eastAsia="Arial" w:hAnsi="Arial"/>
          <w:sz w:val="19"/>
          <w:szCs w:val="19"/>
          <w:color w:val="auto"/>
        </w:rPr>
      </w:pPr>
      <w:r>
        <w:rPr>
          <w:rFonts w:ascii="Arial" w:cs="Arial" w:eastAsia="Arial" w:hAnsi="Arial"/>
          <w:sz w:val="19"/>
          <w:szCs w:val="19"/>
          <w:color w:val="auto"/>
        </w:rPr>
        <w:t>As of the end of December 31, 2011, each non-employee director had outstanding options to purchase the following number of company shares of common stock: Mr. Baldwin, 140,000; Mr. Hendricks, 80,000; Mr. Huntsman, 90,000; and Mr. Bagley, 30,000.</w:t>
      </w:r>
    </w:p>
    <w:p>
      <w:pPr>
        <w:spacing w:after="0" w:line="13" w:lineRule="exact"/>
        <w:rPr>
          <w:sz w:val="20"/>
          <w:szCs w:val="20"/>
          <w:color w:val="auto"/>
        </w:rPr>
      </w:pPr>
    </w:p>
    <w:p>
      <w:pPr>
        <w:ind w:right="1899" w:firstLine="648"/>
        <w:spacing w:after="0" w:line="247" w:lineRule="auto"/>
        <w:rPr>
          <w:sz w:val="20"/>
          <w:szCs w:val="20"/>
          <w:color w:val="auto"/>
        </w:rPr>
      </w:pPr>
      <w:r>
        <w:rPr>
          <w:rFonts w:ascii="Arial" w:cs="Arial" w:eastAsia="Arial" w:hAnsi="Arial"/>
          <w:sz w:val="21"/>
          <w:szCs w:val="21"/>
          <w:color w:val="auto"/>
        </w:rPr>
        <w:t>All non-employee directors are paid a fixed fee at the rate of $2,000 per month and receive the same option grants. In August 2011, each non-employee director received a grant of options to purchase 5,000 shares of our common stock at an exercise price of $5.48. The fee is not dependent on the number of meetings attended by any directors. Directors are not paid additional compensation for chairing a committee. All directors are reimbursed by us for their out-of-pocket travel and related expenses incurred in attending all Board of Directors and committee meetings.</w:t>
      </w:r>
    </w:p>
    <w:p>
      <w:pPr>
        <w:spacing w:after="0" w:line="51"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91" w:lineRule="exact"/>
        <w:rPr>
          <w:sz w:val="20"/>
          <w:szCs w:val="20"/>
          <w:color w:val="auto"/>
        </w:rPr>
      </w:pPr>
    </w:p>
    <w:p>
      <w:pPr>
        <w:jc w:val="both"/>
        <w:ind w:right="1939" w:firstLine="1297"/>
        <w:spacing w:after="0" w:line="273" w:lineRule="auto"/>
        <w:rPr>
          <w:sz w:val="20"/>
          <w:szCs w:val="20"/>
          <w:color w:val="auto"/>
        </w:rPr>
      </w:pPr>
      <w:r>
        <w:rPr>
          <w:rFonts w:ascii="Arial" w:cs="Arial" w:eastAsia="Arial" w:hAnsi="Arial"/>
          <w:sz w:val="19"/>
          <w:szCs w:val="19"/>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w:t>
      </w:r>
    </w:p>
    <w:p>
      <w:pPr>
        <w:spacing w:after="0" w:line="2" w:lineRule="exact"/>
        <w:rPr>
          <w:sz w:val="20"/>
          <w:szCs w:val="20"/>
          <w:color w:val="auto"/>
        </w:rPr>
      </w:pPr>
    </w:p>
    <w:p>
      <w:pPr>
        <w:ind w:right="1779" w:firstLine="50"/>
        <w:spacing w:after="0" w:line="243" w:lineRule="auto"/>
        <w:rPr>
          <w:sz w:val="20"/>
          <w:szCs w:val="20"/>
          <w:color w:val="auto"/>
        </w:rPr>
      </w:pPr>
      <w:r>
        <w:rPr>
          <w:rFonts w:ascii="Arial" w:cs="Arial" w:eastAsia="Arial" w:hAnsi="Arial"/>
          <w:sz w:val="21"/>
          <w:szCs w:val="21"/>
          <w:color w:val="auto"/>
        </w:rPr>
        <w:t>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Related Party Transactions: Indemnification of Officers and Directors</w:t>
      </w:r>
    </w:p>
    <w:p>
      <w:pPr>
        <w:spacing w:after="0" w:line="185" w:lineRule="exact"/>
        <w:rPr>
          <w:sz w:val="20"/>
          <w:szCs w:val="20"/>
          <w:color w:val="auto"/>
        </w:rPr>
      </w:pPr>
    </w:p>
    <w:p>
      <w:pPr>
        <w:ind w:right="2019" w:firstLine="648"/>
        <w:spacing w:after="0" w:line="236" w:lineRule="auto"/>
        <w:rPr>
          <w:sz w:val="20"/>
          <w:szCs w:val="20"/>
          <w:color w:val="auto"/>
        </w:rPr>
      </w:pPr>
      <w:r>
        <w:rPr>
          <w:rFonts w:ascii="Arial" w:cs="Arial" w:eastAsia="Arial" w:hAnsi="Arial"/>
          <w:sz w:val="22"/>
          <w:szCs w:val="22"/>
          <w:color w:val="auto"/>
        </w:rPr>
        <w:t>On July 25, 2007 and January 31,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w:t>
      </w:r>
    </w:p>
    <w:p>
      <w:pPr>
        <w:spacing w:after="0" w:line="66" w:lineRule="exact"/>
        <w:rPr>
          <w:sz w:val="20"/>
          <w:szCs w:val="20"/>
          <w:color w:val="auto"/>
        </w:rPr>
      </w:pPr>
    </w:p>
    <w:p>
      <w:pPr>
        <w:ind w:right="1859" w:firstLine="648"/>
        <w:spacing w:after="0" w:line="236" w:lineRule="auto"/>
        <w:rPr>
          <w:sz w:val="20"/>
          <w:szCs w:val="20"/>
          <w:color w:val="auto"/>
        </w:rPr>
      </w:pPr>
      <w:r>
        <w:rPr>
          <w:rFonts w:ascii="Arial" w:cs="Arial" w:eastAsia="Arial" w:hAnsi="Arial"/>
          <w:sz w:val="22"/>
          <w:szCs w:val="22"/>
          <w:color w:val="auto"/>
        </w:rPr>
        <w:t>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To date, we have paid approximately $2.9 million in attorneys’ fees and costs to defend against the charges.</w:t>
      </w:r>
    </w:p>
    <w:p>
      <w:pPr>
        <w:sectPr>
          <w:pgSz w:w="11900" w:h="16838" w:orient="portrait"/>
          <w:cols w:equalWidth="0" w:num="1">
            <w:col w:w="10219"/>
          </w:cols>
          <w:pgMar w:left="240" w:top="355" w:right="1440" w:bottom="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35114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55" w:right="1440" w:bottom="78" w:gutter="0" w:footer="0" w:header="0"/>
          <w:type w:val="continuous"/>
        </w:sectPr>
      </w:pPr>
    </w:p>
    <w:bookmarkStart w:id="20" w:name="page21"/>
    <w:bookmarkEnd w:id="20"/>
    <w:p>
      <w:pPr>
        <w:ind w:right="1939"/>
        <w:spacing w:after="0" w:line="274" w:lineRule="auto"/>
        <w:rPr>
          <w:sz w:val="20"/>
          <w:szCs w:val="20"/>
          <w:color w:val="auto"/>
        </w:rPr>
      </w:pPr>
      <w:r>
        <w:rPr>
          <w:rFonts w:ascii="Arial" w:cs="Arial" w:eastAsia="Arial" w:hAnsi="Arial"/>
          <w:sz w:val="19"/>
          <w:szCs w:val="19"/>
          <w:color w:val="auto"/>
        </w:rPr>
        <w:t>On February 27, 2009, Flood was convicted on nine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Strohm was convicted on one count of perjury in connection with testimony given under oath in an official proceeding brought by the SEC in 2003.On June 2, 2010, Flood was sentenced to 4 years in prison plus 3 years of probation and Strohm was sentenced to 2 years’ probation plus 150 hours of community service. Flood began serving her prison sentence on November 3, 2010.</w:t>
      </w:r>
    </w:p>
    <w:p>
      <w:pPr>
        <w:spacing w:after="0" w:line="186" w:lineRule="exact"/>
        <w:rPr>
          <w:sz w:val="20"/>
          <w:szCs w:val="20"/>
          <w:color w:val="auto"/>
        </w:rPr>
      </w:pPr>
    </w:p>
    <w:p>
      <w:pPr>
        <w:ind w:right="2119" w:firstLine="648"/>
        <w:spacing w:after="0" w:line="248" w:lineRule="auto"/>
        <w:rPr>
          <w:sz w:val="20"/>
          <w:szCs w:val="20"/>
          <w:color w:val="auto"/>
        </w:rPr>
      </w:pPr>
      <w:r>
        <w:rPr>
          <w:rFonts w:ascii="Arial" w:cs="Arial" w:eastAsia="Arial" w:hAnsi="Arial"/>
          <w:sz w:val="21"/>
          <w:szCs w:val="21"/>
          <w:color w:val="auto"/>
        </w:rPr>
        <w:t>On April 4, 2011, the Tenth Circuit Court of Appeals in Denver affirmed Flood’s conviction, but has allowed her to assert in a collateral proceeding her claim that she received ineffective assistance of counsel because her trial counsel allegedly labored under actual conflicts of interest. On June 5, 2012, Judge Benson denied Flood’s motion to vacate and set aside her conviction based on this theory. On November 8, 2011, the Tenth Circuit affirmed Strohm’s perjury conviction as well.</w:t>
      </w:r>
    </w:p>
    <w:p>
      <w:pPr>
        <w:spacing w:after="0" w:line="198" w:lineRule="exact"/>
        <w:rPr>
          <w:sz w:val="20"/>
          <w:szCs w:val="20"/>
          <w:color w:val="auto"/>
        </w:rPr>
      </w:pPr>
    </w:p>
    <w:p>
      <w:pPr>
        <w:ind w:right="1779" w:firstLine="648"/>
        <w:spacing w:after="0" w:line="236" w:lineRule="auto"/>
        <w:rPr>
          <w:sz w:val="20"/>
          <w:szCs w:val="20"/>
          <w:color w:val="auto"/>
        </w:rPr>
      </w:pPr>
      <w:r>
        <w:rPr>
          <w:rFonts w:ascii="Arial" w:cs="Arial" w:eastAsia="Arial" w:hAnsi="Arial"/>
          <w:sz w:val="22"/>
          <w:szCs w:val="22"/>
          <w:b w:val="1"/>
          <w:bCs w:val="1"/>
          <w:color w:val="auto"/>
        </w:rPr>
        <w:t>Flood</w:t>
      </w:r>
      <w:r>
        <w:rPr>
          <w:rFonts w:ascii="Arial" w:cs="Arial" w:eastAsia="Arial" w:hAnsi="Arial"/>
          <w:sz w:val="22"/>
          <w:szCs w:val="22"/>
          <w:color w:val="auto"/>
        </w:rPr>
        <w:t>: On August 21, 2008, Flood filed a lawsuit in Federal District Court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District of Utah, seeking to compel us to pay her attorneys’ fees and costs to defend against the criminal charges. On January 12, 2009, the District Court issued a preliminary injunction requiring us to pay Flood’s criminal legal fees and costs through trial. Pursuant to the Court’s order, we paid approximately $373,000 to Flood’s attorneys and approximately $248,000 into the Court’s escrow.</w:t>
      </w:r>
    </w:p>
    <w:p>
      <w:pPr>
        <w:spacing w:after="0" w:line="215" w:lineRule="exact"/>
        <w:rPr>
          <w:sz w:val="20"/>
          <w:szCs w:val="20"/>
          <w:color w:val="auto"/>
        </w:rPr>
      </w:pPr>
    </w:p>
    <w:p>
      <w:pPr>
        <w:ind w:right="1799" w:firstLine="648"/>
        <w:spacing w:after="0" w:line="236" w:lineRule="auto"/>
        <w:rPr>
          <w:sz w:val="20"/>
          <w:szCs w:val="20"/>
          <w:color w:val="auto"/>
        </w:rPr>
      </w:pPr>
      <w:r>
        <w:rPr>
          <w:rFonts w:ascii="Arial" w:cs="Arial" w:eastAsia="Arial" w:hAnsi="Arial"/>
          <w:sz w:val="22"/>
          <w:szCs w:val="22"/>
          <w:color w:val="auto"/>
        </w:rPr>
        <w:t>On August 30, 2010, the Tenth Circuit Court of Appeals issued a ruling vacating the District Court’s preliminary injunction on the grounds that it rested on a legally erroneous interpretation of Flood’s Employment Separation Agreement. On November 29, 2010, ClearOne filed a motion in the United States District Court for the District of Utah seeking a return of the monies paid by ClearOne pursuant to the Court’s order.</w:t>
      </w:r>
    </w:p>
    <w:p>
      <w:pPr>
        <w:spacing w:after="0" w:line="215" w:lineRule="exact"/>
        <w:rPr>
          <w:sz w:val="20"/>
          <w:szCs w:val="20"/>
          <w:color w:val="auto"/>
        </w:rPr>
      </w:pPr>
    </w:p>
    <w:p>
      <w:pPr>
        <w:ind w:right="1819" w:firstLine="648"/>
        <w:spacing w:after="0" w:line="247" w:lineRule="auto"/>
        <w:rPr>
          <w:sz w:val="20"/>
          <w:szCs w:val="20"/>
          <w:color w:val="auto"/>
        </w:rPr>
      </w:pPr>
      <w:r>
        <w:rPr>
          <w:rFonts w:ascii="Arial" w:cs="Arial" w:eastAsia="Arial" w:hAnsi="Arial"/>
          <w:sz w:val="21"/>
          <w:szCs w:val="21"/>
          <w:color w:val="auto"/>
        </w:rPr>
        <w:t>On January 23, 2012, the District Court granted ClearOne’s motion for return of the $248 held in the Court’s escrow, but denied ClearOne’s motion with respect to the $373,000 paid to Flood’s attorneys. On February 21, 2012, ClearOne filed a writ of mandamus with the Tenth Circuit seeking an order requiring Flood’s attorneys to return the $373,000 paid pursuant to the Court’s order. On April 30, 2012, the Tenth Circuit denied ClearOne’s writ of mandamus on the grounds that ClearOne’s request for restitution should be reviewed on appeal after entry of a final order by the District Court.</w:t>
      </w:r>
    </w:p>
    <w:p>
      <w:pPr>
        <w:spacing w:after="0" w:line="205" w:lineRule="exact"/>
        <w:rPr>
          <w:sz w:val="20"/>
          <w:szCs w:val="20"/>
          <w:color w:val="auto"/>
        </w:rPr>
      </w:pPr>
    </w:p>
    <w:p>
      <w:pPr>
        <w:ind w:right="1839" w:firstLine="648"/>
        <w:spacing w:after="0" w:line="297" w:lineRule="auto"/>
        <w:rPr>
          <w:sz w:val="20"/>
          <w:szCs w:val="20"/>
          <w:color w:val="auto"/>
        </w:rPr>
      </w:pPr>
      <w:r>
        <w:rPr>
          <w:rFonts w:ascii="Arial" w:cs="Arial" w:eastAsia="Arial" w:hAnsi="Arial"/>
          <w:sz w:val="19"/>
          <w:szCs w:val="19"/>
          <w:color w:val="auto"/>
        </w:rPr>
        <w:t>Also pending in the District Court is ClearOne’s counterclaim for approximately $2.9 million seeking to enforce Flood’s August 2003 promise to repay all advanced expenses if it was ultimately adjudged that she did not meet the requisite standard of conduct.</w:t>
      </w:r>
    </w:p>
    <w:p>
      <w:pPr>
        <w:spacing w:after="0" w:line="155" w:lineRule="exact"/>
        <w:rPr>
          <w:sz w:val="20"/>
          <w:szCs w:val="20"/>
          <w:color w:val="auto"/>
        </w:rPr>
      </w:pPr>
    </w:p>
    <w:p>
      <w:pPr>
        <w:ind w:right="1959" w:firstLine="648"/>
        <w:spacing w:after="0" w:line="239" w:lineRule="auto"/>
        <w:rPr>
          <w:sz w:val="20"/>
          <w:szCs w:val="20"/>
          <w:color w:val="auto"/>
        </w:rPr>
      </w:pPr>
      <w:r>
        <w:rPr>
          <w:rFonts w:ascii="Arial" w:cs="Arial" w:eastAsia="Arial" w:hAnsi="Arial"/>
          <w:sz w:val="22"/>
          <w:szCs w:val="22"/>
          <w:b w:val="1"/>
          <w:bCs w:val="1"/>
          <w:color w:val="auto"/>
        </w:rPr>
        <w:t>Strohm</w:t>
      </w:r>
      <w:r>
        <w:rPr>
          <w:rFonts w:ascii="Arial" w:cs="Arial" w:eastAsia="Arial" w:hAnsi="Arial"/>
          <w:sz w:val="22"/>
          <w:szCs w:val="22"/>
          <w:color w:val="auto"/>
        </w:rPr>
        <w:t>: On August 21, 2008, Strohm and her counsel (“Dorsey”) filed a lawsuit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Judicial District Court in Salt Lake City, Utah seeking to compel us to pay Strohm’s attorneys’ fees and costs to defend against the criminal charges, plus interest, and for attorneys’ fees in connection with the civil action.</w:t>
      </w:r>
    </w:p>
    <w:p>
      <w:pPr>
        <w:spacing w:after="0" w:line="214" w:lineRule="exact"/>
        <w:rPr>
          <w:sz w:val="20"/>
          <w:szCs w:val="20"/>
          <w:color w:val="auto"/>
        </w:rPr>
      </w:pPr>
    </w:p>
    <w:p>
      <w:pPr>
        <w:ind w:right="1799" w:firstLine="648"/>
        <w:spacing w:after="0" w:line="246" w:lineRule="auto"/>
        <w:rPr>
          <w:sz w:val="20"/>
          <w:szCs w:val="20"/>
          <w:color w:val="auto"/>
        </w:rPr>
      </w:pPr>
      <w:r>
        <w:rPr>
          <w:rFonts w:ascii="Arial" w:cs="Arial" w:eastAsia="Arial" w:hAnsi="Arial"/>
          <w:sz w:val="21"/>
          <w:szCs w:val="21"/>
          <w:color w:val="auto"/>
        </w:rPr>
        <w:t>October 26, 2009, the Court granted Strohm’s motion for mandatory indemnification, ruling that we were required to indemnify Strohm for her reasonable attorneys’ fees and expenses to the extent that she was successful on the merits at trial. On March 2, 2010, the Court ruled that the Dorsey engagement letter provided an alternative basis requiring the Company to pay Strohm’s reasonable attorneys’ fees and costs incurred in connection with the federal criminal proceedings. The Court also ruled that ClearOne is required to pay Dorsey’s reasonable attorneys’ fees and costs incurred in bringing the civil lawsuit against the Company, subject to certain deductions.</w:t>
      </w:r>
    </w:p>
    <w:p>
      <w:pPr>
        <w:spacing w:after="0" w:line="208" w:lineRule="exact"/>
        <w:rPr>
          <w:sz w:val="20"/>
          <w:szCs w:val="20"/>
          <w:color w:val="auto"/>
        </w:rPr>
      </w:pPr>
    </w:p>
    <w:p>
      <w:pPr>
        <w:jc w:val="both"/>
        <w:ind w:right="1819" w:firstLine="648"/>
        <w:spacing w:after="0" w:line="238" w:lineRule="auto"/>
        <w:rPr>
          <w:sz w:val="20"/>
          <w:szCs w:val="20"/>
          <w:color w:val="auto"/>
        </w:rPr>
      </w:pPr>
      <w:r>
        <w:rPr>
          <w:rFonts w:ascii="Arial" w:cs="Arial" w:eastAsia="Arial" w:hAnsi="Arial"/>
          <w:sz w:val="22"/>
          <w:szCs w:val="22"/>
          <w:color w:val="auto"/>
        </w:rPr>
        <w:t>On January 24, 2011, the Court ruled that ClearOne was required to pay Dorsey at Court-determined rates for all criminal defense services rendered and costs incurred through the federal jury verdict in the criminal case on February 27, 2009, but that ClearOne was not required to pay for any post-verdict criminal defense services.</w:t>
      </w:r>
    </w:p>
    <w:p>
      <w:pPr>
        <w:spacing w:after="0" w:line="212" w:lineRule="exact"/>
        <w:rPr>
          <w:sz w:val="20"/>
          <w:szCs w:val="20"/>
          <w:color w:val="auto"/>
        </w:rPr>
      </w:pPr>
    </w:p>
    <w:p>
      <w:pPr>
        <w:ind w:right="1939" w:firstLine="648"/>
        <w:spacing w:after="0" w:line="282" w:lineRule="auto"/>
        <w:rPr>
          <w:sz w:val="20"/>
          <w:szCs w:val="20"/>
          <w:color w:val="auto"/>
        </w:rPr>
      </w:pPr>
      <w:r>
        <w:rPr>
          <w:rFonts w:ascii="Arial" w:cs="Arial" w:eastAsia="Arial" w:hAnsi="Arial"/>
          <w:sz w:val="19"/>
          <w:szCs w:val="19"/>
          <w:color w:val="auto"/>
        </w:rPr>
        <w:t>On June 8, 2011, the District Court entered Judgment against ClearOne for $973,000 in fees and expenses in the criminal case, plus $362,000 in interest at 18% through February 1, 2011, which amounts were paid by ClearOne under protest to Dorsey on February 1, 2011. The Judgment also included $865,000 in civil case fees and expenses plus interest. ClearOne has posted a cash bond to cover the civil case fees and interest pending ClearOne’s appeal.On</w:t>
      </w:r>
    </w:p>
    <w:p>
      <w:pPr>
        <w:sectPr>
          <w:pgSz w:w="11900" w:h="16838" w:orient="portrait"/>
          <w:cols w:equalWidth="0" w:num="1">
            <w:col w:w="10219"/>
          </w:cols>
          <w:pgMar w:left="240" w:top="361" w:right="1440" w:bottom="0" w:gutter="0" w:footer="0" w:header="0"/>
        </w:sectPr>
      </w:pPr>
    </w:p>
    <w:bookmarkStart w:id="21" w:name="page22"/>
    <w:bookmarkEnd w:id="21"/>
    <w:p>
      <w:pPr>
        <w:ind w:right="1939"/>
        <w:spacing w:after="0" w:line="329" w:lineRule="auto"/>
        <w:rPr>
          <w:sz w:val="20"/>
          <w:szCs w:val="20"/>
          <w:color w:val="auto"/>
        </w:rPr>
      </w:pPr>
      <w:r>
        <w:rPr>
          <w:rFonts w:ascii="Arial" w:cs="Arial" w:eastAsia="Arial" w:hAnsi="Arial"/>
          <w:sz w:val="19"/>
          <w:szCs w:val="19"/>
          <w:color w:val="auto"/>
        </w:rPr>
        <w:t>August 4, 2011, the Utah Supreme Court decided that it would hear ClearOne’s appeal. Dorsey has appealed as well. The Utah Supreme Court heard oral arguments on September 6,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35114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2" w:name="page23"/>
    <w:bookmarkEnd w:id="22"/>
    <w:p>
      <w:pPr>
        <w:ind w:left="1640"/>
        <w:spacing w:after="0"/>
        <w:rPr>
          <w:sz w:val="20"/>
          <w:szCs w:val="20"/>
          <w:color w:val="auto"/>
        </w:rPr>
      </w:pPr>
      <w:r>
        <w:rPr>
          <w:rFonts w:ascii="Arial" w:cs="Arial" w:eastAsia="Arial" w:hAnsi="Arial"/>
          <w:sz w:val="22"/>
          <w:szCs w:val="22"/>
          <w:b w:val="1"/>
          <w:bCs w:val="1"/>
          <w:color w:val="auto"/>
        </w:rPr>
        <w:t>AUDIT AND COMPLIANCE COMMITTEE REPORT</w:t>
      </w:r>
    </w:p>
    <w:p>
      <w:pPr>
        <w:spacing w:after="0" w:line="91" w:lineRule="exact"/>
        <w:rPr>
          <w:sz w:val="20"/>
          <w:szCs w:val="20"/>
          <w:color w:val="auto"/>
        </w:rPr>
      </w:pPr>
    </w:p>
    <w:p>
      <w:pPr>
        <w:jc w:val="both"/>
        <w:ind w:right="2039" w:firstLine="648"/>
        <w:spacing w:after="0" w:line="273" w:lineRule="auto"/>
        <w:rPr>
          <w:sz w:val="20"/>
          <w:szCs w:val="20"/>
          <w:color w:val="auto"/>
        </w:rPr>
      </w:pPr>
      <w:r>
        <w:rPr>
          <w:rFonts w:ascii="Arial" w:cs="Arial" w:eastAsia="Arial" w:hAnsi="Arial"/>
          <w:sz w:val="19"/>
          <w:szCs w:val="19"/>
          <w:color w:val="auto"/>
        </w:rPr>
        <w:t>The Audit and Compliance Committee of the Board of Directors is comprised of three directors, all of whom are independent as defined in NASDAQ and SEC rules and regulations. The members of the Audit and Compliance Committee are Scott M. Huntsman, Brad R.</w:t>
      </w:r>
    </w:p>
    <w:p>
      <w:pPr>
        <w:spacing w:after="0" w:line="2" w:lineRule="exact"/>
        <w:rPr>
          <w:sz w:val="20"/>
          <w:szCs w:val="20"/>
          <w:color w:val="auto"/>
        </w:rPr>
      </w:pPr>
    </w:p>
    <w:p>
      <w:pPr>
        <w:ind w:right="2239"/>
        <w:spacing w:after="0" w:line="308" w:lineRule="auto"/>
        <w:rPr>
          <w:sz w:val="20"/>
          <w:szCs w:val="20"/>
          <w:color w:val="auto"/>
        </w:rPr>
      </w:pPr>
      <w:r>
        <w:rPr>
          <w:rFonts w:ascii="Arial" w:cs="Arial" w:eastAsia="Arial" w:hAnsi="Arial"/>
          <w:sz w:val="19"/>
          <w:szCs w:val="19"/>
          <w:color w:val="auto"/>
        </w:rPr>
        <w:t>Baldwin, and Larry R. Hendricks. Scott M. Huntsman is the Board of Directors’ designated “audit committee financial expert” as that term is defined in the securities laws.</w:t>
      </w:r>
    </w:p>
    <w:p>
      <w:pPr>
        <w:spacing w:after="0" w:line="96" w:lineRule="exact"/>
        <w:rPr>
          <w:sz w:val="20"/>
          <w:szCs w:val="20"/>
          <w:color w:val="auto"/>
        </w:rPr>
      </w:pPr>
    </w:p>
    <w:p>
      <w:pPr>
        <w:ind w:right="1859" w:firstLine="648"/>
        <w:spacing w:after="0" w:line="275" w:lineRule="auto"/>
        <w:rPr>
          <w:sz w:val="20"/>
          <w:szCs w:val="20"/>
          <w:color w:val="auto"/>
        </w:rPr>
      </w:pPr>
      <w:r>
        <w:rPr>
          <w:rFonts w:ascii="Arial" w:cs="Arial" w:eastAsia="Arial" w:hAnsi="Arial"/>
          <w:sz w:val="19"/>
          <w:szCs w:val="19"/>
          <w:color w:val="auto"/>
        </w:rPr>
        <w:t>We are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and Compliance Committee reviews these processes on behalf of the Board of Directors. The Audit Committee has reviewed and discussed with management and our independent registered public accounting firm the audited financial statements contained in our Annual Report on Form 10-K for the year ended December 31, 2011.</w:t>
      </w:r>
    </w:p>
    <w:p>
      <w:pPr>
        <w:spacing w:after="0" w:line="131" w:lineRule="exact"/>
        <w:rPr>
          <w:sz w:val="20"/>
          <w:szCs w:val="20"/>
          <w:color w:val="auto"/>
        </w:rPr>
      </w:pPr>
    </w:p>
    <w:p>
      <w:pPr>
        <w:ind w:right="1899" w:firstLine="648"/>
        <w:spacing w:after="0" w:line="246" w:lineRule="auto"/>
        <w:rPr>
          <w:sz w:val="20"/>
          <w:szCs w:val="20"/>
          <w:color w:val="auto"/>
        </w:rPr>
      </w:pPr>
      <w:r>
        <w:rPr>
          <w:rFonts w:ascii="Arial" w:cs="Arial" w:eastAsia="Arial" w:hAnsi="Arial"/>
          <w:sz w:val="21"/>
          <w:szCs w:val="21"/>
          <w:color w:val="auto"/>
        </w:rPr>
        <w:t>Additionally, the Audit and Compliance Committee has discussed with the principal accountants the auditors’ independence from management and our company, including the matters in the written disclosure and the letter received from the principal accountants required by applicable requirements of the Public Company Accounting Oversight Board regarding independence discussions with Audit Committees and considered the compatibility of non-audit services with the accountants’ independence. The Audit and Compliance Committee also discussed with the principal accountants any matters required to be discussed by PCAOB AU Section No. 380, as currently in effect.</w:t>
      </w:r>
    </w:p>
    <w:p>
      <w:pPr>
        <w:spacing w:after="0" w:line="154" w:lineRule="exact"/>
        <w:rPr>
          <w:sz w:val="20"/>
          <w:szCs w:val="20"/>
          <w:color w:val="auto"/>
        </w:rPr>
      </w:pPr>
    </w:p>
    <w:p>
      <w:pPr>
        <w:ind w:right="1959" w:firstLine="648"/>
        <w:spacing w:after="0" w:line="287" w:lineRule="auto"/>
        <w:rPr>
          <w:sz w:val="20"/>
          <w:szCs w:val="20"/>
          <w:color w:val="auto"/>
        </w:rPr>
      </w:pPr>
      <w:r>
        <w:rPr>
          <w:rFonts w:ascii="Arial" w:cs="Arial" w:eastAsia="Arial" w:hAnsi="Arial"/>
          <w:sz w:val="19"/>
          <w:szCs w:val="19"/>
          <w:color w:val="auto"/>
        </w:rPr>
        <w:t>In reliance on the reviews and discussions referred to above, the Audit and Compliance Committee recommended to the Board of Directors (and the Board has approved) that the audited financial statements be included in the Annual Report on Form 10-K for the year ended December 31, 2011 for filing with the Securities and Exchange Commission.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Respectfully submitted by the members of the Audit and Compliance Committee.</w:t>
      </w:r>
    </w:p>
    <w:p>
      <w:pPr>
        <w:spacing w:after="0" w:line="191" w:lineRule="exact"/>
        <w:rPr>
          <w:sz w:val="20"/>
          <w:szCs w:val="20"/>
          <w:color w:val="auto"/>
        </w:rPr>
      </w:pPr>
    </w:p>
    <w:p>
      <w:pPr>
        <w:ind w:left="660"/>
        <w:spacing w:after="0"/>
        <w:tabs>
          <w:tab w:leader="none" w:pos="3220" w:val="left"/>
          <w:tab w:leader="none" w:pos="5140" w:val="left"/>
        </w:tabs>
        <w:rPr>
          <w:sz w:val="20"/>
          <w:szCs w:val="20"/>
          <w:color w:val="auto"/>
        </w:rPr>
      </w:pPr>
      <w:r>
        <w:rPr>
          <w:rFonts w:ascii="Arial" w:cs="Arial" w:eastAsia="Arial" w:hAnsi="Arial"/>
          <w:sz w:val="22"/>
          <w:szCs w:val="22"/>
          <w:color w:val="auto"/>
        </w:rPr>
        <w:t>Scott M. Huntsman (Chair)</w:t>
        <w:tab/>
        <w:t>Brad R. Baldwin</w:t>
      </w:r>
      <w:r>
        <w:rPr>
          <w:sz w:val="20"/>
          <w:szCs w:val="20"/>
          <w:color w:val="auto"/>
        </w:rPr>
        <w:tab/>
      </w:r>
      <w:r>
        <w:rPr>
          <w:rFonts w:ascii="Arial" w:cs="Arial" w:eastAsia="Arial" w:hAnsi="Arial"/>
          <w:sz w:val="19"/>
          <w:szCs w:val="19"/>
          <w:color w:val="auto"/>
        </w:rPr>
        <w:t>Larry R. Hendricks</w:t>
      </w:r>
    </w:p>
    <w:p>
      <w:pPr>
        <w:spacing w:after="0" w:line="200" w:lineRule="exact"/>
        <w:rPr>
          <w:sz w:val="20"/>
          <w:szCs w:val="20"/>
          <w:color w:val="auto"/>
        </w:rPr>
      </w:pPr>
    </w:p>
    <w:p>
      <w:pPr>
        <w:spacing w:after="0" w:line="216" w:lineRule="exact"/>
        <w:rPr>
          <w:sz w:val="20"/>
          <w:szCs w:val="20"/>
          <w:color w:val="auto"/>
        </w:rPr>
      </w:pPr>
    </w:p>
    <w:p>
      <w:pPr>
        <w:jc w:val="center"/>
        <w:ind w:right="1759"/>
        <w:spacing w:after="0"/>
        <w:rPr>
          <w:sz w:val="20"/>
          <w:szCs w:val="20"/>
          <w:color w:val="auto"/>
        </w:rPr>
      </w:pPr>
      <w:r>
        <w:rPr>
          <w:rFonts w:ascii="Arial" w:cs="Arial" w:eastAsia="Arial" w:hAnsi="Arial"/>
          <w:sz w:val="22"/>
          <w:szCs w:val="22"/>
          <w:b w:val="1"/>
          <w:bCs w:val="1"/>
          <w:color w:val="auto"/>
        </w:rPr>
        <w:t>SECURITY OWNERSHIP OF CERTAIN BENEFICIAL OWNERS AND</w:t>
      </w:r>
    </w:p>
    <w:p>
      <w:pPr>
        <w:spacing w:after="0" w:line="14" w:lineRule="exact"/>
        <w:rPr>
          <w:sz w:val="20"/>
          <w:szCs w:val="20"/>
          <w:color w:val="auto"/>
        </w:rPr>
      </w:pPr>
    </w:p>
    <w:p>
      <w:pPr>
        <w:jc w:val="center"/>
        <w:ind w:right="1759"/>
        <w:spacing w:after="0"/>
        <w:rPr>
          <w:sz w:val="20"/>
          <w:szCs w:val="20"/>
          <w:color w:val="auto"/>
        </w:rPr>
      </w:pPr>
      <w:r>
        <w:rPr>
          <w:rFonts w:ascii="Arial" w:cs="Arial" w:eastAsia="Arial" w:hAnsi="Arial"/>
          <w:sz w:val="22"/>
          <w:szCs w:val="22"/>
          <w:b w:val="1"/>
          <w:bCs w:val="1"/>
          <w:color w:val="auto"/>
        </w:rPr>
        <w:t>MANAGEMENT</w:t>
      </w:r>
    </w:p>
    <w:p>
      <w:pPr>
        <w:spacing w:after="0" w:line="215" w:lineRule="exact"/>
        <w:rPr>
          <w:sz w:val="20"/>
          <w:szCs w:val="20"/>
          <w:color w:val="auto"/>
        </w:rPr>
      </w:pPr>
    </w:p>
    <w:p>
      <w:pPr>
        <w:ind w:right="1879" w:firstLine="1297"/>
        <w:spacing w:after="0" w:line="287" w:lineRule="auto"/>
        <w:rPr>
          <w:sz w:val="20"/>
          <w:szCs w:val="20"/>
          <w:color w:val="auto"/>
        </w:rPr>
      </w:pPr>
      <w:r>
        <w:rPr>
          <w:rFonts w:ascii="Arial" w:cs="Arial" w:eastAsia="Arial" w:hAnsi="Arial"/>
          <w:sz w:val="19"/>
          <w:szCs w:val="19"/>
          <w:color w:val="auto"/>
        </w:rPr>
        <w:t>The following table sets forth certain information regarding ownership of our common stock as of October 2, 2012 by (i) each director, (ii) the named executive officers, (iii) all of our named executive officers and directors as a group, and (iv) each person known to us to be the beneficial owner of more than 5% of our outstanding common stock.</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260"/>
        </w:trPr>
        <w:tc>
          <w:tcPr>
            <w:tcW w:w="4100" w:type="dxa"/>
            <w:vAlign w:val="bottom"/>
            <w:tcBorders>
              <w:top w:val="single" w:sz="8" w:color="808080"/>
              <w:left w:val="single" w:sz="8" w:color="808080"/>
            </w:tcBorders>
          </w:tcPr>
          <w:p>
            <w:pPr>
              <w:ind w:left="60"/>
              <w:spacing w:after="0" w:line="259" w:lineRule="exact"/>
              <w:rPr>
                <w:sz w:val="20"/>
                <w:szCs w:val="20"/>
                <w:color w:val="auto"/>
              </w:rPr>
            </w:pPr>
            <w:r>
              <w:rPr>
                <w:rFonts w:ascii="Arial" w:cs="Arial" w:eastAsia="Arial" w:hAnsi="Arial"/>
                <w:sz w:val="14"/>
                <w:szCs w:val="14"/>
                <w:b w:val="1"/>
                <w:bCs w:val="1"/>
                <w:color w:val="auto"/>
              </w:rPr>
              <w:t xml:space="preserve">Name of Beneficial Owner </w:t>
            </w:r>
            <w:r>
              <w:rPr>
                <w:rFonts w:ascii="Arial" w:cs="Arial" w:eastAsia="Arial" w:hAnsi="Arial"/>
                <w:sz w:val="30"/>
                <w:szCs w:val="30"/>
                <w:b w:val="1"/>
                <w:bCs w:val="1"/>
                <w:color w:val="auto"/>
                <w:vertAlign w:val="superscript"/>
              </w:rPr>
              <w:t>(1)</w:t>
            </w:r>
          </w:p>
        </w:tc>
        <w:tc>
          <w:tcPr>
            <w:tcW w:w="180" w:type="dxa"/>
            <w:vAlign w:val="bottom"/>
            <w:tcBorders>
              <w:top w:val="single" w:sz="8" w:color="808080"/>
            </w:tcBorders>
          </w:tcPr>
          <w:p>
            <w:pPr>
              <w:spacing w:after="0"/>
              <w:rPr>
                <w:sz w:val="22"/>
                <w:szCs w:val="22"/>
                <w:color w:val="auto"/>
              </w:rPr>
            </w:pPr>
          </w:p>
        </w:tc>
        <w:tc>
          <w:tcPr>
            <w:tcW w:w="2560" w:type="dxa"/>
            <w:vAlign w:val="bottom"/>
            <w:tcBorders>
              <w:top w:val="single" w:sz="8" w:color="808080"/>
              <w:right w:val="single" w:sz="8" w:color="808080"/>
            </w:tcBorders>
            <w:gridSpan w:val="4"/>
          </w:tcPr>
          <w:p>
            <w:pPr>
              <w:ind w:left="440"/>
              <w:spacing w:after="0"/>
              <w:rPr>
                <w:sz w:val="20"/>
                <w:szCs w:val="20"/>
                <w:color w:val="auto"/>
              </w:rPr>
            </w:pPr>
            <w:r>
              <w:rPr>
                <w:rFonts w:ascii="Arial" w:cs="Arial" w:eastAsia="Arial" w:hAnsi="Arial"/>
                <w:sz w:val="14"/>
                <w:szCs w:val="14"/>
                <w:b w:val="1"/>
                <w:bCs w:val="1"/>
                <w:color w:val="auto"/>
              </w:rPr>
              <w:t>Shares Beneficially Owned</w:t>
            </w:r>
          </w:p>
        </w:tc>
      </w:tr>
      <w:tr>
        <w:trPr>
          <w:trHeight w:val="230"/>
        </w:trPr>
        <w:tc>
          <w:tcPr>
            <w:tcW w:w="4100" w:type="dxa"/>
            <w:vAlign w:val="bottom"/>
            <w:tcBorders>
              <w:top w:val="single" w:sz="8" w:color="auto"/>
              <w:left w:val="single" w:sz="8" w:color="808080"/>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128"/>
              <w:spacing w:after="0" w:line="223" w:lineRule="exact"/>
              <w:rPr>
                <w:sz w:val="20"/>
                <w:szCs w:val="20"/>
                <w:color w:val="auto"/>
              </w:rPr>
            </w:pPr>
            <w:r>
              <w:rPr>
                <w:rFonts w:ascii="Arial" w:cs="Arial" w:eastAsia="Arial" w:hAnsi="Arial"/>
                <w:sz w:val="13"/>
                <w:szCs w:val="13"/>
                <w:b w:val="1"/>
                <w:bCs w:val="1"/>
                <w:color w:val="auto"/>
              </w:rPr>
              <w:t xml:space="preserve">Number </w:t>
            </w:r>
            <w:r>
              <w:rPr>
                <w:rFonts w:ascii="Arial" w:cs="Arial" w:eastAsia="Arial" w:hAnsi="Arial"/>
                <w:sz w:val="25"/>
                <w:szCs w:val="25"/>
                <w:b w:val="1"/>
                <w:bCs w:val="1"/>
                <w:color w:val="auto"/>
                <w:vertAlign w:val="superscript"/>
              </w:rPr>
              <w:t>(2)</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188"/>
              <w:spacing w:after="0" w:line="223" w:lineRule="exact"/>
              <w:rPr>
                <w:sz w:val="20"/>
                <w:szCs w:val="20"/>
                <w:color w:val="auto"/>
              </w:rPr>
            </w:pPr>
            <w:r>
              <w:rPr>
                <w:rFonts w:ascii="Arial" w:cs="Arial" w:eastAsia="Arial" w:hAnsi="Arial"/>
                <w:sz w:val="13"/>
                <w:szCs w:val="13"/>
                <w:b w:val="1"/>
                <w:bCs w:val="1"/>
                <w:color w:val="auto"/>
              </w:rPr>
              <w:t xml:space="preserve">Percent </w:t>
            </w:r>
            <w:r>
              <w:rPr>
                <w:rFonts w:ascii="Arial" w:cs="Arial" w:eastAsia="Arial" w:hAnsi="Arial"/>
                <w:sz w:val="25"/>
                <w:szCs w:val="25"/>
                <w:b w:val="1"/>
                <w:bCs w:val="1"/>
                <w:color w:val="auto"/>
                <w:vertAlign w:val="superscript"/>
              </w:rPr>
              <w:t>(2)</w:t>
            </w:r>
          </w:p>
        </w:tc>
        <w:tc>
          <w:tcPr>
            <w:tcW w:w="40" w:type="dxa"/>
            <w:vAlign w:val="bottom"/>
            <w:tcBorders>
              <w:right w:val="single" w:sz="8" w:color="808080"/>
            </w:tcBorders>
          </w:tcPr>
          <w:p>
            <w:pPr>
              <w:spacing w:after="0"/>
              <w:rPr>
                <w:sz w:val="20"/>
                <w:szCs w:val="20"/>
                <w:color w:val="auto"/>
              </w:rPr>
            </w:pPr>
          </w:p>
        </w:tc>
      </w:tr>
      <w:tr>
        <w:trPr>
          <w:trHeight w:val="210"/>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b w:val="1"/>
                <w:bCs w:val="1"/>
                <w:color w:val="auto"/>
              </w:rPr>
              <w:t>Directors and Executive Officers: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33"/>
        </w:trPr>
        <w:tc>
          <w:tcPr>
            <w:tcW w:w="4100" w:type="dxa"/>
            <w:vAlign w:val="bottom"/>
            <w:tcBorders>
              <w:left w:val="single" w:sz="8" w:color="808080"/>
            </w:tcBorders>
          </w:tcPr>
          <w:p>
            <w:pPr>
              <w:spacing w:after="0"/>
              <w:rPr>
                <w:sz w:val="2"/>
                <w:szCs w:val="2"/>
                <w:color w:val="auto"/>
              </w:rPr>
            </w:pPr>
          </w:p>
        </w:tc>
        <w:tc>
          <w:tcPr>
            <w:tcW w:w="132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40" w:type="dxa"/>
            <w:vAlign w:val="bottom"/>
            <w:tcBorders>
              <w:right w:val="single" w:sz="8" w:color="808080"/>
            </w:tcBorders>
          </w:tcPr>
          <w:p>
            <w:pPr>
              <w:spacing w:after="0"/>
              <w:rPr>
                <w:sz w:val="2"/>
                <w:szCs w:val="2"/>
                <w:color w:val="auto"/>
              </w:rPr>
            </w:pPr>
          </w:p>
        </w:tc>
      </w:tr>
      <w:tr>
        <w:trPr>
          <w:trHeight w:val="230"/>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 xml:space="preserve">Zeynep “Zee” Hakimoglu </w:t>
            </w:r>
            <w:r>
              <w:rPr>
                <w:rFonts w:ascii="Arial" w:cs="Arial" w:eastAsia="Arial" w:hAnsi="Arial"/>
                <w:sz w:val="10"/>
                <w:szCs w:val="10"/>
                <w:b w:val="1"/>
                <w:bCs w:val="1"/>
                <w:color w:val="auto"/>
              </w:rPr>
              <w:t>(3)</w:t>
            </w:r>
          </w:p>
        </w:tc>
        <w:tc>
          <w:tcPr>
            <w:tcW w:w="13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589,875</w:t>
            </w:r>
          </w:p>
        </w:tc>
        <w:tc>
          <w:tcPr>
            <w:tcW w:w="1380" w:type="dxa"/>
            <w:vAlign w:val="bottom"/>
            <w:gridSpan w:val="2"/>
            <w:shd w:val="clear" w:color="auto" w:fill="B6DDE8"/>
          </w:tcPr>
          <w:p>
            <w:pPr>
              <w:jc w:val="right"/>
              <w:ind w:right="248"/>
              <w:spacing w:after="0"/>
              <w:rPr>
                <w:sz w:val="20"/>
                <w:szCs w:val="20"/>
                <w:color w:val="auto"/>
              </w:rPr>
            </w:pPr>
            <w:r>
              <w:rPr>
                <w:rFonts w:ascii="Arial" w:cs="Arial" w:eastAsia="Arial" w:hAnsi="Arial"/>
                <w:sz w:val="16"/>
                <w:szCs w:val="16"/>
                <w:color w:val="auto"/>
              </w:rPr>
              <w:t>5.9%</w:t>
            </w:r>
          </w:p>
        </w:tc>
        <w:tc>
          <w:tcPr>
            <w:tcW w:w="40" w:type="dxa"/>
            <w:vAlign w:val="bottom"/>
            <w:tcBorders>
              <w:right w:val="single" w:sz="8" w:color="808080"/>
            </w:tcBorders>
          </w:tcPr>
          <w:p>
            <w:pPr>
              <w:spacing w:after="0"/>
              <w:rPr>
                <w:sz w:val="19"/>
                <w:szCs w:val="19"/>
                <w:color w:val="auto"/>
              </w:rPr>
            </w:pPr>
          </w:p>
        </w:tc>
      </w:tr>
      <w:tr>
        <w:trPr>
          <w:trHeight w:val="227"/>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 xml:space="preserve">E. Bryan Bagley </w:t>
            </w:r>
            <w:r>
              <w:rPr>
                <w:rFonts w:ascii="Arial" w:cs="Arial" w:eastAsia="Arial" w:hAnsi="Arial"/>
                <w:sz w:val="10"/>
                <w:szCs w:val="10"/>
                <w:b w:val="1"/>
                <w:bCs w:val="1"/>
                <w:color w:val="auto"/>
              </w:rPr>
              <w:t>(4)</w:t>
            </w:r>
          </w:p>
        </w:tc>
        <w:tc>
          <w:tcPr>
            <w:tcW w:w="1320" w:type="dxa"/>
            <w:vAlign w:val="bottom"/>
            <w:gridSpan w:val="2"/>
          </w:tcPr>
          <w:p>
            <w:pPr>
              <w:jc w:val="right"/>
              <w:ind w:right="228"/>
              <w:spacing w:after="0"/>
              <w:rPr>
                <w:sz w:val="20"/>
                <w:szCs w:val="20"/>
                <w:color w:val="auto"/>
              </w:rPr>
            </w:pPr>
            <w:r>
              <w:rPr>
                <w:rFonts w:ascii="Arial" w:cs="Arial" w:eastAsia="Arial" w:hAnsi="Arial"/>
                <w:sz w:val="16"/>
                <w:szCs w:val="16"/>
                <w:color w:val="auto"/>
              </w:rPr>
              <w:t>351,296</w:t>
            </w:r>
          </w:p>
        </w:tc>
        <w:tc>
          <w:tcPr>
            <w:tcW w:w="1380" w:type="dxa"/>
            <w:vAlign w:val="bottom"/>
            <w:gridSpan w:val="2"/>
          </w:tcPr>
          <w:p>
            <w:pPr>
              <w:jc w:val="right"/>
              <w:ind w:right="248"/>
              <w:spacing w:after="0"/>
              <w:rPr>
                <w:sz w:val="20"/>
                <w:szCs w:val="20"/>
                <w:color w:val="auto"/>
              </w:rPr>
            </w:pPr>
            <w:r>
              <w:rPr>
                <w:rFonts w:ascii="Arial" w:cs="Arial" w:eastAsia="Arial" w:hAnsi="Arial"/>
                <w:sz w:val="16"/>
                <w:szCs w:val="16"/>
                <w:color w:val="auto"/>
              </w:rPr>
              <w:t>3.5%</w:t>
            </w:r>
          </w:p>
        </w:tc>
        <w:tc>
          <w:tcPr>
            <w:tcW w:w="40" w:type="dxa"/>
            <w:vAlign w:val="bottom"/>
            <w:tcBorders>
              <w:right w:val="single" w:sz="8" w:color="808080"/>
            </w:tcBorders>
          </w:tcPr>
          <w:p>
            <w:pPr>
              <w:spacing w:after="0"/>
              <w:rPr>
                <w:sz w:val="19"/>
                <w:szCs w:val="19"/>
                <w:color w:val="auto"/>
              </w:rPr>
            </w:pPr>
          </w:p>
        </w:tc>
      </w:tr>
      <w:tr>
        <w:trPr>
          <w:trHeight w:val="233"/>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 xml:space="preserve">Brad R. Baldwin </w:t>
            </w:r>
            <w:r>
              <w:rPr>
                <w:rFonts w:ascii="Arial" w:cs="Arial" w:eastAsia="Arial" w:hAnsi="Arial"/>
                <w:sz w:val="10"/>
                <w:szCs w:val="10"/>
                <w:b w:val="1"/>
                <w:bCs w:val="1"/>
                <w:color w:val="auto"/>
              </w:rPr>
              <w:t>(5)</w:t>
            </w:r>
          </w:p>
        </w:tc>
        <w:tc>
          <w:tcPr>
            <w:tcW w:w="13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185,082</w:t>
            </w:r>
          </w:p>
        </w:tc>
        <w:tc>
          <w:tcPr>
            <w:tcW w:w="1380" w:type="dxa"/>
            <w:vAlign w:val="bottom"/>
            <w:gridSpan w:val="2"/>
            <w:shd w:val="clear" w:color="auto" w:fill="B6DDE8"/>
          </w:tcPr>
          <w:p>
            <w:pPr>
              <w:jc w:val="right"/>
              <w:ind w:right="248"/>
              <w:spacing w:after="0"/>
              <w:rPr>
                <w:sz w:val="20"/>
                <w:szCs w:val="20"/>
                <w:color w:val="auto"/>
              </w:rPr>
            </w:pPr>
            <w:r>
              <w:rPr>
                <w:rFonts w:ascii="Arial" w:cs="Arial" w:eastAsia="Arial" w:hAnsi="Arial"/>
                <w:sz w:val="16"/>
                <w:szCs w:val="16"/>
                <w:color w:val="auto"/>
              </w:rPr>
              <w:t>1.8%</w:t>
            </w:r>
          </w:p>
        </w:tc>
        <w:tc>
          <w:tcPr>
            <w:tcW w:w="40" w:type="dxa"/>
            <w:vAlign w:val="bottom"/>
            <w:tcBorders>
              <w:right w:val="single" w:sz="8" w:color="808080"/>
            </w:tcBorders>
          </w:tcPr>
          <w:p>
            <w:pPr>
              <w:spacing w:after="0"/>
              <w:rPr>
                <w:sz w:val="20"/>
                <w:szCs w:val="20"/>
                <w:color w:val="auto"/>
              </w:rPr>
            </w:pPr>
          </w:p>
        </w:tc>
      </w:tr>
      <w:tr>
        <w:trPr>
          <w:trHeight w:val="227"/>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 xml:space="preserve">Larry R. Hendricks </w:t>
            </w:r>
            <w:r>
              <w:rPr>
                <w:rFonts w:ascii="Arial" w:cs="Arial" w:eastAsia="Arial" w:hAnsi="Arial"/>
                <w:sz w:val="10"/>
                <w:szCs w:val="10"/>
                <w:b w:val="1"/>
                <w:bCs w:val="1"/>
                <w:color w:val="auto"/>
              </w:rPr>
              <w:t>(6)</w:t>
            </w:r>
          </w:p>
        </w:tc>
        <w:tc>
          <w:tcPr>
            <w:tcW w:w="1320" w:type="dxa"/>
            <w:vAlign w:val="bottom"/>
            <w:gridSpan w:val="2"/>
          </w:tcPr>
          <w:p>
            <w:pPr>
              <w:jc w:val="right"/>
              <w:ind w:right="228"/>
              <w:spacing w:after="0"/>
              <w:rPr>
                <w:sz w:val="20"/>
                <w:szCs w:val="20"/>
                <w:color w:val="auto"/>
              </w:rPr>
            </w:pPr>
            <w:r>
              <w:rPr>
                <w:rFonts w:ascii="Arial" w:cs="Arial" w:eastAsia="Arial" w:hAnsi="Arial"/>
                <w:sz w:val="16"/>
                <w:szCs w:val="16"/>
                <w:color w:val="auto"/>
              </w:rPr>
              <w:t>86,916</w:t>
            </w:r>
          </w:p>
        </w:tc>
        <w:tc>
          <w:tcPr>
            <w:tcW w:w="1380" w:type="dxa"/>
            <w:vAlign w:val="bottom"/>
            <w:gridSpan w:val="2"/>
          </w:tcPr>
          <w:p>
            <w:pPr>
              <w:jc w:val="right"/>
              <w:ind w:right="248"/>
              <w:spacing w:after="0"/>
              <w:rPr>
                <w:sz w:val="20"/>
                <w:szCs w:val="20"/>
                <w:color w:val="auto"/>
              </w:rPr>
            </w:pPr>
            <w:r>
              <w:rPr>
                <w:rFonts w:ascii="Arial" w:cs="Arial" w:eastAsia="Arial" w:hAnsi="Arial"/>
                <w:sz w:val="16"/>
                <w:szCs w:val="16"/>
                <w:color w:val="auto"/>
              </w:rPr>
              <w:t>0.9%</w:t>
            </w:r>
          </w:p>
        </w:tc>
        <w:tc>
          <w:tcPr>
            <w:tcW w:w="40" w:type="dxa"/>
            <w:vAlign w:val="bottom"/>
            <w:tcBorders>
              <w:right w:val="single" w:sz="8" w:color="808080"/>
            </w:tcBorders>
          </w:tcPr>
          <w:p>
            <w:pPr>
              <w:spacing w:after="0"/>
              <w:rPr>
                <w:sz w:val="19"/>
                <w:szCs w:val="19"/>
                <w:color w:val="auto"/>
              </w:rPr>
            </w:pPr>
          </w:p>
        </w:tc>
      </w:tr>
      <w:tr>
        <w:trPr>
          <w:trHeight w:val="233"/>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 xml:space="preserve">Scott M. Huntsman </w:t>
            </w:r>
            <w:r>
              <w:rPr>
                <w:rFonts w:ascii="Arial" w:cs="Arial" w:eastAsia="Arial" w:hAnsi="Arial"/>
                <w:sz w:val="10"/>
                <w:szCs w:val="10"/>
                <w:b w:val="1"/>
                <w:bCs w:val="1"/>
                <w:color w:val="auto"/>
              </w:rPr>
              <w:t>(7)</w:t>
            </w:r>
          </w:p>
        </w:tc>
        <w:tc>
          <w:tcPr>
            <w:tcW w:w="13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94,916</w:t>
            </w:r>
          </w:p>
        </w:tc>
        <w:tc>
          <w:tcPr>
            <w:tcW w:w="1380" w:type="dxa"/>
            <w:vAlign w:val="bottom"/>
            <w:gridSpan w:val="2"/>
            <w:shd w:val="clear" w:color="auto" w:fill="B6DDE8"/>
          </w:tcPr>
          <w:p>
            <w:pPr>
              <w:jc w:val="right"/>
              <w:ind w:right="248"/>
              <w:spacing w:after="0"/>
              <w:rPr>
                <w:sz w:val="20"/>
                <w:szCs w:val="20"/>
                <w:color w:val="auto"/>
              </w:rPr>
            </w:pPr>
            <w:r>
              <w:rPr>
                <w:rFonts w:ascii="Arial" w:cs="Arial" w:eastAsia="Arial" w:hAnsi="Arial"/>
                <w:sz w:val="16"/>
                <w:szCs w:val="16"/>
                <w:color w:val="auto"/>
              </w:rPr>
              <w:t>0.9%</w:t>
            </w:r>
          </w:p>
        </w:tc>
        <w:tc>
          <w:tcPr>
            <w:tcW w:w="40" w:type="dxa"/>
            <w:vAlign w:val="bottom"/>
            <w:tcBorders>
              <w:right w:val="single" w:sz="8" w:color="808080"/>
            </w:tcBorders>
          </w:tcPr>
          <w:p>
            <w:pPr>
              <w:spacing w:after="0"/>
              <w:rPr>
                <w:sz w:val="20"/>
                <w:szCs w:val="20"/>
                <w:color w:val="auto"/>
              </w:rPr>
            </w:pPr>
          </w:p>
        </w:tc>
      </w:tr>
      <w:tr>
        <w:trPr>
          <w:trHeight w:val="227"/>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 xml:space="preserve">Narsi Narayanan </w:t>
            </w:r>
            <w:r>
              <w:rPr>
                <w:rFonts w:ascii="Arial" w:cs="Arial" w:eastAsia="Arial" w:hAnsi="Arial"/>
                <w:sz w:val="10"/>
                <w:szCs w:val="10"/>
                <w:b w:val="1"/>
                <w:bCs w:val="1"/>
                <w:color w:val="auto"/>
              </w:rPr>
              <w:t>(8)</w:t>
            </w:r>
          </w:p>
        </w:tc>
        <w:tc>
          <w:tcPr>
            <w:tcW w:w="1320" w:type="dxa"/>
            <w:vAlign w:val="bottom"/>
            <w:gridSpan w:val="2"/>
          </w:tcPr>
          <w:p>
            <w:pPr>
              <w:jc w:val="right"/>
              <w:ind w:right="228"/>
              <w:spacing w:after="0"/>
              <w:rPr>
                <w:sz w:val="20"/>
                <w:szCs w:val="20"/>
                <w:color w:val="auto"/>
              </w:rPr>
            </w:pPr>
            <w:r>
              <w:rPr>
                <w:rFonts w:ascii="Arial" w:cs="Arial" w:eastAsia="Arial" w:hAnsi="Arial"/>
                <w:sz w:val="16"/>
                <w:szCs w:val="16"/>
                <w:color w:val="auto"/>
              </w:rPr>
              <w:t>42,499</w:t>
            </w:r>
          </w:p>
        </w:tc>
        <w:tc>
          <w:tcPr>
            <w:tcW w:w="1380" w:type="dxa"/>
            <w:vAlign w:val="bottom"/>
            <w:gridSpan w:val="2"/>
          </w:tcPr>
          <w:p>
            <w:pPr>
              <w:jc w:val="right"/>
              <w:ind w:right="248"/>
              <w:spacing w:after="0"/>
              <w:rPr>
                <w:sz w:val="20"/>
                <w:szCs w:val="20"/>
                <w:color w:val="auto"/>
              </w:rPr>
            </w:pPr>
            <w:r>
              <w:rPr>
                <w:rFonts w:ascii="Arial" w:cs="Arial" w:eastAsia="Arial" w:hAnsi="Arial"/>
                <w:sz w:val="16"/>
                <w:szCs w:val="16"/>
                <w:color w:val="auto"/>
              </w:rPr>
              <w:t>0.4%</w:t>
            </w:r>
          </w:p>
        </w:tc>
        <w:tc>
          <w:tcPr>
            <w:tcW w:w="40" w:type="dxa"/>
            <w:vAlign w:val="bottom"/>
            <w:tcBorders>
              <w:right w:val="single" w:sz="8" w:color="808080"/>
            </w:tcBorders>
          </w:tcPr>
          <w:p>
            <w:pPr>
              <w:spacing w:after="0"/>
              <w:rPr>
                <w:sz w:val="19"/>
                <w:szCs w:val="19"/>
                <w:color w:val="auto"/>
              </w:rPr>
            </w:pPr>
          </w:p>
        </w:tc>
      </w:tr>
      <w:tr>
        <w:trPr>
          <w:trHeight w:val="233"/>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 xml:space="preserve">Michael J. Braithwaite </w:t>
            </w:r>
            <w:r>
              <w:rPr>
                <w:rFonts w:ascii="Arial" w:cs="Arial" w:eastAsia="Arial" w:hAnsi="Arial"/>
                <w:sz w:val="10"/>
                <w:szCs w:val="10"/>
                <w:b w:val="1"/>
                <w:bCs w:val="1"/>
                <w:color w:val="auto"/>
              </w:rPr>
              <w:t>(9)</w:t>
            </w:r>
          </w:p>
        </w:tc>
        <w:tc>
          <w:tcPr>
            <w:tcW w:w="180" w:type="dxa"/>
            <w:vAlign w:val="bottom"/>
            <w:shd w:val="clear" w:color="auto" w:fill="B6DDE8"/>
          </w:tcPr>
          <w:p>
            <w:pPr>
              <w:spacing w:after="0"/>
              <w:rPr>
                <w:sz w:val="20"/>
                <w:szCs w:val="20"/>
                <w:color w:val="auto"/>
              </w:rPr>
            </w:pPr>
          </w:p>
        </w:tc>
        <w:tc>
          <w:tcPr>
            <w:tcW w:w="1140" w:type="dxa"/>
            <w:vAlign w:val="bottom"/>
            <w:tcBorders>
              <w:bottom w:val="single" w:sz="8" w:color="auto"/>
            </w:tcBorders>
            <w:shd w:val="clear" w:color="auto" w:fill="B6DDE8"/>
          </w:tcPr>
          <w:p>
            <w:pPr>
              <w:jc w:val="right"/>
              <w:ind w:right="228"/>
              <w:spacing w:after="0"/>
              <w:rPr>
                <w:sz w:val="20"/>
                <w:szCs w:val="20"/>
                <w:color w:val="auto"/>
              </w:rPr>
            </w:pPr>
            <w:r>
              <w:rPr>
                <w:rFonts w:ascii="Arial" w:cs="Arial" w:eastAsia="Arial" w:hAnsi="Arial"/>
                <w:sz w:val="16"/>
                <w:szCs w:val="16"/>
                <w:color w:val="auto"/>
              </w:rPr>
              <w:t>43,099</w:t>
            </w:r>
          </w:p>
        </w:tc>
        <w:tc>
          <w:tcPr>
            <w:tcW w:w="180" w:type="dxa"/>
            <w:vAlign w:val="bottom"/>
            <w:shd w:val="clear" w:color="auto" w:fill="B6DDE8"/>
          </w:tcPr>
          <w:p>
            <w:pPr>
              <w:spacing w:after="0"/>
              <w:rPr>
                <w:sz w:val="20"/>
                <w:szCs w:val="20"/>
                <w:color w:val="auto"/>
              </w:rPr>
            </w:pPr>
          </w:p>
        </w:tc>
        <w:tc>
          <w:tcPr>
            <w:tcW w:w="1200" w:type="dxa"/>
            <w:vAlign w:val="bottom"/>
            <w:tcBorders>
              <w:bottom w:val="single" w:sz="8" w:color="auto"/>
            </w:tcBorders>
            <w:shd w:val="clear" w:color="auto" w:fill="B6DDE8"/>
          </w:tcPr>
          <w:p>
            <w:pPr>
              <w:jc w:val="right"/>
              <w:ind w:right="248"/>
              <w:spacing w:after="0"/>
              <w:rPr>
                <w:sz w:val="20"/>
                <w:szCs w:val="20"/>
                <w:color w:val="auto"/>
              </w:rPr>
            </w:pPr>
            <w:r>
              <w:rPr>
                <w:rFonts w:ascii="Arial" w:cs="Arial" w:eastAsia="Arial" w:hAnsi="Arial"/>
                <w:sz w:val="16"/>
                <w:szCs w:val="16"/>
                <w:color w:val="auto"/>
              </w:rPr>
              <w:t>0.4%</w:t>
            </w:r>
          </w:p>
        </w:tc>
        <w:tc>
          <w:tcPr>
            <w:tcW w:w="40" w:type="dxa"/>
            <w:vAlign w:val="bottom"/>
            <w:tcBorders>
              <w:right w:val="single" w:sz="8" w:color="808080"/>
            </w:tcBorders>
          </w:tcPr>
          <w:p>
            <w:pPr>
              <w:spacing w:after="0"/>
              <w:rPr>
                <w:sz w:val="20"/>
                <w:szCs w:val="20"/>
                <w:color w:val="auto"/>
              </w:rPr>
            </w:pPr>
          </w:p>
        </w:tc>
      </w:tr>
      <w:tr>
        <w:trPr>
          <w:trHeight w:val="207"/>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w w:val="99"/>
              </w:rPr>
              <w:t>All directors and executive officers as a group (7 persons)</w:t>
            </w:r>
          </w:p>
        </w:tc>
        <w:tc>
          <w:tcPr>
            <w:tcW w:w="1320" w:type="dxa"/>
            <w:vAlign w:val="bottom"/>
            <w:gridSpan w:val="2"/>
          </w:tcPr>
          <w:p>
            <w:pPr>
              <w:jc w:val="right"/>
              <w:ind w:right="228"/>
              <w:spacing w:after="0"/>
              <w:rPr>
                <w:sz w:val="20"/>
                <w:szCs w:val="20"/>
                <w:color w:val="auto"/>
              </w:rPr>
            </w:pPr>
            <w:r>
              <w:rPr>
                <w:rFonts w:ascii="Arial" w:cs="Arial" w:eastAsia="Arial" w:hAnsi="Arial"/>
                <w:sz w:val="16"/>
                <w:szCs w:val="16"/>
                <w:color w:val="auto"/>
              </w:rPr>
              <w:t>1,393,683</w:t>
            </w:r>
          </w:p>
        </w:tc>
        <w:tc>
          <w:tcPr>
            <w:tcW w:w="1380" w:type="dxa"/>
            <w:vAlign w:val="bottom"/>
            <w:gridSpan w:val="2"/>
          </w:tcPr>
          <w:p>
            <w:pPr>
              <w:jc w:val="right"/>
              <w:ind w:right="248"/>
              <w:spacing w:after="0"/>
              <w:rPr>
                <w:sz w:val="20"/>
                <w:szCs w:val="20"/>
                <w:color w:val="auto"/>
              </w:rPr>
            </w:pPr>
            <w:r>
              <w:rPr>
                <w:rFonts w:ascii="Arial" w:cs="Arial" w:eastAsia="Arial" w:hAnsi="Arial"/>
                <w:sz w:val="16"/>
                <w:szCs w:val="16"/>
                <w:color w:val="auto"/>
              </w:rPr>
              <w:t>13.9%</w:t>
            </w:r>
          </w:p>
        </w:tc>
        <w:tc>
          <w:tcPr>
            <w:tcW w:w="40" w:type="dxa"/>
            <w:vAlign w:val="bottom"/>
            <w:tcBorders>
              <w:right w:val="single" w:sz="8" w:color="808080"/>
            </w:tcBorders>
          </w:tcPr>
          <w:p>
            <w:pPr>
              <w:spacing w:after="0"/>
              <w:rPr>
                <w:sz w:val="17"/>
                <w:szCs w:val="17"/>
                <w:color w:val="auto"/>
              </w:rPr>
            </w:pPr>
          </w:p>
        </w:tc>
      </w:tr>
      <w:tr>
        <w:trPr>
          <w:trHeight w:val="226"/>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b w:val="1"/>
                <w:bCs w:val="1"/>
                <w:color w:val="auto"/>
              </w:rPr>
              <w:t>5% Shareholders:</w:t>
            </w:r>
          </w:p>
        </w:tc>
        <w:tc>
          <w:tcPr>
            <w:tcW w:w="180" w:type="dxa"/>
            <w:vAlign w:val="bottom"/>
            <w:shd w:val="clear" w:color="auto" w:fill="B6DDE8"/>
          </w:tcPr>
          <w:p>
            <w:pPr>
              <w:spacing w:after="0"/>
              <w:rPr>
                <w:sz w:val="19"/>
                <w:szCs w:val="19"/>
                <w:color w:val="auto"/>
              </w:rPr>
            </w:pPr>
          </w:p>
        </w:tc>
        <w:tc>
          <w:tcPr>
            <w:tcW w:w="1140" w:type="dxa"/>
            <w:vAlign w:val="bottom"/>
            <w:tcBorders>
              <w:top w:val="single" w:sz="8" w:color="auto"/>
            </w:tcBorders>
            <w:shd w:val="clear" w:color="auto" w:fill="B6DDE8"/>
          </w:tcPr>
          <w:p>
            <w:pPr>
              <w:spacing w:after="0"/>
              <w:rPr>
                <w:sz w:val="19"/>
                <w:szCs w:val="19"/>
                <w:color w:val="auto"/>
              </w:rPr>
            </w:pPr>
          </w:p>
        </w:tc>
        <w:tc>
          <w:tcPr>
            <w:tcW w:w="180" w:type="dxa"/>
            <w:vAlign w:val="bottom"/>
            <w:shd w:val="clear" w:color="auto" w:fill="B6DDE8"/>
          </w:tcPr>
          <w:p>
            <w:pPr>
              <w:spacing w:after="0"/>
              <w:rPr>
                <w:sz w:val="19"/>
                <w:szCs w:val="19"/>
                <w:color w:val="auto"/>
              </w:rPr>
            </w:pPr>
          </w:p>
        </w:tc>
        <w:tc>
          <w:tcPr>
            <w:tcW w:w="1200" w:type="dxa"/>
            <w:vAlign w:val="bottom"/>
            <w:tcBorders>
              <w:top w:val="single" w:sz="8" w:color="auto"/>
            </w:tcBorders>
            <w:shd w:val="clear" w:color="auto" w:fill="B6DDE8"/>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r>
      <w:tr>
        <w:trPr>
          <w:trHeight w:val="227"/>
        </w:trPr>
        <w:tc>
          <w:tcPr>
            <w:tcW w:w="4100" w:type="dxa"/>
            <w:vAlign w:val="bottom"/>
            <w:tcBorders>
              <w:left w:val="single" w:sz="8" w:color="808080"/>
            </w:tcBorders>
          </w:tcPr>
          <w:p>
            <w:pPr>
              <w:ind w:left="20"/>
              <w:spacing w:after="0"/>
              <w:rPr>
                <w:sz w:val="20"/>
                <w:szCs w:val="20"/>
                <w:color w:val="auto"/>
              </w:rPr>
            </w:pPr>
            <w:r>
              <w:rPr>
                <w:rFonts w:ascii="Arial" w:cs="Arial" w:eastAsia="Arial" w:hAnsi="Arial"/>
                <w:sz w:val="16"/>
                <w:szCs w:val="16"/>
                <w:color w:val="auto"/>
              </w:rPr>
              <w:t xml:space="preserve">Edward Dallin Bagley </w:t>
            </w:r>
            <w:r>
              <w:rPr>
                <w:rFonts w:ascii="Arial" w:cs="Arial" w:eastAsia="Arial" w:hAnsi="Arial"/>
                <w:sz w:val="10"/>
                <w:szCs w:val="10"/>
                <w:b w:val="1"/>
                <w:bCs w:val="1"/>
                <w:color w:val="auto"/>
              </w:rPr>
              <w:t>(10)</w:t>
            </w:r>
          </w:p>
        </w:tc>
        <w:tc>
          <w:tcPr>
            <w:tcW w:w="1320" w:type="dxa"/>
            <w:vAlign w:val="bottom"/>
            <w:gridSpan w:val="2"/>
          </w:tcPr>
          <w:p>
            <w:pPr>
              <w:jc w:val="right"/>
              <w:ind w:right="228"/>
              <w:spacing w:after="0"/>
              <w:rPr>
                <w:sz w:val="20"/>
                <w:szCs w:val="20"/>
                <w:color w:val="auto"/>
              </w:rPr>
            </w:pPr>
            <w:r>
              <w:rPr>
                <w:rFonts w:ascii="Arial" w:cs="Arial" w:eastAsia="Arial" w:hAnsi="Arial"/>
                <w:sz w:val="16"/>
                <w:szCs w:val="16"/>
                <w:color w:val="auto"/>
              </w:rPr>
              <w:t>2,611,625</w:t>
            </w:r>
          </w:p>
        </w:tc>
        <w:tc>
          <w:tcPr>
            <w:tcW w:w="1380" w:type="dxa"/>
            <w:vAlign w:val="bottom"/>
            <w:gridSpan w:val="2"/>
          </w:tcPr>
          <w:p>
            <w:pPr>
              <w:jc w:val="right"/>
              <w:ind w:right="248"/>
              <w:spacing w:after="0"/>
              <w:rPr>
                <w:sz w:val="20"/>
                <w:szCs w:val="20"/>
                <w:color w:val="auto"/>
              </w:rPr>
            </w:pPr>
            <w:r>
              <w:rPr>
                <w:rFonts w:ascii="Arial" w:cs="Arial" w:eastAsia="Arial" w:hAnsi="Arial"/>
                <w:sz w:val="16"/>
                <w:szCs w:val="16"/>
                <w:color w:val="auto"/>
              </w:rPr>
              <w:t>26.0%</w:t>
            </w:r>
          </w:p>
        </w:tc>
        <w:tc>
          <w:tcPr>
            <w:tcW w:w="40" w:type="dxa"/>
            <w:vAlign w:val="bottom"/>
            <w:tcBorders>
              <w:right w:val="single" w:sz="8" w:color="808080"/>
            </w:tcBorders>
          </w:tcPr>
          <w:p>
            <w:pPr>
              <w:spacing w:after="0"/>
              <w:rPr>
                <w:sz w:val="19"/>
                <w:szCs w:val="19"/>
                <w:color w:val="auto"/>
              </w:rPr>
            </w:pPr>
          </w:p>
        </w:tc>
      </w:tr>
      <w:tr>
        <w:trPr>
          <w:trHeight w:val="233"/>
        </w:trPr>
        <w:tc>
          <w:tcPr>
            <w:tcW w:w="4100" w:type="dxa"/>
            <w:vAlign w:val="bottom"/>
            <w:tcBorders>
              <w:left w:val="single" w:sz="8" w:color="808080"/>
            </w:tcBorders>
            <w:shd w:val="clear" w:color="auto" w:fill="B6DDE8"/>
          </w:tcPr>
          <w:p>
            <w:pPr>
              <w:ind w:left="20"/>
              <w:spacing w:after="0"/>
              <w:rPr>
                <w:sz w:val="20"/>
                <w:szCs w:val="20"/>
                <w:color w:val="auto"/>
              </w:rPr>
            </w:pPr>
            <w:r>
              <w:rPr>
                <w:rFonts w:ascii="Arial" w:cs="Arial" w:eastAsia="Arial" w:hAnsi="Arial"/>
                <w:sz w:val="16"/>
                <w:szCs w:val="16"/>
                <w:color w:val="auto"/>
              </w:rPr>
              <w:t xml:space="preserve">Royce &amp; Associates Inc. </w:t>
            </w:r>
            <w:r>
              <w:rPr>
                <w:rFonts w:ascii="Arial" w:cs="Arial" w:eastAsia="Arial" w:hAnsi="Arial"/>
                <w:sz w:val="10"/>
                <w:szCs w:val="10"/>
                <w:b w:val="1"/>
                <w:bCs w:val="1"/>
                <w:color w:val="auto"/>
              </w:rPr>
              <w:t>(11)</w:t>
            </w:r>
          </w:p>
        </w:tc>
        <w:tc>
          <w:tcPr>
            <w:tcW w:w="1320" w:type="dxa"/>
            <w:vAlign w:val="bottom"/>
            <w:gridSpan w:val="2"/>
            <w:shd w:val="clear" w:color="auto" w:fill="B6DDE8"/>
          </w:tcPr>
          <w:p>
            <w:pPr>
              <w:jc w:val="right"/>
              <w:ind w:right="228"/>
              <w:spacing w:after="0"/>
              <w:rPr>
                <w:sz w:val="20"/>
                <w:szCs w:val="20"/>
                <w:color w:val="auto"/>
              </w:rPr>
            </w:pPr>
            <w:r>
              <w:rPr>
                <w:rFonts w:ascii="Arial" w:cs="Arial" w:eastAsia="Arial" w:hAnsi="Arial"/>
                <w:sz w:val="16"/>
                <w:szCs w:val="16"/>
                <w:color w:val="auto"/>
              </w:rPr>
              <w:t>697,684</w:t>
            </w:r>
          </w:p>
        </w:tc>
        <w:tc>
          <w:tcPr>
            <w:tcW w:w="1380" w:type="dxa"/>
            <w:vAlign w:val="bottom"/>
            <w:gridSpan w:val="2"/>
            <w:shd w:val="clear" w:color="auto" w:fill="B6DDE8"/>
          </w:tcPr>
          <w:p>
            <w:pPr>
              <w:jc w:val="right"/>
              <w:ind w:right="248"/>
              <w:spacing w:after="0"/>
              <w:rPr>
                <w:sz w:val="20"/>
                <w:szCs w:val="20"/>
                <w:color w:val="auto"/>
              </w:rPr>
            </w:pPr>
            <w:r>
              <w:rPr>
                <w:rFonts w:ascii="Arial" w:cs="Arial" w:eastAsia="Arial" w:hAnsi="Arial"/>
                <w:sz w:val="16"/>
                <w:szCs w:val="16"/>
                <w:color w:val="auto"/>
              </w:rPr>
              <w:t>7.0%</w:t>
            </w:r>
          </w:p>
        </w:tc>
        <w:tc>
          <w:tcPr>
            <w:tcW w:w="40" w:type="dxa"/>
            <w:vAlign w:val="bottom"/>
            <w:tcBorders>
              <w:right w:val="single" w:sz="8" w:color="808080"/>
            </w:tcBorders>
          </w:tcPr>
          <w:p>
            <w:pPr>
              <w:spacing w:after="0"/>
              <w:rPr>
                <w:sz w:val="20"/>
                <w:szCs w:val="20"/>
                <w:color w:val="auto"/>
              </w:rPr>
            </w:pPr>
          </w:p>
        </w:tc>
      </w:tr>
      <w:tr>
        <w:trPr>
          <w:trHeight w:val="20"/>
        </w:trPr>
        <w:tc>
          <w:tcPr>
            <w:tcW w:w="4100" w:type="dxa"/>
            <w:vAlign w:val="bottom"/>
            <w:tcBorders>
              <w:left w:val="single" w:sz="8" w:color="808080"/>
              <w:bottom w:val="single" w:sz="8" w:color="808080"/>
            </w:tcBorders>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355" w:right="1440" w:bottom="9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35114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55" w:right="1440" w:bottom="982" w:gutter="0" w:footer="0" w:header="0"/>
          <w:type w:val="continuous"/>
        </w:sectPr>
      </w:pPr>
    </w:p>
    <w:bookmarkStart w:id="23" w:name="page24"/>
    <w:bookmarkEnd w:id="23"/>
    <w:p>
      <w:pPr>
        <w:ind w:left="660" w:right="1939" w:hanging="652"/>
        <w:spacing w:after="0" w:line="282" w:lineRule="auto"/>
        <w:tabs>
          <w:tab w:leader="none" w:pos="633" w:val="left"/>
        </w:tabs>
        <w:numPr>
          <w:ilvl w:val="0"/>
          <w:numId w:val="16"/>
        </w:numPr>
        <w:rPr>
          <w:rFonts w:ascii="Arial" w:cs="Arial" w:eastAsia="Arial" w:hAnsi="Arial"/>
          <w:sz w:val="19"/>
          <w:szCs w:val="19"/>
          <w:color w:val="auto"/>
        </w:rPr>
      </w:pPr>
      <w:r>
        <w:rPr>
          <w:rFonts w:ascii="Arial" w:cs="Arial" w:eastAsia="Arial" w:hAnsi="Arial"/>
          <w:sz w:val="19"/>
          <w:szCs w:val="19"/>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Communications, Inc., 5225 Wiley Post Way, Suite 500, Salt Lake City, Utah 84116.</w:t>
      </w:r>
    </w:p>
    <w:p>
      <w:pPr>
        <w:spacing w:after="0" w:line="66" w:lineRule="exact"/>
        <w:rPr>
          <w:rFonts w:ascii="Arial" w:cs="Arial" w:eastAsia="Arial" w:hAnsi="Arial"/>
          <w:sz w:val="19"/>
          <w:szCs w:val="19"/>
          <w:color w:val="auto"/>
        </w:rPr>
      </w:pPr>
    </w:p>
    <w:p>
      <w:pPr>
        <w:ind w:left="660" w:right="1799" w:hanging="652"/>
        <w:spacing w:after="0" w:line="275" w:lineRule="auto"/>
        <w:tabs>
          <w:tab w:leader="none" w:pos="633"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percentages shown are calculated based on 9,175,774 shares of common stock outstanding on October 2, 2012. The numbers and percentages shown include the shares of common stock actually owned as of October 2, 2012 and the shares of common stock that the identified person or group had the right to acquire within 60 days of such date. In calculating the percentage of ownership, all shares of common stock that each identified person or group had the right to acquire within 60 days of October 2, 2012 upon the exercise of options are deemed to be outstanding for the purpose of computing the percentage of the shares of common stock owned by the persons or groups listed above.</w:t>
      </w:r>
    </w:p>
    <w:p>
      <w:pPr>
        <w:spacing w:after="0" w:line="77" w:lineRule="exact"/>
        <w:rPr>
          <w:rFonts w:ascii="Arial" w:cs="Arial" w:eastAsia="Arial" w:hAnsi="Arial"/>
          <w:sz w:val="19"/>
          <w:szCs w:val="19"/>
          <w:color w:val="auto"/>
        </w:rPr>
      </w:pPr>
    </w:p>
    <w:p>
      <w:pPr>
        <w:ind w:left="620" w:hanging="612"/>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Includes 512,499 shares of common stock issuable upon exercise of stock options.</w:t>
      </w:r>
    </w:p>
    <w:p>
      <w:pPr>
        <w:spacing w:after="0" w:line="136" w:lineRule="exact"/>
        <w:rPr>
          <w:rFonts w:ascii="Arial" w:cs="Arial" w:eastAsia="Arial" w:hAnsi="Arial"/>
          <w:sz w:val="21"/>
          <w:szCs w:val="21"/>
          <w:color w:val="auto"/>
        </w:rPr>
      </w:pPr>
    </w:p>
    <w:p>
      <w:pPr>
        <w:ind w:left="660" w:right="1839" w:hanging="652"/>
        <w:spacing w:after="0"/>
        <w:tabs>
          <w:tab w:leader="none" w:pos="633"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Includes 1,000 shares held by E. Bryan Bagley’s spouse with respect to which he disclaims beneficial ownership and 6,945 shares of common stock issuable upon exercise of stock options.</w:t>
      </w:r>
    </w:p>
    <w:p>
      <w:pPr>
        <w:spacing w:after="0" w:line="105" w:lineRule="exact"/>
        <w:rPr>
          <w:rFonts w:ascii="Arial" w:cs="Arial" w:eastAsia="Arial" w:hAnsi="Arial"/>
          <w:sz w:val="22"/>
          <w:szCs w:val="22"/>
          <w:color w:val="auto"/>
        </w:rPr>
      </w:pPr>
    </w:p>
    <w:p>
      <w:pPr>
        <w:ind w:left="660" w:right="1919" w:hanging="652"/>
        <w:spacing w:after="0"/>
        <w:tabs>
          <w:tab w:leader="none" w:pos="633"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Includes 88,666 shares held in the Baldwin Family Trust; 11,000 shares owned directly, which are held in an IRA under the name of Mr. Baldwin, and 85,416 shares of common stock issuable upon exercise of stock options.</w:t>
      </w:r>
    </w:p>
    <w:p>
      <w:pPr>
        <w:spacing w:after="0" w:line="105" w:lineRule="exact"/>
        <w:rPr>
          <w:rFonts w:ascii="Arial" w:cs="Arial" w:eastAsia="Arial" w:hAnsi="Arial"/>
          <w:sz w:val="22"/>
          <w:szCs w:val="22"/>
          <w:color w:val="auto"/>
        </w:rPr>
      </w:pPr>
    </w:p>
    <w:p>
      <w:pPr>
        <w:ind w:left="620" w:hanging="612"/>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Includes 75,416 shares of common stock issuable upon exercise of stock options.</w:t>
      </w:r>
    </w:p>
    <w:p>
      <w:pPr>
        <w:spacing w:after="0" w:line="136" w:lineRule="exact"/>
        <w:rPr>
          <w:rFonts w:ascii="Arial" w:cs="Arial" w:eastAsia="Arial" w:hAnsi="Arial"/>
          <w:sz w:val="21"/>
          <w:szCs w:val="21"/>
          <w:color w:val="auto"/>
        </w:rPr>
      </w:pPr>
    </w:p>
    <w:p>
      <w:pPr>
        <w:ind w:left="620" w:hanging="612"/>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Includes 70,416 shares of common stock issuable upon exercise of stock options.</w:t>
      </w:r>
    </w:p>
    <w:p>
      <w:pPr>
        <w:spacing w:after="0" w:line="136" w:lineRule="exact"/>
        <w:rPr>
          <w:rFonts w:ascii="Arial" w:cs="Arial" w:eastAsia="Arial" w:hAnsi="Arial"/>
          <w:sz w:val="21"/>
          <w:szCs w:val="21"/>
          <w:color w:val="auto"/>
        </w:rPr>
      </w:pPr>
    </w:p>
    <w:p>
      <w:pPr>
        <w:ind w:left="620" w:hanging="612"/>
        <w:spacing w:after="0"/>
        <w:tabs>
          <w:tab w:leader="none" w:pos="6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Represents shares of common stock issuable upon exercise of stock options.</w:t>
      </w:r>
    </w:p>
    <w:p>
      <w:pPr>
        <w:spacing w:after="0" w:line="125" w:lineRule="exact"/>
        <w:rPr>
          <w:rFonts w:ascii="Arial" w:cs="Arial" w:eastAsia="Arial" w:hAnsi="Arial"/>
          <w:sz w:val="22"/>
          <w:szCs w:val="22"/>
          <w:color w:val="auto"/>
        </w:rPr>
      </w:pPr>
    </w:p>
    <w:p>
      <w:pPr>
        <w:ind w:left="620" w:hanging="612"/>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Includes 42,499 shares of common stock issuable upon exercise of stock options.</w:t>
      </w:r>
    </w:p>
    <w:p>
      <w:pPr>
        <w:spacing w:after="0" w:line="136" w:lineRule="exact"/>
        <w:rPr>
          <w:rFonts w:ascii="Arial" w:cs="Arial" w:eastAsia="Arial" w:hAnsi="Arial"/>
          <w:sz w:val="21"/>
          <w:szCs w:val="21"/>
          <w:color w:val="auto"/>
        </w:rPr>
      </w:pPr>
    </w:p>
    <w:p>
      <w:pPr>
        <w:ind w:left="660" w:right="1999" w:hanging="652"/>
        <w:spacing w:after="0" w:line="275" w:lineRule="auto"/>
        <w:tabs>
          <w:tab w:leader="none" w:pos="633" w:val="left"/>
        </w:tabs>
        <w:numPr>
          <w:ilvl w:val="0"/>
          <w:numId w:val="16"/>
        </w:numPr>
        <w:rPr>
          <w:rFonts w:ascii="Arial" w:cs="Arial" w:eastAsia="Arial" w:hAnsi="Arial"/>
          <w:sz w:val="19"/>
          <w:szCs w:val="19"/>
          <w:color w:val="auto"/>
        </w:rPr>
      </w:pPr>
      <w:r>
        <w:rPr>
          <w:rFonts w:ascii="Arial" w:cs="Arial" w:eastAsia="Arial" w:hAnsi="Arial"/>
          <w:sz w:val="19"/>
          <w:szCs w:val="19"/>
          <w:color w:val="auto"/>
        </w:rPr>
        <w:t>E. Bryan Bagley is the son of Edward D. Bagley, and each of them disclaims beneficial ownership of common stock beneficially owned by the other. Amounts for Mr. Edward D. Bagley include 126,166 shares held by Edward D. Bagley’s spouse with respect to which he disclaims beneficial ownership and 1,945 shares of common stock issuable upon exercise of stock options. Mr. Edward D. Bagley has sole voting and dispositive power over 2,485,459 shares (including the shares that may be acquired pursuant to the exercise of stock options) and shared voting and dispositive power over the 126,166 shares held by Mr. Edward D. Bagley’s spouse.</w:t>
      </w:r>
    </w:p>
    <w:p>
      <w:pPr>
        <w:spacing w:after="0" w:line="36" w:lineRule="exact"/>
        <w:rPr>
          <w:rFonts w:ascii="Arial" w:cs="Arial" w:eastAsia="Arial" w:hAnsi="Arial"/>
          <w:sz w:val="19"/>
          <w:szCs w:val="19"/>
          <w:color w:val="auto"/>
        </w:rPr>
      </w:pPr>
    </w:p>
    <w:p>
      <w:pPr>
        <w:ind w:left="660" w:right="1839" w:hanging="652"/>
        <w:spacing w:after="0" w:line="235" w:lineRule="auto"/>
        <w:tabs>
          <w:tab w:leader="none" w:pos="633"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Represents 697,684 shares of our common stock beneficially owned by Royce &amp; Associates, Inc. in its capacity as investment advisor on behalf of its clients. Royce &amp; Associates, Inc. has sole voting and dispositive power over all of such shares. The address of Royce &amp; Associates, Inc. is 1414 Avenue of the Americas, New York, NY 10019. This information is based upon a Schedule 13G/A, as filed and amended with the SEC as of January 10, 2012.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PROPOSAL TWORATIFICATION OF THE APPOINTMENT OF THE COMPANY’S</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INDEPENDENT PUBLIC ACCOUNTANTS</w:t>
      </w:r>
    </w:p>
    <w:p>
      <w:pPr>
        <w:spacing w:after="0" w:line="161" w:lineRule="exact"/>
        <w:rPr>
          <w:sz w:val="20"/>
          <w:szCs w:val="20"/>
          <w:color w:val="auto"/>
        </w:rPr>
      </w:pPr>
    </w:p>
    <w:p>
      <w:pPr>
        <w:ind w:right="2219" w:firstLine="648"/>
        <w:spacing w:after="0" w:line="318" w:lineRule="auto"/>
        <w:rPr>
          <w:sz w:val="20"/>
          <w:szCs w:val="20"/>
          <w:color w:val="auto"/>
        </w:rPr>
      </w:pPr>
      <w:r>
        <w:rPr>
          <w:rFonts w:ascii="Arial" w:cs="Arial" w:eastAsia="Arial" w:hAnsi="Arial"/>
          <w:sz w:val="19"/>
          <w:szCs w:val="19"/>
          <w:color w:val="auto"/>
        </w:rPr>
        <w:t>We previously retained Jones Simkins, P.C. (“Jones Simkins”) as our auditor and independent registered public accountants for the years ended December 31, 2011 and 2010.</w:t>
      </w:r>
    </w:p>
    <w:p>
      <w:pPr>
        <w:spacing w:after="0" w:line="2" w:lineRule="exact"/>
        <w:rPr>
          <w:sz w:val="20"/>
          <w:szCs w:val="20"/>
          <w:color w:val="auto"/>
        </w:rPr>
      </w:pPr>
    </w:p>
    <w:p>
      <w:pPr>
        <w:jc w:val="both"/>
        <w:ind w:right="2479" w:firstLine="648"/>
        <w:spacing w:after="0" w:line="238" w:lineRule="auto"/>
        <w:rPr>
          <w:sz w:val="20"/>
          <w:szCs w:val="20"/>
          <w:color w:val="auto"/>
        </w:rPr>
      </w:pPr>
      <w:r>
        <w:rPr>
          <w:rFonts w:ascii="Arial" w:cs="Arial" w:eastAsia="Arial" w:hAnsi="Arial"/>
          <w:sz w:val="22"/>
          <w:szCs w:val="22"/>
          <w:color w:val="auto"/>
        </w:rPr>
        <w:t>On July 23, 2012, ClearOne Communications, Inc. (the “Company”) replaced its independent registered public accounting firm, Jones Simkins, with McGladrey LLP. The decision to replace Jones Simkins was approved by the Audit Committee of the Board of Directors of the Company.</w:t>
      </w:r>
    </w:p>
    <w:p>
      <w:pPr>
        <w:spacing w:after="0" w:line="63" w:lineRule="exact"/>
        <w:rPr>
          <w:sz w:val="20"/>
          <w:szCs w:val="20"/>
          <w:color w:val="auto"/>
        </w:rPr>
      </w:pPr>
    </w:p>
    <w:p>
      <w:pPr>
        <w:jc w:val="both"/>
        <w:ind w:right="1959" w:firstLine="702"/>
        <w:spacing w:after="0" w:line="238" w:lineRule="auto"/>
        <w:rPr>
          <w:sz w:val="20"/>
          <w:szCs w:val="20"/>
          <w:color w:val="auto"/>
        </w:rPr>
      </w:pPr>
      <w:r>
        <w:rPr>
          <w:rFonts w:ascii="Arial" w:cs="Arial" w:eastAsia="Arial" w:hAnsi="Arial"/>
          <w:sz w:val="22"/>
          <w:szCs w:val="22"/>
          <w:color w:val="auto"/>
        </w:rPr>
        <w:t>Jones Simkins’ reports on the Company’s consolidated financial statements for each of the years ended December 31, 2011 and December 31, 2010 did not contain an adverse opinion or a disclaimer of opinion, nor were they qualified or modified as to uncertainty, audit scope or accounting principles.</w:t>
      </w:r>
    </w:p>
    <w:p>
      <w:pPr>
        <w:sectPr>
          <w:pgSz w:w="11900" w:h="16838" w:orient="portrait"/>
          <w:cols w:equalWidth="0" w:num="1">
            <w:col w:w="10219"/>
          </w:cols>
          <w:pgMar w:left="240" w:top="36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0219"/>
          </w:cols>
          <w:pgMar w:left="240" w:top="361" w:right="1440" w:bottom="0" w:gutter="0" w:footer="0" w:header="0"/>
          <w:type w:val="continuous"/>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ind w:right="1839" w:firstLine="648"/>
        <w:spacing w:after="0" w:line="277" w:lineRule="auto"/>
        <w:rPr>
          <w:sz w:val="20"/>
          <w:szCs w:val="20"/>
          <w:color w:val="auto"/>
        </w:rPr>
      </w:pPr>
      <w:r>
        <w:rPr>
          <w:rFonts w:ascii="Arial" w:cs="Arial" w:eastAsia="Arial" w:hAnsi="Arial"/>
          <w:sz w:val="19"/>
          <w:szCs w:val="19"/>
          <w:color w:val="auto"/>
        </w:rPr>
        <w:t>During the years ended December 31, 2011 and December 31, 2010 and through July 23, 2012, there were no disagreements between the Company and Jones Simkins on any matter of accounting principles or practices, financial statement disclosure or auditing scope or procedure which, if not resolved to Jones Simkins’ satisfaction, would have caused Jones Simkins to make a reference to the subject matter of the disagreement in connection with its report for such years and subsequent interim periods; and there were no reportable events as defined in Item 304(a)(1) (v) of Regulation S-K for such years and subsequent interim periods through July 23, 2012.</w:t>
      </w:r>
    </w:p>
    <w:p>
      <w:pPr>
        <w:spacing w:after="0" w:line="31" w:lineRule="exact"/>
        <w:rPr>
          <w:sz w:val="20"/>
          <w:szCs w:val="20"/>
          <w:color w:val="auto"/>
        </w:rPr>
      </w:pPr>
    </w:p>
    <w:p>
      <w:pPr>
        <w:ind w:right="1859" w:firstLine="648"/>
        <w:spacing w:after="0" w:line="279" w:lineRule="auto"/>
        <w:rPr>
          <w:sz w:val="20"/>
          <w:szCs w:val="20"/>
          <w:color w:val="auto"/>
        </w:rPr>
      </w:pPr>
      <w:r>
        <w:rPr>
          <w:rFonts w:ascii="Arial" w:cs="Arial" w:eastAsia="Arial" w:hAnsi="Arial"/>
          <w:sz w:val="19"/>
          <w:szCs w:val="19"/>
          <w:color w:val="auto"/>
        </w:rPr>
        <w:t>During the years ended December 31, 2011 and December 31, 2010 and through July 23, 2012, neither the Company nor anyone acting on its behalf consulted McGladrey LLP with respect to the application of accounting principles to a specified transaction, either completed or proposed, or the type of audit opinion that might be rendered on the Company’s consolidated financial statements, or any matter that was the subject of a disagreement or reportable event as defined in Items 304(a)(1)(iv) and (v) of Regulation S-K.</w:t>
      </w:r>
    </w:p>
    <w:p>
      <w:pPr>
        <w:spacing w:after="0" w:line="29" w:lineRule="exact"/>
        <w:rPr>
          <w:sz w:val="20"/>
          <w:szCs w:val="20"/>
          <w:color w:val="auto"/>
        </w:rPr>
      </w:pPr>
    </w:p>
    <w:p>
      <w:pPr>
        <w:ind w:right="1839" w:firstLine="648"/>
        <w:spacing w:after="0" w:line="287" w:lineRule="auto"/>
        <w:rPr>
          <w:sz w:val="20"/>
          <w:szCs w:val="20"/>
          <w:color w:val="auto"/>
        </w:rPr>
      </w:pPr>
      <w:r>
        <w:rPr>
          <w:rFonts w:ascii="Arial" w:cs="Arial" w:eastAsia="Arial" w:hAnsi="Arial"/>
          <w:sz w:val="19"/>
          <w:szCs w:val="19"/>
          <w:color w:val="auto"/>
        </w:rPr>
        <w:t>The Board of Directors of the Company has approved the appointment of McGladrey LLP as our auditor and independent certified public accountants for the year ending December 31, 2012. The ratification of the selection of McGladrey LLP as our auditors for the current year ending on December 31, 2012 is being submitted to the shareholders for their consideration.</w:t>
      </w:r>
    </w:p>
    <w:p>
      <w:pPr>
        <w:spacing w:after="0" w:line="22" w:lineRule="exact"/>
        <w:rPr>
          <w:sz w:val="20"/>
          <w:szCs w:val="20"/>
          <w:color w:val="auto"/>
        </w:rPr>
      </w:pPr>
    </w:p>
    <w:p>
      <w:pPr>
        <w:ind w:right="1919" w:firstLine="648"/>
        <w:spacing w:after="0" w:line="238" w:lineRule="auto"/>
        <w:rPr>
          <w:sz w:val="20"/>
          <w:szCs w:val="20"/>
          <w:color w:val="auto"/>
        </w:rPr>
      </w:pPr>
      <w:r>
        <w:rPr>
          <w:rFonts w:ascii="Arial" w:cs="Arial" w:eastAsia="Arial" w:hAnsi="Arial"/>
          <w:sz w:val="22"/>
          <w:szCs w:val="22"/>
          <w:color w:val="auto"/>
        </w:rPr>
        <w:t>It is anticipated that a representative of McGladrey LLP will attend the meeting and will be available to respond to questions. It is not anticipated that the representative will make any statement or presentation, although the representative will have an opportunity to do so if he or she desires.</w:t>
      </w:r>
    </w:p>
    <w:p>
      <w:pPr>
        <w:spacing w:after="0" w:line="57" w:lineRule="exact"/>
        <w:rPr>
          <w:sz w:val="20"/>
          <w:szCs w:val="20"/>
          <w:color w:val="auto"/>
        </w:rPr>
      </w:pPr>
    </w:p>
    <w:p>
      <w:pPr>
        <w:ind w:right="1899" w:firstLine="1297"/>
        <w:spacing w:after="0" w:line="335" w:lineRule="auto"/>
        <w:rPr>
          <w:sz w:val="20"/>
          <w:szCs w:val="20"/>
          <w:color w:val="auto"/>
        </w:rPr>
      </w:pPr>
      <w:r>
        <w:rPr>
          <w:rFonts w:ascii="Arial" w:cs="Arial" w:eastAsia="Arial" w:hAnsi="Arial"/>
          <w:sz w:val="19"/>
          <w:szCs w:val="19"/>
          <w:b w:val="1"/>
          <w:bCs w:val="1"/>
          <w:color w:val="auto"/>
        </w:rPr>
        <w:t>The Board of Directors unanimously recommends a vote “for” the ratification of the appointment of McGladrey LLP as our independent public accountants.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Principle Accountant Fees and Services</w:t>
      </w:r>
    </w:p>
    <w:p>
      <w:pPr>
        <w:spacing w:after="0" w:line="185" w:lineRule="exact"/>
        <w:rPr>
          <w:sz w:val="20"/>
          <w:szCs w:val="20"/>
          <w:color w:val="auto"/>
        </w:rPr>
      </w:pPr>
    </w:p>
    <w:p>
      <w:pPr>
        <w:ind w:right="2199" w:firstLine="648"/>
        <w:spacing w:after="0" w:line="251" w:lineRule="auto"/>
        <w:rPr>
          <w:sz w:val="20"/>
          <w:szCs w:val="20"/>
          <w:color w:val="auto"/>
        </w:rPr>
      </w:pPr>
      <w:r>
        <w:rPr>
          <w:rFonts w:ascii="Arial" w:cs="Arial" w:eastAsia="Arial" w:hAnsi="Arial"/>
          <w:sz w:val="22"/>
          <w:szCs w:val="22"/>
          <w:color w:val="auto"/>
        </w:rPr>
        <w:t>The following table presents aggregate fees billed by the principal accountants to our company:</w:t>
      </w:r>
    </w:p>
    <w:p>
      <w:pPr>
        <w:spacing w:after="0" w:line="158" w:lineRule="exact"/>
        <w:rPr>
          <w:sz w:val="20"/>
          <w:szCs w:val="20"/>
          <w:color w:val="auto"/>
        </w:rPr>
      </w:pPr>
    </w:p>
    <w:tbl>
      <w:tblPr>
        <w:tblLayout w:type="fixed"/>
        <w:tblInd w:w="30" w:type="dxa"/>
        <w:tblCellMar>
          <w:top w:w="0" w:type="dxa"/>
          <w:left w:w="0" w:type="dxa"/>
          <w:bottom w:w="0" w:type="dxa"/>
          <w:right w:w="0" w:type="dxa"/>
        </w:tblCellMar>
      </w:tblPr>
      <w:tr>
        <w:trPr>
          <w:trHeight w:val="275"/>
        </w:trPr>
        <w:tc>
          <w:tcPr>
            <w:tcW w:w="2160" w:type="dxa"/>
            <w:vAlign w:val="bottom"/>
            <w:tcBorders>
              <w:top w:val="single" w:sz="8" w:color="808080"/>
              <w:left w:val="single" w:sz="8" w:color="808080"/>
            </w:tcBorders>
          </w:tcPr>
          <w:p>
            <w:pPr>
              <w:spacing w:after="0"/>
              <w:rPr>
                <w:sz w:val="23"/>
                <w:szCs w:val="23"/>
                <w:color w:val="auto"/>
              </w:rPr>
            </w:pPr>
          </w:p>
        </w:tc>
        <w:tc>
          <w:tcPr>
            <w:tcW w:w="2320" w:type="dxa"/>
            <w:vAlign w:val="bottom"/>
            <w:tcBorders>
              <w:top w:val="single" w:sz="8" w:color="808080"/>
              <w:right w:val="single" w:sz="8" w:color="808080"/>
            </w:tcBorders>
            <w:gridSpan w:val="3"/>
          </w:tcPr>
          <w:p>
            <w:pPr>
              <w:ind w:left="540"/>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2160" w:type="dxa"/>
            <w:vAlign w:val="bottom"/>
            <w:tcBorders>
              <w:left w:val="single" w:sz="8" w:color="808080"/>
            </w:tcBorders>
          </w:tcPr>
          <w:p>
            <w:pPr>
              <w:spacing w:after="0"/>
              <w:rPr>
                <w:sz w:val="17"/>
                <w:szCs w:val="17"/>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right w:val="single" w:sz="8" w:color="808080"/>
            </w:tcBorders>
          </w:tcPr>
          <w:p>
            <w:pPr>
              <w:spacing w:after="0"/>
              <w:rPr>
                <w:sz w:val="17"/>
                <w:szCs w:val="17"/>
                <w:color w:val="auto"/>
              </w:rPr>
            </w:pPr>
          </w:p>
        </w:tc>
      </w:tr>
      <w:tr>
        <w:trPr>
          <w:trHeight w:val="250"/>
        </w:trPr>
        <w:tc>
          <w:tcPr>
            <w:tcW w:w="2160" w:type="dxa"/>
            <w:vAlign w:val="bottom"/>
            <w:tcBorders>
              <w:left w:val="single" w:sz="8" w:color="808080"/>
            </w:tcBorders>
            <w:shd w:val="clear" w:color="auto" w:fill="B6DDE8"/>
          </w:tcPr>
          <w:p>
            <w:pPr>
              <w:ind w:left="20"/>
              <w:spacing w:after="0" w:line="250"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8"/>
                <w:szCs w:val="28"/>
                <w:color w:val="auto"/>
                <w:vertAlign w:val="superscript"/>
              </w:rPr>
              <w:t>(1)</w:t>
            </w:r>
          </w:p>
        </w:tc>
        <w:tc>
          <w:tcPr>
            <w:tcW w:w="1040" w:type="dxa"/>
            <w:vAlign w:val="bottom"/>
            <w:shd w:val="clear" w:color="auto" w:fill="B6DDE8"/>
          </w:tcPr>
          <w:p>
            <w:pPr>
              <w:jc w:val="right"/>
              <w:ind w:right="115"/>
              <w:spacing w:after="0"/>
              <w:rPr>
                <w:sz w:val="20"/>
                <w:szCs w:val="20"/>
                <w:color w:val="auto"/>
              </w:rPr>
            </w:pPr>
            <w:r>
              <w:rPr>
                <w:rFonts w:ascii="Arial" w:cs="Arial" w:eastAsia="Arial" w:hAnsi="Arial"/>
                <w:sz w:val="18"/>
                <w:szCs w:val="18"/>
                <w:color w:val="auto"/>
              </w:rPr>
              <w:t>$ 191,632</w:t>
            </w:r>
          </w:p>
        </w:tc>
        <w:tc>
          <w:tcPr>
            <w:tcW w:w="1240" w:type="dxa"/>
            <w:vAlign w:val="bottom"/>
            <w:shd w:val="clear" w:color="auto" w:fill="B6DDE8"/>
          </w:tcPr>
          <w:p>
            <w:pPr>
              <w:jc w:val="right"/>
              <w:ind w:right="213"/>
              <w:spacing w:after="0"/>
              <w:rPr>
                <w:sz w:val="20"/>
                <w:szCs w:val="20"/>
                <w:color w:val="auto"/>
              </w:rPr>
            </w:pPr>
            <w:r>
              <w:rPr>
                <w:rFonts w:ascii="Arial" w:cs="Arial" w:eastAsia="Arial" w:hAnsi="Arial"/>
                <w:sz w:val="18"/>
                <w:szCs w:val="18"/>
                <w:color w:val="auto"/>
              </w:rPr>
              <w:t>$ 174,179</w:t>
            </w:r>
          </w:p>
        </w:tc>
        <w:tc>
          <w:tcPr>
            <w:tcW w:w="40" w:type="dxa"/>
            <w:vAlign w:val="bottom"/>
            <w:tcBorders>
              <w:right w:val="single" w:sz="8" w:color="808080"/>
            </w:tcBorders>
          </w:tcPr>
          <w:p>
            <w:pPr>
              <w:spacing w:after="0"/>
              <w:rPr>
                <w:sz w:val="21"/>
                <w:szCs w:val="21"/>
                <w:color w:val="auto"/>
              </w:rPr>
            </w:pPr>
          </w:p>
        </w:tc>
      </w:tr>
      <w:tr>
        <w:trPr>
          <w:trHeight w:val="230"/>
        </w:trPr>
        <w:tc>
          <w:tcPr>
            <w:tcW w:w="2160" w:type="dxa"/>
            <w:vAlign w:val="bottom"/>
            <w:tcBorders>
              <w:left w:val="single" w:sz="8" w:color="808080"/>
            </w:tcBorders>
          </w:tcPr>
          <w:p>
            <w:pPr>
              <w:ind w:left="20"/>
              <w:spacing w:after="0"/>
              <w:rPr>
                <w:sz w:val="20"/>
                <w:szCs w:val="20"/>
                <w:color w:val="auto"/>
              </w:rPr>
            </w:pPr>
            <w:r>
              <w:rPr>
                <w:rFonts w:ascii="Arial" w:cs="Arial" w:eastAsia="Arial" w:hAnsi="Arial"/>
                <w:sz w:val="18"/>
                <w:szCs w:val="18"/>
                <w:color w:val="auto"/>
              </w:rPr>
              <w:t>Audit-related Fees</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808080"/>
            </w:tcBorders>
          </w:tcPr>
          <w:p>
            <w:pPr>
              <w:spacing w:after="0"/>
              <w:rPr>
                <w:sz w:val="19"/>
                <w:szCs w:val="19"/>
                <w:color w:val="auto"/>
              </w:rPr>
            </w:pPr>
          </w:p>
        </w:tc>
      </w:tr>
      <w:tr>
        <w:trPr>
          <w:trHeight w:val="257"/>
        </w:trPr>
        <w:tc>
          <w:tcPr>
            <w:tcW w:w="2160" w:type="dxa"/>
            <w:vAlign w:val="bottom"/>
            <w:tcBorders>
              <w:left w:val="single" w:sz="8" w:color="808080"/>
            </w:tcBorders>
            <w:shd w:val="clear" w:color="auto" w:fill="B6DDE8"/>
          </w:tcPr>
          <w:p>
            <w:pPr>
              <w:ind w:left="20"/>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(2)</w:t>
            </w:r>
          </w:p>
        </w:tc>
        <w:tc>
          <w:tcPr>
            <w:tcW w:w="1040" w:type="dxa"/>
            <w:vAlign w:val="bottom"/>
            <w:shd w:val="clear" w:color="auto" w:fill="B6DDE8"/>
          </w:tcPr>
          <w:p>
            <w:pPr>
              <w:jc w:val="right"/>
              <w:ind w:right="115"/>
              <w:spacing w:after="0"/>
              <w:rPr>
                <w:sz w:val="20"/>
                <w:szCs w:val="20"/>
                <w:color w:val="auto"/>
              </w:rPr>
            </w:pPr>
            <w:r>
              <w:rPr>
                <w:rFonts w:ascii="Arial" w:cs="Arial" w:eastAsia="Arial" w:hAnsi="Arial"/>
                <w:sz w:val="18"/>
                <w:szCs w:val="18"/>
                <w:color w:val="auto"/>
              </w:rPr>
              <w:t>41,629</w:t>
            </w:r>
          </w:p>
        </w:tc>
        <w:tc>
          <w:tcPr>
            <w:tcW w:w="1240" w:type="dxa"/>
            <w:vAlign w:val="bottom"/>
            <w:shd w:val="clear" w:color="auto" w:fill="B6DDE8"/>
          </w:tcPr>
          <w:p>
            <w:pPr>
              <w:jc w:val="right"/>
              <w:ind w:right="213"/>
              <w:spacing w:after="0"/>
              <w:rPr>
                <w:sz w:val="20"/>
                <w:szCs w:val="20"/>
                <w:color w:val="auto"/>
              </w:rPr>
            </w:pPr>
            <w:r>
              <w:rPr>
                <w:rFonts w:ascii="Arial" w:cs="Arial" w:eastAsia="Arial" w:hAnsi="Arial"/>
                <w:sz w:val="18"/>
                <w:szCs w:val="18"/>
                <w:color w:val="auto"/>
              </w:rPr>
              <w:t>99,388</w:t>
            </w:r>
          </w:p>
        </w:tc>
        <w:tc>
          <w:tcPr>
            <w:tcW w:w="40" w:type="dxa"/>
            <w:vAlign w:val="bottom"/>
            <w:tcBorders>
              <w:right w:val="single" w:sz="8" w:color="808080"/>
            </w:tcBorders>
          </w:tcPr>
          <w:p>
            <w:pPr>
              <w:spacing w:after="0"/>
              <w:rPr>
                <w:sz w:val="22"/>
                <w:szCs w:val="22"/>
                <w:color w:val="auto"/>
              </w:rPr>
            </w:pPr>
          </w:p>
        </w:tc>
      </w:tr>
      <w:tr>
        <w:trPr>
          <w:trHeight w:val="257"/>
        </w:trPr>
        <w:tc>
          <w:tcPr>
            <w:tcW w:w="2160" w:type="dxa"/>
            <w:vAlign w:val="bottom"/>
            <w:tcBorders>
              <w:left w:val="single" w:sz="8" w:color="808080"/>
              <w:bottom w:val="single" w:sz="8" w:color="B6DDE8"/>
            </w:tcBorders>
          </w:tcPr>
          <w:p>
            <w:pPr>
              <w:ind w:left="20"/>
              <w:spacing w:after="0" w:line="25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9"/>
                <w:szCs w:val="29"/>
                <w:color w:val="auto"/>
                <w:vertAlign w:val="superscript"/>
              </w:rPr>
              <w:t>(3)</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808080"/>
            </w:tcBorders>
          </w:tcPr>
          <w:p>
            <w:pPr>
              <w:spacing w:after="0"/>
              <w:rPr>
                <w:sz w:val="22"/>
                <w:szCs w:val="22"/>
                <w:color w:val="auto"/>
              </w:rPr>
            </w:pPr>
          </w:p>
        </w:tc>
      </w:tr>
      <w:tr>
        <w:trPr>
          <w:trHeight w:val="223"/>
        </w:trPr>
        <w:tc>
          <w:tcPr>
            <w:tcW w:w="2160" w:type="dxa"/>
            <w:vAlign w:val="bottom"/>
            <w:tcBorders>
              <w:left w:val="single" w:sz="8" w:color="808080"/>
              <w:bottom w:val="single" w:sz="8" w:color="B6DDE8"/>
            </w:tcBorders>
            <w:shd w:val="clear" w:color="auto" w:fill="B6DDE8"/>
          </w:tcPr>
          <w:p>
            <w:pPr>
              <w:ind w:left="200"/>
              <w:spacing w:after="0" w:line="182"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B6DDE8"/>
          </w:tcPr>
          <w:p>
            <w:pPr>
              <w:jc w:val="right"/>
              <w:ind w:right="115"/>
              <w:spacing w:after="0" w:line="182" w:lineRule="exact"/>
              <w:rPr>
                <w:sz w:val="20"/>
                <w:szCs w:val="20"/>
                <w:color w:val="auto"/>
              </w:rPr>
            </w:pPr>
            <w:r>
              <w:rPr>
                <w:rFonts w:ascii="Arial" w:cs="Arial" w:eastAsia="Arial" w:hAnsi="Arial"/>
                <w:sz w:val="18"/>
                <w:szCs w:val="18"/>
                <w:color w:val="auto"/>
              </w:rPr>
              <w:t>$ 233,261</w:t>
            </w:r>
          </w:p>
        </w:tc>
        <w:tc>
          <w:tcPr>
            <w:tcW w:w="1240" w:type="dxa"/>
            <w:vAlign w:val="bottom"/>
            <w:tcBorders>
              <w:bottom w:val="single" w:sz="8" w:color="auto"/>
            </w:tcBorders>
            <w:shd w:val="clear" w:color="auto" w:fill="B6DDE8"/>
          </w:tcPr>
          <w:p>
            <w:pPr>
              <w:jc w:val="right"/>
              <w:ind w:right="213"/>
              <w:spacing w:after="0" w:line="182" w:lineRule="exact"/>
              <w:rPr>
                <w:sz w:val="20"/>
                <w:szCs w:val="20"/>
                <w:color w:val="auto"/>
              </w:rPr>
            </w:pPr>
            <w:r>
              <w:rPr>
                <w:rFonts w:ascii="Arial" w:cs="Arial" w:eastAsia="Arial" w:hAnsi="Arial"/>
                <w:sz w:val="18"/>
                <w:szCs w:val="18"/>
                <w:color w:val="auto"/>
              </w:rPr>
              <w:t>$ 273,567</w:t>
            </w:r>
          </w:p>
        </w:tc>
        <w:tc>
          <w:tcPr>
            <w:tcW w:w="40" w:type="dxa"/>
            <w:vAlign w:val="bottom"/>
            <w:tcBorders>
              <w:right w:val="single" w:sz="8" w:color="808080"/>
            </w:tcBorders>
          </w:tcPr>
          <w:p>
            <w:pPr>
              <w:spacing w:after="0"/>
              <w:rPr>
                <w:sz w:val="19"/>
                <w:szCs w:val="19"/>
                <w:color w:val="auto"/>
              </w:rPr>
            </w:pPr>
          </w:p>
        </w:tc>
      </w:tr>
      <w:tr>
        <w:trPr>
          <w:trHeight w:val="20"/>
        </w:trPr>
        <w:tc>
          <w:tcPr>
            <w:tcW w:w="2160" w:type="dxa"/>
            <w:vAlign w:val="bottom"/>
            <w:tcBorders>
              <w:left w:val="single" w:sz="8" w:color="808080"/>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124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right w:val="single" w:sz="8" w:color="808080"/>
            </w:tcBorders>
          </w:tcPr>
          <w:p>
            <w:pPr>
              <w:spacing w:after="0" w:line="20" w:lineRule="exact"/>
              <w:rPr>
                <w:sz w:val="1"/>
                <w:szCs w:val="1"/>
                <w:color w:val="auto"/>
              </w:rPr>
            </w:pPr>
          </w:p>
        </w:tc>
      </w:tr>
    </w:tbl>
    <w:p>
      <w:pPr>
        <w:spacing w:after="0" w:line="70" w:lineRule="exact"/>
        <w:rPr>
          <w:sz w:val="20"/>
          <w:szCs w:val="20"/>
          <w:color w:val="auto"/>
        </w:rPr>
      </w:pPr>
    </w:p>
    <w:p>
      <w:pPr>
        <w:ind w:left="660" w:right="1939" w:hanging="598"/>
        <w:spacing w:after="0" w:line="274" w:lineRule="auto"/>
        <w:tabs>
          <w:tab w:leader="none" w:pos="633" w:val="left"/>
        </w:tabs>
        <w:numPr>
          <w:ilvl w:val="1"/>
          <w:numId w:val="17"/>
        </w:numPr>
        <w:rPr>
          <w:rFonts w:ascii="Arial" w:cs="Arial" w:eastAsia="Arial" w:hAnsi="Arial"/>
          <w:sz w:val="21"/>
          <w:szCs w:val="21"/>
          <w:color w:val="auto"/>
        </w:rPr>
      </w:pPr>
      <w:r>
        <w:rPr>
          <w:rFonts w:ascii="Arial" w:cs="Arial" w:eastAsia="Arial" w:hAnsi="Arial"/>
          <w:sz w:val="21"/>
          <w:szCs w:val="21"/>
          <w:color w:val="auto"/>
        </w:rPr>
        <w:t>Represents fees billed for professional services rendered for the audit and reviews of our financial statements filed with the SEC on Forms 10-K and 10-Q.</w:t>
      </w:r>
    </w:p>
    <w:p>
      <w:pPr>
        <w:spacing w:after="0" w:line="29" w:lineRule="exact"/>
        <w:rPr>
          <w:rFonts w:ascii="Arial" w:cs="Arial" w:eastAsia="Arial" w:hAnsi="Arial"/>
          <w:sz w:val="21"/>
          <w:szCs w:val="21"/>
          <w:color w:val="auto"/>
        </w:rPr>
      </w:pPr>
    </w:p>
    <w:p>
      <w:pPr>
        <w:ind w:left="620" w:hanging="612"/>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Represents fees billed for tax filing, preparation, and tax advisory services.</w:t>
      </w:r>
    </w:p>
    <w:p>
      <w:pPr>
        <w:spacing w:after="0" w:line="84" w:lineRule="exact"/>
        <w:rPr>
          <w:rFonts w:ascii="Arial" w:cs="Arial" w:eastAsia="Arial" w:hAnsi="Arial"/>
          <w:sz w:val="22"/>
          <w:szCs w:val="22"/>
          <w:color w:val="auto"/>
        </w:rPr>
      </w:pPr>
    </w:p>
    <w:p>
      <w:pPr>
        <w:ind w:left="660" w:right="2219" w:hanging="652"/>
        <w:spacing w:after="0" w:line="251" w:lineRule="auto"/>
        <w:tabs>
          <w:tab w:leader="none" w:pos="633"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Represents fees billed for all other non-audit services, such as consulting on potential acquisitions or dispositions.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Pre-Approval Policies and Procedures</w:t>
      </w:r>
    </w:p>
    <w:p>
      <w:pPr>
        <w:spacing w:after="0" w:line="91" w:lineRule="exact"/>
        <w:rPr>
          <w:sz w:val="20"/>
          <w:szCs w:val="20"/>
          <w:color w:val="auto"/>
        </w:rPr>
      </w:pPr>
    </w:p>
    <w:p>
      <w:pPr>
        <w:ind w:right="1859" w:firstLine="486"/>
        <w:spacing w:after="0" w:line="272" w:lineRule="auto"/>
        <w:rPr>
          <w:sz w:val="20"/>
          <w:szCs w:val="20"/>
          <w:color w:val="auto"/>
        </w:rPr>
      </w:pPr>
      <w:r>
        <w:rPr>
          <w:rFonts w:ascii="Arial" w:cs="Arial" w:eastAsia="Arial" w:hAnsi="Arial"/>
          <w:sz w:val="19"/>
          <w:szCs w:val="19"/>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2011,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ectPr>
          <w:pgSz w:w="11900" w:h="16838" w:orient="portrait"/>
          <w:cols w:equalWidth="0" w:num="1">
            <w:col w:w="10219"/>
          </w:cols>
          <w:pgMar w:left="240" w:top="361" w:right="1440" w:bottom="7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35114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61" w:right="1440" w:bottom="753" w:gutter="0" w:footer="0" w:header="0"/>
          <w:type w:val="continuous"/>
        </w:sectPr>
      </w:pPr>
    </w:p>
    <w:bookmarkStart w:id="26" w:name="page27"/>
    <w:bookmarkEnd w:id="26"/>
    <w:p>
      <w:pPr>
        <w:jc w:val="center"/>
        <w:ind w:right="1779"/>
        <w:spacing w:after="0"/>
        <w:rPr>
          <w:sz w:val="20"/>
          <w:szCs w:val="20"/>
          <w:color w:val="auto"/>
        </w:rPr>
      </w:pPr>
      <w:r>
        <w:rPr>
          <w:rFonts w:ascii="Arial" w:cs="Arial" w:eastAsia="Arial" w:hAnsi="Arial"/>
          <w:sz w:val="22"/>
          <w:szCs w:val="22"/>
          <w:b w:val="1"/>
          <w:bCs w:val="1"/>
          <w:color w:val="auto"/>
        </w:rPr>
        <w:t>PROPOSAL THREEAMENDMENT OF THE ARTICLES OF INCORPORATION OF</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THE COMPANY TO CHANGE THE NAME OF THE COMPANY</w:t>
      </w:r>
    </w:p>
    <w:p>
      <w:pPr>
        <w:spacing w:after="0" w:line="155" w:lineRule="exact"/>
        <w:rPr>
          <w:sz w:val="20"/>
          <w:szCs w:val="20"/>
          <w:color w:val="auto"/>
        </w:rPr>
      </w:pPr>
    </w:p>
    <w:p>
      <w:pPr>
        <w:jc w:val="center"/>
        <w:ind w:left="300" w:right="80"/>
        <w:spacing w:after="0" w:line="289" w:lineRule="auto"/>
        <w:rPr>
          <w:sz w:val="20"/>
          <w:szCs w:val="20"/>
          <w:color w:val="auto"/>
        </w:rPr>
      </w:pPr>
      <w:r>
        <w:rPr>
          <w:rFonts w:ascii="Arial" w:cs="Arial" w:eastAsia="Arial" w:hAnsi="Arial"/>
          <w:sz w:val="19"/>
          <w:szCs w:val="19"/>
          <w:b w:val="1"/>
          <w:bCs w:val="1"/>
          <w:color w:val="auto"/>
        </w:rPr>
        <w:t>The Board of Directors of the Company has approved and recommended an Amendment to Article I of the Articles of Incorporation to change the name of the Company from “ClearOne Communications, Inc.”, to “ClearOne Inc.” The name change is proposed to reflect the expansion of ClearOne’s business and its focus on multiple product lines.</w:t>
      </w:r>
    </w:p>
    <w:p>
      <w:pPr>
        <w:spacing w:after="0" w:line="21" w:lineRule="exact"/>
        <w:rPr>
          <w:sz w:val="20"/>
          <w:szCs w:val="20"/>
          <w:color w:val="auto"/>
        </w:rPr>
      </w:pPr>
    </w:p>
    <w:p>
      <w:pPr>
        <w:ind w:right="1919" w:firstLine="648"/>
        <w:spacing w:after="0" w:line="251" w:lineRule="auto"/>
        <w:rPr>
          <w:sz w:val="20"/>
          <w:szCs w:val="20"/>
          <w:color w:val="auto"/>
        </w:rPr>
      </w:pPr>
      <w:r>
        <w:rPr>
          <w:rFonts w:ascii="Arial" w:cs="Arial" w:eastAsia="Arial" w:hAnsi="Arial"/>
          <w:sz w:val="22"/>
          <w:szCs w:val="22"/>
          <w:color w:val="auto"/>
        </w:rPr>
        <w:t xml:space="preserve">The form of the proposed amendment to our Articles of Incorporation to effect the name change is attached to this Proxy Statement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52" w:lineRule="exact"/>
        <w:rPr>
          <w:sz w:val="20"/>
          <w:szCs w:val="20"/>
          <w:color w:val="auto"/>
        </w:rPr>
      </w:pPr>
    </w:p>
    <w:p>
      <w:pPr>
        <w:ind w:right="1839" w:firstLine="648"/>
        <w:spacing w:after="0" w:line="247" w:lineRule="auto"/>
        <w:rPr>
          <w:sz w:val="20"/>
          <w:szCs w:val="20"/>
          <w:color w:val="auto"/>
        </w:rPr>
      </w:pPr>
      <w:r>
        <w:rPr>
          <w:rFonts w:ascii="Arial" w:cs="Arial" w:eastAsia="Arial" w:hAnsi="Arial"/>
          <w:sz w:val="21"/>
          <w:szCs w:val="21"/>
          <w:color w:val="auto"/>
        </w:rPr>
        <w:t>The name change will become effective upon the filing of an Amendment to our Articles of Incorporation which we refer to as the effective time (Effective Time). At the Effective Time, all newly issued stock certificates representing shares of stock will be evidenced by the name ClearOne, Inc. Current holders of certificates representing shares of stock will not be required to exchange stock certificates for new stock certificates bearing the name ClearOne, Inc. All stock certificates issued prior to the Effective Date will continue to be recognized by the Company and the Company’s transfer agent.</w:t>
      </w:r>
    </w:p>
    <w:p>
      <w:pPr>
        <w:spacing w:after="0" w:line="145" w:lineRule="exact"/>
        <w:rPr>
          <w:sz w:val="20"/>
          <w:szCs w:val="20"/>
          <w:color w:val="auto"/>
        </w:rPr>
      </w:pPr>
    </w:p>
    <w:p>
      <w:pPr>
        <w:ind w:right="2319" w:firstLine="1297"/>
        <w:spacing w:after="0" w:line="243" w:lineRule="auto"/>
        <w:rPr>
          <w:sz w:val="20"/>
          <w:szCs w:val="20"/>
          <w:color w:val="auto"/>
        </w:rPr>
      </w:pPr>
      <w:r>
        <w:rPr>
          <w:rFonts w:ascii="Arial" w:cs="Arial" w:eastAsia="Arial" w:hAnsi="Arial"/>
          <w:sz w:val="22"/>
          <w:szCs w:val="22"/>
          <w:b w:val="1"/>
          <w:bCs w:val="1"/>
          <w:color w:val="auto"/>
        </w:rPr>
        <w:t>The Board of Directors unanimously recommends a vote “for” the amendment of the Articles of Incorporation to change the name of the Company from “ClearOne Communications, Inc.” to “ClearOne, Inc.”</w:t>
      </w:r>
    </w:p>
    <w:p>
      <w:pPr>
        <w:spacing w:after="0" w:line="150"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DEADLINE FOR RECEIPT OF SHAREHOLDER PROPOSALS</w:t>
      </w:r>
    </w:p>
    <w:p>
      <w:pPr>
        <w:spacing w:after="0" w:line="91" w:lineRule="exact"/>
        <w:rPr>
          <w:sz w:val="20"/>
          <w:szCs w:val="20"/>
          <w:color w:val="auto"/>
        </w:rPr>
      </w:pPr>
    </w:p>
    <w:p>
      <w:pPr>
        <w:ind w:right="1799" w:firstLine="648"/>
        <w:spacing w:after="0" w:line="252" w:lineRule="auto"/>
        <w:rPr>
          <w:sz w:val="20"/>
          <w:szCs w:val="20"/>
          <w:color w:val="auto"/>
        </w:rPr>
      </w:pPr>
      <w:r>
        <w:rPr>
          <w:rFonts w:ascii="Arial" w:cs="Arial" w:eastAsia="Arial" w:hAnsi="Arial"/>
          <w:sz w:val="21"/>
          <w:szCs w:val="21"/>
          <w:color w:val="auto"/>
        </w:rPr>
        <w:t>Any shareholder that wishes to present any proposal for shareholder action at our Annual Meeting of Shareholders to be held during calendar year 2013 must notify us at our principal executive offices no later than June 17, 2013 in order for the proposal to be included in our proxy statement and form of proxy relating to that meeting.</w:t>
      </w:r>
    </w:p>
    <w:p>
      <w:pPr>
        <w:spacing w:after="0" w:line="53" w:lineRule="exact"/>
        <w:rPr>
          <w:sz w:val="20"/>
          <w:szCs w:val="20"/>
          <w:color w:val="auto"/>
        </w:rPr>
      </w:pPr>
    </w:p>
    <w:p>
      <w:pPr>
        <w:ind w:right="1799" w:firstLine="648"/>
        <w:spacing w:after="0" w:line="235" w:lineRule="auto"/>
        <w:rPr>
          <w:sz w:val="20"/>
          <w:szCs w:val="20"/>
          <w:color w:val="auto"/>
        </w:rPr>
      </w:pPr>
      <w:r>
        <w:rPr>
          <w:rFonts w:ascii="Arial" w:cs="Arial" w:eastAsia="Arial" w:hAnsi="Arial"/>
          <w:sz w:val="22"/>
          <w:szCs w:val="22"/>
          <w:color w:val="auto"/>
        </w:rPr>
        <w:t>Pursuant to Rule 14a-4 under the Exchange Act, we intend to retain discretionary authority to vote proxies with respect to shareholder proposals for which the proponent does not seek inclusion of the proposed matter in our proxy statement for the annual meeting to be held during calendar 2013, except in circumstances where (i) we receive notice of the proposed matter no later than September 2, 2013 and (ii) the proponent complies with the other requirements set forth in Rule 14a-4.</w:t>
      </w:r>
    </w:p>
    <w:p>
      <w:pPr>
        <w:spacing w:after="0" w:line="155"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OTHER MATTERS</w:t>
      </w:r>
    </w:p>
    <w:p>
      <w:pPr>
        <w:spacing w:after="0" w:line="185" w:lineRule="exact"/>
        <w:rPr>
          <w:sz w:val="20"/>
          <w:szCs w:val="20"/>
          <w:color w:val="auto"/>
        </w:rPr>
      </w:pPr>
    </w:p>
    <w:p>
      <w:pPr>
        <w:ind w:right="1799" w:firstLine="648"/>
        <w:spacing w:after="0" w:line="297" w:lineRule="auto"/>
        <w:rPr>
          <w:sz w:val="20"/>
          <w:szCs w:val="20"/>
          <w:color w:val="auto"/>
        </w:rPr>
      </w:pPr>
      <w:r>
        <w:rPr>
          <w:rFonts w:ascii="Arial" w:cs="Arial" w:eastAsia="Arial" w:hAnsi="Arial"/>
          <w:sz w:val="19"/>
          <w:szCs w:val="19"/>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Dated: October 3, 2012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35114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27" w:name="page28"/>
    <w:bookmarkEnd w:id="27"/>
    <w:p>
      <w:pPr>
        <w:jc w:val="right"/>
        <w:ind w:right="1779"/>
        <w:spacing w:after="0"/>
        <w:rPr>
          <w:sz w:val="20"/>
          <w:szCs w:val="20"/>
          <w:color w:val="auto"/>
        </w:rPr>
      </w:pPr>
      <w:r>
        <w:rPr>
          <w:rFonts w:ascii="Arial" w:cs="Arial" w:eastAsia="Arial" w:hAnsi="Arial"/>
          <w:sz w:val="22"/>
          <w:szCs w:val="22"/>
          <w:b w:val="1"/>
          <w:bCs w:val="1"/>
          <w:color w:val="auto"/>
        </w:rPr>
        <w:t>EXHIBIT A</w:t>
      </w:r>
    </w:p>
    <w:p>
      <w:pPr>
        <w:spacing w:after="0" w:line="239"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ARTICLES OF AMENDMENT TO</w:t>
      </w:r>
    </w:p>
    <w:p>
      <w:pPr>
        <w:jc w:val="center"/>
        <w:ind w:right="1779"/>
        <w:spacing w:after="0" w:line="238" w:lineRule="auto"/>
        <w:rPr>
          <w:sz w:val="20"/>
          <w:szCs w:val="20"/>
          <w:color w:val="auto"/>
        </w:rPr>
      </w:pPr>
      <w:r>
        <w:rPr>
          <w:rFonts w:ascii="Arial" w:cs="Arial" w:eastAsia="Arial" w:hAnsi="Arial"/>
          <w:sz w:val="22"/>
          <w:szCs w:val="22"/>
          <w:color w:val="auto"/>
        </w:rPr>
        <w:t>THE ARTICLES OF INCORPORATION</w:t>
      </w:r>
    </w:p>
    <w:p>
      <w:pPr>
        <w:jc w:val="center"/>
        <w:ind w:right="1779"/>
        <w:spacing w:after="0" w:line="230" w:lineRule="auto"/>
        <w:rPr>
          <w:sz w:val="20"/>
          <w:szCs w:val="20"/>
          <w:color w:val="auto"/>
        </w:rPr>
      </w:pPr>
      <w:r>
        <w:rPr>
          <w:rFonts w:ascii="Arial" w:cs="Arial" w:eastAsia="Arial" w:hAnsi="Arial"/>
          <w:sz w:val="22"/>
          <w:szCs w:val="22"/>
          <w:color w:val="auto"/>
        </w:rPr>
        <w:t>OF CLEARONE COMMUNICATIONS INC.</w:t>
      </w:r>
    </w:p>
    <w:p>
      <w:pPr>
        <w:spacing w:after="0" w:line="1"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(hereafter ClearOne, Inc.)</w:t>
      </w:r>
    </w:p>
    <w:p>
      <w:pPr>
        <w:spacing w:after="0" w:line="200" w:lineRule="exact"/>
        <w:rPr>
          <w:sz w:val="20"/>
          <w:szCs w:val="20"/>
          <w:color w:val="auto"/>
        </w:rPr>
      </w:pPr>
    </w:p>
    <w:p>
      <w:pPr>
        <w:spacing w:after="0" w:line="258" w:lineRule="exact"/>
        <w:rPr>
          <w:sz w:val="20"/>
          <w:szCs w:val="20"/>
          <w:color w:val="auto"/>
        </w:rPr>
      </w:pPr>
    </w:p>
    <w:p>
      <w:pPr>
        <w:ind w:right="2059"/>
        <w:spacing w:after="0" w:line="238" w:lineRule="auto"/>
        <w:rPr>
          <w:sz w:val="20"/>
          <w:szCs w:val="20"/>
          <w:color w:val="auto"/>
        </w:rPr>
      </w:pPr>
      <w:r>
        <w:rPr>
          <w:rFonts w:ascii="Arial" w:cs="Arial" w:eastAsia="Arial" w:hAnsi="Arial"/>
          <w:sz w:val="22"/>
          <w:szCs w:val="22"/>
          <w:color w:val="auto"/>
        </w:rPr>
        <w:t>Pursuant to Sections 16-10a-1003 and 16-10a-1006 of the Utah Revised Business Corporation Act, the undersigned, [insert name of authorized officer], being the [insert title of authorized officer] of ClearOne Communications Inc., a Utah corporation (the "Corporation"), hereby certifies the following:</w:t>
      </w:r>
    </w:p>
    <w:p>
      <w:pPr>
        <w:spacing w:after="0" w:line="212" w:lineRule="exact"/>
        <w:rPr>
          <w:sz w:val="20"/>
          <w:szCs w:val="20"/>
          <w:color w:val="auto"/>
        </w:rPr>
      </w:pPr>
    </w:p>
    <w:p>
      <w:pPr>
        <w:ind w:right="2019" w:firstLine="8"/>
        <w:spacing w:after="0" w:line="251" w:lineRule="auto"/>
        <w:tabs>
          <w:tab w:leader="none" w:pos="621" w:val="left"/>
        </w:tabs>
        <w:numPr>
          <w:ilvl w:val="0"/>
          <w:numId w:val="19"/>
        </w:numPr>
        <w:rPr>
          <w:rFonts w:ascii="Arial" w:cs="Arial" w:eastAsia="Arial" w:hAnsi="Arial"/>
          <w:sz w:val="22"/>
          <w:szCs w:val="22"/>
          <w:color w:val="auto"/>
        </w:rPr>
      </w:pPr>
      <w:r>
        <w:rPr>
          <w:rFonts w:ascii="Arial" w:cs="Arial" w:eastAsia="Arial" w:hAnsi="Arial"/>
          <w:sz w:val="22"/>
          <w:szCs w:val="22"/>
          <w:color w:val="auto"/>
        </w:rPr>
        <w:t>Article I of the Articles of Incorporation of the Corporation is deleted in its entirety and the following is substituted therefore:</w:t>
      </w:r>
    </w:p>
    <w:p>
      <w:pPr>
        <w:spacing w:after="0" w:line="200"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The name of this corporation is ClearOne, Inc.</w:t>
      </w:r>
    </w:p>
    <w:p>
      <w:pPr>
        <w:spacing w:after="0" w:line="233"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[End of Article I]</w:t>
      </w:r>
    </w:p>
    <w:p>
      <w:pPr>
        <w:spacing w:after="0" w:line="233" w:lineRule="exact"/>
        <w:rPr>
          <w:sz w:val="20"/>
          <w:szCs w:val="20"/>
          <w:color w:val="auto"/>
        </w:rPr>
      </w:pPr>
    </w:p>
    <w:p>
      <w:pPr>
        <w:ind w:right="1859" w:firstLine="8"/>
        <w:spacing w:after="0" w:line="238" w:lineRule="auto"/>
        <w:tabs>
          <w:tab w:leader="none" w:pos="621"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This Amendment to the Articles of Incorporation (the "Amendment") was adopted (i) by the Board of Directors of the Corporation as of June 8, 2011, and (ii) with the recommendation of the Board of Directors, at a meeting of the shareholders of the Corporation held on November 5, 2012.</w:t>
      </w:r>
    </w:p>
    <w:p>
      <w:pPr>
        <w:spacing w:after="0" w:line="212" w:lineRule="exact"/>
        <w:rPr>
          <w:rFonts w:ascii="Arial" w:cs="Arial" w:eastAsia="Arial" w:hAnsi="Arial"/>
          <w:sz w:val="22"/>
          <w:szCs w:val="22"/>
          <w:color w:val="auto"/>
        </w:rPr>
      </w:pPr>
    </w:p>
    <w:p>
      <w:pPr>
        <w:ind w:right="1779" w:firstLine="8"/>
        <w:spacing w:after="0" w:line="275" w:lineRule="auto"/>
        <w:tabs>
          <w:tab w:leader="none" w:pos="621" w:val="left"/>
        </w:tabs>
        <w:numPr>
          <w:ilvl w:val="0"/>
          <w:numId w:val="20"/>
        </w:numPr>
        <w:rPr>
          <w:rFonts w:ascii="Arial" w:cs="Arial" w:eastAsia="Arial" w:hAnsi="Arial"/>
          <w:sz w:val="19"/>
          <w:szCs w:val="19"/>
          <w:color w:val="auto"/>
        </w:rPr>
      </w:pPr>
      <w:r>
        <w:rPr>
          <w:rFonts w:ascii="Arial" w:cs="Arial" w:eastAsia="Arial" w:hAnsi="Arial"/>
          <w:sz w:val="19"/>
          <w:szCs w:val="19"/>
          <w:color w:val="auto"/>
        </w:rPr>
        <w:t>As of the date of the record date for the shareholders meeting referenced in paragraph 2, the Corporation had 9,175,774 shares of outstanding Common Stock all of which were entitled to vote on the above noted Amendment and __________ of which were indisputably present at the shareholder's meeting at which the vote was taken. Common Stock is the only class of stock of the Corporation. The Amendment was approved, receiving ___________ votes, which constituted more votes of Common Stock of the Corporation cast in favor of the Amendment than votes of Common Stock of the Corporation cast against the Amendment and is sufficient approval by the holders of Common Stock of the Corporation.</w:t>
      </w:r>
    </w:p>
    <w:p>
      <w:pPr>
        <w:spacing w:after="0" w:line="185" w:lineRule="exact"/>
        <w:rPr>
          <w:sz w:val="20"/>
          <w:szCs w:val="20"/>
          <w:color w:val="auto"/>
        </w:rPr>
      </w:pPr>
    </w:p>
    <w:p>
      <w:pPr>
        <w:ind w:right="2139"/>
        <w:spacing w:after="0" w:line="251" w:lineRule="auto"/>
        <w:rPr>
          <w:sz w:val="20"/>
          <w:szCs w:val="20"/>
          <w:color w:val="auto"/>
        </w:rPr>
      </w:pPr>
      <w:r>
        <w:rPr>
          <w:rFonts w:ascii="Arial" w:cs="Arial" w:eastAsia="Arial" w:hAnsi="Arial"/>
          <w:sz w:val="22"/>
          <w:szCs w:val="22"/>
          <w:color w:val="auto"/>
        </w:rPr>
        <w:t>IN WITNESS WHEREOF, the undersigned has executed these Articles of Amendment to the Articles of Incorporation as of this __ day of 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147320</wp:posOffset>
            </wp:positionV>
            <wp:extent cx="5338445" cy="741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38445" cy="741680"/>
                    </a:xfrm>
                    <a:prstGeom prst="rect">
                      <a:avLst/>
                    </a:prstGeom>
                    <a:noFill/>
                  </pic:spPr>
                </pic:pic>
              </a:graphicData>
            </a:graphic>
          </wp:anchor>
        </w:drawing>
      </w: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CLEARONE COMMUNICATIONS</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INC., a Utah corporation</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638175</wp:posOffset>
            </wp:positionV>
            <wp:extent cx="5509895" cy="1796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9895" cy="1796415"/>
                    </a:xfrm>
                    <a:prstGeom prst="rect">
                      <a:avLst/>
                    </a:prstGeom>
                    <a:noFill/>
                  </pic:spPr>
                </pic:pic>
              </a:graphicData>
            </a:graphic>
          </wp:anchor>
        </w:drawing>
      </w:r>
    </w:p>
    <w:p>
      <w:pPr>
        <w:sectPr>
          <w:pgSz w:w="11900" w:h="16838" w:orient="portrait"/>
          <w:cols w:equalWidth="0" w:num="1">
            <w:col w:w="10219"/>
          </w:cols>
          <w:pgMar w:left="24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line="230" w:lineRule="auto"/>
        <w:rPr>
          <w:sz w:val="20"/>
          <w:szCs w:val="20"/>
          <w:color w:val="auto"/>
        </w:rPr>
      </w:pPr>
      <w:r>
        <w:rPr>
          <w:rFonts w:ascii="Arial" w:cs="Arial" w:eastAsia="Arial" w:hAnsi="Arial"/>
          <w:sz w:val="13"/>
          <w:szCs w:val="13"/>
          <w:b w:val="1"/>
          <w:bCs w:val="1"/>
          <w:i w:val="1"/>
          <w:iCs w:val="1"/>
          <w:color w:val="auto"/>
        </w:rPr>
        <w:t>CLEARONE COMMUNICATIONS, INC.ATTN: NARSI NARAYANAN5225 WILEY POST WAY, SUITE 500SALT LAKE CITY, UTAH 84116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599"/>
        <w:spacing w:after="0" w:line="227" w:lineRule="auto"/>
        <w:rPr>
          <w:sz w:val="20"/>
          <w:szCs w:val="20"/>
          <w:color w:val="auto"/>
        </w:rPr>
      </w:pPr>
      <w:r>
        <w:rPr>
          <w:rFonts w:ascii="Arial" w:cs="Arial" w:eastAsia="Arial" w:hAnsi="Arial"/>
          <w:sz w:val="13"/>
          <w:szCs w:val="13"/>
          <w:b w:val="1"/>
          <w:bCs w:val="1"/>
          <w:color w:val="auto"/>
        </w:rPr>
        <w:t>VOTE BY INTERNET – www.proxyvote.com</w:t>
      </w:r>
      <w:r>
        <w:rPr>
          <w:rFonts w:ascii="Arial" w:cs="Arial" w:eastAsia="Arial" w:hAnsi="Arial"/>
          <w:sz w:val="13"/>
          <w:szCs w:val="13"/>
          <w:color w:val="auto"/>
        </w:rPr>
        <w:t>Use the Internet to transmit your voting</w:t>
      </w:r>
      <w:r>
        <w:rPr>
          <w:rFonts w:ascii="Arial" w:cs="Arial" w:eastAsia="Arial" w:hAnsi="Arial"/>
          <w:sz w:val="13"/>
          <w:szCs w:val="13"/>
          <w:b w:val="1"/>
          <w:bCs w:val="1"/>
          <w:color w:val="auto"/>
        </w:rPr>
        <w:t xml:space="preserve"> </w:t>
      </w:r>
      <w:r>
        <w:rPr>
          <w:rFonts w:ascii="Arial" w:cs="Arial" w:eastAsia="Arial" w:hAnsi="Arial"/>
          <w:sz w:val="13"/>
          <w:szCs w:val="13"/>
          <w:color w:val="auto"/>
        </w:rPr>
        <w:t>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03" w:lineRule="exact"/>
        <w:rPr>
          <w:sz w:val="20"/>
          <w:szCs w:val="20"/>
          <w:color w:val="auto"/>
        </w:rPr>
      </w:pPr>
    </w:p>
    <w:p>
      <w:pPr>
        <w:ind w:right="1679"/>
        <w:spacing w:after="0" w:line="225" w:lineRule="auto"/>
        <w:rPr>
          <w:sz w:val="20"/>
          <w:szCs w:val="20"/>
          <w:color w:val="auto"/>
        </w:rPr>
      </w:pPr>
      <w:r>
        <w:rPr>
          <w:rFonts w:ascii="Arial" w:cs="Arial" w:eastAsia="Arial" w:hAnsi="Arial"/>
          <w:sz w:val="13"/>
          <w:szCs w:val="13"/>
          <w:b w:val="1"/>
          <w:bCs w:val="1"/>
          <w:color w:val="auto"/>
        </w:rPr>
        <w:t>Electronic Delivery of Future PROXY MATERIALS</w:t>
      </w:r>
      <w:r>
        <w:rPr>
          <w:rFonts w:ascii="Arial" w:cs="Arial" w:eastAsia="Arial" w:hAnsi="Arial"/>
          <w:sz w:val="13"/>
          <w:szCs w:val="13"/>
          <w:color w:val="auto"/>
        </w:rPr>
        <w:t>If you would like to reduce the costs</w:t>
      </w:r>
      <w:r>
        <w:rPr>
          <w:rFonts w:ascii="Arial" w:cs="Arial" w:eastAsia="Arial" w:hAnsi="Arial"/>
          <w:sz w:val="13"/>
          <w:szCs w:val="13"/>
          <w:b w:val="1"/>
          <w:bCs w:val="1"/>
          <w:color w:val="auto"/>
        </w:rPr>
        <w:t xml:space="preserve"> </w:t>
      </w:r>
      <w:r>
        <w:rPr>
          <w:rFonts w:ascii="Arial" w:cs="Arial" w:eastAsia="Arial" w:hAnsi="Arial"/>
          <w:sz w:val="13"/>
          <w:szCs w:val="13"/>
          <w:color w:val="auto"/>
        </w:rPr>
        <w:t>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4" w:lineRule="exact"/>
        <w:rPr>
          <w:sz w:val="20"/>
          <w:szCs w:val="20"/>
          <w:color w:val="auto"/>
        </w:rPr>
      </w:pPr>
    </w:p>
    <w:p>
      <w:pPr>
        <w:ind w:right="1659"/>
        <w:spacing w:after="0" w:line="234" w:lineRule="auto"/>
        <w:rPr>
          <w:sz w:val="20"/>
          <w:szCs w:val="20"/>
          <w:color w:val="auto"/>
        </w:rPr>
      </w:pPr>
      <w:r>
        <w:rPr>
          <w:rFonts w:ascii="Arial" w:cs="Arial" w:eastAsia="Arial" w:hAnsi="Arial"/>
          <w:sz w:val="13"/>
          <w:szCs w:val="13"/>
          <w:b w:val="1"/>
          <w:bCs w:val="1"/>
          <w:color w:val="auto"/>
        </w:rPr>
        <w:t>VOTE BY PHONE - 1-800-690-6903</w:t>
      </w:r>
      <w:r>
        <w:rPr>
          <w:rFonts w:ascii="Arial" w:cs="Arial" w:eastAsia="Arial" w:hAnsi="Arial"/>
          <w:sz w:val="13"/>
          <w:szCs w:val="13"/>
          <w:color w:val="auto"/>
        </w:rPr>
        <w:t>Use any touch-tone telephone to transmit your voting</w:t>
      </w:r>
      <w:r>
        <w:rPr>
          <w:rFonts w:ascii="Arial" w:cs="Arial" w:eastAsia="Arial" w:hAnsi="Arial"/>
          <w:sz w:val="13"/>
          <w:szCs w:val="13"/>
          <w:b w:val="1"/>
          <w:bCs w:val="1"/>
          <w:color w:val="auto"/>
        </w:rPr>
        <w:t xml:space="preserve"> </w:t>
      </w:r>
      <w:r>
        <w:rPr>
          <w:rFonts w:ascii="Arial" w:cs="Arial" w:eastAsia="Arial" w:hAnsi="Arial"/>
          <w:sz w:val="13"/>
          <w:szCs w:val="13"/>
          <w:color w:val="auto"/>
        </w:rPr>
        <w:t>instructions up until 11:59 P.M. Eastern Time the day before the cut-off date or meeting date. Have your proxy card in hand when you call and then follow the instructions.</w:t>
      </w:r>
    </w:p>
    <w:p>
      <w:pPr>
        <w:spacing w:after="0" w:line="103" w:lineRule="exact"/>
        <w:rPr>
          <w:sz w:val="20"/>
          <w:szCs w:val="20"/>
          <w:color w:val="auto"/>
        </w:rPr>
      </w:pPr>
    </w:p>
    <w:p>
      <w:pPr>
        <w:ind w:right="1559"/>
        <w:spacing w:after="0" w:line="234" w:lineRule="auto"/>
        <w:rPr>
          <w:sz w:val="20"/>
          <w:szCs w:val="20"/>
          <w:color w:val="auto"/>
        </w:rPr>
      </w:pPr>
      <w:r>
        <w:rPr>
          <w:rFonts w:ascii="Arial" w:cs="Arial" w:eastAsia="Arial" w:hAnsi="Arial"/>
          <w:sz w:val="13"/>
          <w:szCs w:val="13"/>
          <w:b w:val="1"/>
          <w:bCs w:val="1"/>
          <w:color w:val="auto"/>
        </w:rPr>
        <w:t>VOTE BY MAIL</w:t>
      </w:r>
      <w:r>
        <w:rPr>
          <w:rFonts w:ascii="Arial" w:cs="Arial" w:eastAsia="Arial" w:hAnsi="Arial"/>
          <w:sz w:val="13"/>
          <w:szCs w:val="13"/>
          <w:color w:val="auto"/>
        </w:rPr>
        <w:t>Mark, sign and date your proxy card and return it in the postage-paid envelope</w:t>
      </w:r>
      <w:r>
        <w:rPr>
          <w:rFonts w:ascii="Arial" w:cs="Arial" w:eastAsia="Arial" w:hAnsi="Arial"/>
          <w:sz w:val="13"/>
          <w:szCs w:val="13"/>
          <w:b w:val="1"/>
          <w:bCs w:val="1"/>
          <w:color w:val="auto"/>
        </w:rPr>
        <w:t xml:space="preserve"> </w:t>
      </w:r>
      <w:r>
        <w:rPr>
          <w:rFonts w:ascii="Arial" w:cs="Arial" w:eastAsia="Arial" w:hAnsi="Arial"/>
          <w:sz w:val="13"/>
          <w:szCs w:val="13"/>
          <w:color w:val="auto"/>
        </w:rPr>
        <w:t>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020" w:space="360"/>
            <w:col w:w="6839"/>
          </w:cols>
          <w:pgMar w:left="240" w:top="355" w:right="1440" w:bottom="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ind w:right="1779"/>
        <w:spacing w:after="0"/>
        <w:rPr>
          <w:sz w:val="20"/>
          <w:szCs w:val="20"/>
          <w:color w:val="auto"/>
        </w:rPr>
      </w:pPr>
      <w:r>
        <w:rPr>
          <w:rFonts w:ascii="Arial" w:cs="Arial" w:eastAsia="Arial" w:hAnsi="Arial"/>
          <w:sz w:val="9"/>
          <w:szCs w:val="9"/>
          <w:color w:val="auto"/>
        </w:rPr>
        <w:t>KEEP THIS PORTION FOR YOUR RECORDS</w:t>
      </w:r>
    </w:p>
    <w:p>
      <w:pPr>
        <w:spacing w:after="0" w:line="200" w:lineRule="exact"/>
        <w:rPr>
          <w:sz w:val="20"/>
          <w:szCs w:val="20"/>
          <w:color w:val="auto"/>
        </w:rPr>
      </w:pPr>
    </w:p>
    <w:p>
      <w:pPr>
        <w:spacing w:after="0" w:line="273" w:lineRule="exact"/>
        <w:rPr>
          <w:sz w:val="20"/>
          <w:szCs w:val="20"/>
          <w:color w:val="auto"/>
        </w:rPr>
      </w:pPr>
    </w:p>
    <w:p>
      <w:pPr>
        <w:jc w:val="right"/>
        <w:ind w:right="1779"/>
        <w:spacing w:after="0"/>
        <w:rPr>
          <w:sz w:val="20"/>
          <w:szCs w:val="20"/>
          <w:color w:val="auto"/>
        </w:rPr>
      </w:pPr>
      <w:r>
        <w:rPr>
          <w:rFonts w:ascii="Arial" w:cs="Arial" w:eastAsia="Arial" w:hAnsi="Arial"/>
          <w:sz w:val="9"/>
          <w:szCs w:val="9"/>
          <w:color w:val="auto"/>
        </w:rPr>
        <w:t>DETACH AND RETURN THIS PORTION ONLY</w:t>
      </w:r>
    </w:p>
    <w:p>
      <w:pPr>
        <w:sectPr>
          <w:pgSz w:w="11900" w:h="16838" w:orient="portrait"/>
          <w:cols w:equalWidth="0" w:num="1">
            <w:col w:w="10219"/>
          </w:cols>
          <w:pgMar w:left="240" w:top="355" w:right="1440" w:bottom="0" w:gutter="0" w:footer="0" w:header="0"/>
          <w:type w:val="continuous"/>
        </w:sectPr>
      </w:pPr>
    </w:p>
    <w:p>
      <w:pPr>
        <w:ind w:left="2040"/>
        <w:spacing w:after="0"/>
        <w:rPr>
          <w:sz w:val="20"/>
          <w:szCs w:val="20"/>
          <w:color w:val="auto"/>
        </w:rPr>
      </w:pPr>
      <w:r>
        <w:rPr>
          <w:rFonts w:ascii="Arial" w:cs="Arial" w:eastAsia="Arial" w:hAnsi="Arial"/>
          <w:sz w:val="14"/>
          <w:szCs w:val="14"/>
          <w:b w:val="1"/>
          <w:bCs w:val="1"/>
          <w:color w:val="auto"/>
        </w:rPr>
        <w:t>THIS PROXY CARD IS VALID ONLY WHEN SIGNED AND DATED.</w:t>
      </w:r>
    </w:p>
    <w:p>
      <w:pPr>
        <w:sectPr>
          <w:pgSz w:w="11900" w:h="16838" w:orient="portrait"/>
          <w:cols w:equalWidth="0" w:num="1">
            <w:col w:w="10219"/>
          </w:cols>
          <w:pgMar w:left="240" w:top="355" w:right="1440" w:bottom="0" w:gutter="0" w:footer="0" w:header="0"/>
          <w:type w:val="continuous"/>
        </w:sectPr>
      </w:pPr>
    </w:p>
    <w:bookmarkStart w:id="28" w:name="page29"/>
    <w:bookmarkEnd w:id="28"/>
    <w:p>
      <w:pPr>
        <w:jc w:val="both"/>
        <w:ind w:left="40"/>
        <w:spacing w:after="0" w:line="246"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163830</wp:posOffset>
            </wp:positionH>
            <wp:positionV relativeFrom="page">
              <wp:posOffset>95250</wp:posOffset>
            </wp:positionV>
            <wp:extent cx="5801360" cy="518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01360" cy="518795"/>
                    </a:xfrm>
                    <a:prstGeom prst="rect">
                      <a:avLst/>
                    </a:prstGeom>
                    <a:noFill/>
                  </pic:spPr>
                </pic:pic>
              </a:graphicData>
            </a:graphic>
          </wp:anchor>
        </w:drawing>
        <w:t>The Board of Directors recommends that you vote FOR For All Withhold All For All the following: Except</w:t>
      </w:r>
    </w:p>
    <w:p>
      <w:pPr>
        <w:spacing w:after="0" w:line="20" w:lineRule="exact"/>
        <w:rPr>
          <w:sz w:val="20"/>
          <w:szCs w:val="20"/>
          <w:color w:val="auto"/>
        </w:rPr>
      </w:pPr>
      <w:r>
        <w:rPr>
          <w:sz w:val="20"/>
          <w:szCs w:val="20"/>
          <w:color w:val="auto"/>
        </w:rPr>
        <w:br w:type="column"/>
      </w:r>
    </w:p>
    <w:p>
      <w:pPr>
        <w:ind w:right="1299"/>
        <w:spacing w:after="0" w:line="225" w:lineRule="auto"/>
        <w:rPr>
          <w:sz w:val="20"/>
          <w:szCs w:val="20"/>
          <w:color w:val="auto"/>
        </w:rPr>
      </w:pPr>
      <w:r>
        <w:rPr>
          <w:rFonts w:ascii="Arial" w:cs="Arial" w:eastAsia="Arial" w:hAnsi="Arial"/>
          <w:sz w:val="13"/>
          <w:szCs w:val="13"/>
          <w:color w:val="auto"/>
        </w:rPr>
        <w:t>To withhold authority to vote for any individual nominee(s) mark “For all except” and write the number(s) of the nominee(s) on the line below:</w:t>
      </w:r>
    </w:p>
    <w:p>
      <w:pPr>
        <w:spacing w:after="0" w:line="1" w:lineRule="exact"/>
        <w:rPr>
          <w:sz w:val="20"/>
          <w:szCs w:val="20"/>
          <w:color w:val="auto"/>
        </w:rPr>
      </w:pPr>
    </w:p>
    <w:p>
      <w:pPr>
        <w:sectPr>
          <w:pgSz w:w="11900" w:h="16838" w:orient="portrait"/>
          <w:cols w:equalWidth="0" w:num="2">
            <w:col w:w="5480" w:space="240"/>
            <w:col w:w="4499"/>
          </w:cols>
          <w:pgMar w:left="240" w:top="158" w:right="1440" w:bottom="1440" w:gutter="0" w:footer="0" w:header="0"/>
        </w:sectPr>
      </w:pPr>
    </w:p>
    <w:p>
      <w:pPr>
        <w:ind w:left="3720"/>
        <w:spacing w:after="0"/>
        <w:tabs>
          <w:tab w:leader="none" w:pos="4440" w:val="left"/>
          <w:tab w:leader="none" w:pos="52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o</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52"/>
        </w:trPr>
        <w:tc>
          <w:tcPr>
            <w:tcW w:w="1860" w:type="dxa"/>
            <w:vAlign w:val="bottom"/>
            <w:gridSpan w:val="2"/>
          </w:tcPr>
          <w:p>
            <w:pPr>
              <w:spacing w:after="0"/>
              <w:rPr>
                <w:sz w:val="20"/>
                <w:szCs w:val="20"/>
                <w:color w:val="auto"/>
              </w:rPr>
            </w:pPr>
            <w:r>
              <w:rPr>
                <w:rFonts w:ascii="Arial" w:cs="Arial" w:eastAsia="Arial" w:hAnsi="Arial"/>
                <w:sz w:val="13"/>
                <w:szCs w:val="13"/>
                <w:color w:val="auto"/>
              </w:rPr>
              <w:t>1.  Election of Directors</w:t>
            </w:r>
          </w:p>
        </w:tc>
      </w:tr>
      <w:tr>
        <w:trPr>
          <w:trHeight w:val="203"/>
        </w:trPr>
        <w:tc>
          <w:tcPr>
            <w:tcW w:w="1860" w:type="dxa"/>
            <w:vAlign w:val="bottom"/>
            <w:gridSpan w:val="2"/>
          </w:tcPr>
          <w:p>
            <w:pPr>
              <w:ind w:left="260"/>
              <w:spacing w:after="0"/>
              <w:rPr>
                <w:sz w:val="20"/>
                <w:szCs w:val="20"/>
                <w:color w:val="auto"/>
              </w:rPr>
            </w:pPr>
            <w:r>
              <w:rPr>
                <w:rFonts w:ascii="Arial" w:cs="Arial" w:eastAsia="Arial" w:hAnsi="Arial"/>
                <w:sz w:val="13"/>
                <w:szCs w:val="13"/>
                <w:b w:val="1"/>
                <w:bCs w:val="1"/>
                <w:color w:val="auto"/>
              </w:rPr>
              <w:t>Nominees:</w:t>
            </w:r>
          </w:p>
        </w:tc>
      </w:tr>
      <w:tr>
        <w:trPr>
          <w:trHeight w:val="162"/>
        </w:trPr>
        <w:tc>
          <w:tcPr>
            <w:tcW w:w="460" w:type="dxa"/>
            <w:vAlign w:val="bottom"/>
          </w:tcPr>
          <w:p>
            <w:pPr>
              <w:ind w:left="260"/>
              <w:spacing w:after="0"/>
              <w:rPr>
                <w:sz w:val="20"/>
                <w:szCs w:val="20"/>
                <w:color w:val="auto"/>
              </w:rPr>
            </w:pPr>
            <w:r>
              <w:rPr>
                <w:rFonts w:ascii="Arial" w:cs="Arial" w:eastAsia="Arial" w:hAnsi="Arial"/>
                <w:sz w:val="13"/>
                <w:szCs w:val="13"/>
                <w:color w:val="auto"/>
                <w:w w:val="95"/>
              </w:rPr>
              <w:t>01)</w:t>
            </w:r>
          </w:p>
        </w:tc>
        <w:tc>
          <w:tcPr>
            <w:tcW w:w="1400" w:type="dxa"/>
            <w:vAlign w:val="bottom"/>
          </w:tcPr>
          <w:p>
            <w:pPr>
              <w:spacing w:after="0"/>
              <w:rPr>
                <w:sz w:val="20"/>
                <w:szCs w:val="20"/>
                <w:color w:val="auto"/>
              </w:rPr>
            </w:pPr>
            <w:r>
              <w:rPr>
                <w:rFonts w:ascii="Arial" w:cs="Arial" w:eastAsia="Arial" w:hAnsi="Arial"/>
                <w:sz w:val="13"/>
                <w:szCs w:val="13"/>
                <w:color w:val="auto"/>
              </w:rPr>
              <w:t>Brad R. Baldwin</w:t>
            </w:r>
          </w:p>
        </w:tc>
      </w:tr>
      <w:tr>
        <w:trPr>
          <w:trHeight w:val="162"/>
        </w:trPr>
        <w:tc>
          <w:tcPr>
            <w:tcW w:w="460" w:type="dxa"/>
            <w:vAlign w:val="bottom"/>
          </w:tcPr>
          <w:p>
            <w:pPr>
              <w:ind w:left="260"/>
              <w:spacing w:after="0"/>
              <w:rPr>
                <w:sz w:val="20"/>
                <w:szCs w:val="20"/>
                <w:color w:val="auto"/>
              </w:rPr>
            </w:pPr>
            <w:r>
              <w:rPr>
                <w:rFonts w:ascii="Arial" w:cs="Arial" w:eastAsia="Arial" w:hAnsi="Arial"/>
                <w:sz w:val="13"/>
                <w:szCs w:val="13"/>
                <w:color w:val="auto"/>
                <w:w w:val="95"/>
              </w:rPr>
              <w:t>02)</w:t>
            </w:r>
          </w:p>
        </w:tc>
        <w:tc>
          <w:tcPr>
            <w:tcW w:w="1400" w:type="dxa"/>
            <w:vAlign w:val="bottom"/>
          </w:tcPr>
          <w:p>
            <w:pPr>
              <w:spacing w:after="0"/>
              <w:rPr>
                <w:sz w:val="20"/>
                <w:szCs w:val="20"/>
                <w:color w:val="auto"/>
              </w:rPr>
            </w:pPr>
            <w:r>
              <w:rPr>
                <w:rFonts w:ascii="Arial" w:cs="Arial" w:eastAsia="Arial" w:hAnsi="Arial"/>
                <w:sz w:val="13"/>
                <w:szCs w:val="13"/>
                <w:color w:val="auto"/>
                <w:w w:val="96"/>
              </w:rPr>
              <w:t>Zeynep “Zee” Hakimoglu</w:t>
            </w:r>
          </w:p>
        </w:tc>
      </w:tr>
      <w:tr>
        <w:trPr>
          <w:trHeight w:val="162"/>
        </w:trPr>
        <w:tc>
          <w:tcPr>
            <w:tcW w:w="460" w:type="dxa"/>
            <w:vAlign w:val="bottom"/>
          </w:tcPr>
          <w:p>
            <w:pPr>
              <w:ind w:left="260"/>
              <w:spacing w:after="0"/>
              <w:rPr>
                <w:sz w:val="20"/>
                <w:szCs w:val="20"/>
                <w:color w:val="auto"/>
              </w:rPr>
            </w:pPr>
            <w:r>
              <w:rPr>
                <w:rFonts w:ascii="Arial" w:cs="Arial" w:eastAsia="Arial" w:hAnsi="Arial"/>
                <w:sz w:val="13"/>
                <w:szCs w:val="13"/>
                <w:color w:val="auto"/>
                <w:w w:val="95"/>
              </w:rPr>
              <w:t>03)</w:t>
            </w:r>
          </w:p>
        </w:tc>
        <w:tc>
          <w:tcPr>
            <w:tcW w:w="1400" w:type="dxa"/>
            <w:vAlign w:val="bottom"/>
          </w:tcPr>
          <w:p>
            <w:pPr>
              <w:spacing w:after="0"/>
              <w:rPr>
                <w:sz w:val="20"/>
                <w:szCs w:val="20"/>
                <w:color w:val="auto"/>
              </w:rPr>
            </w:pPr>
            <w:r>
              <w:rPr>
                <w:rFonts w:ascii="Arial" w:cs="Arial" w:eastAsia="Arial" w:hAnsi="Arial"/>
                <w:sz w:val="13"/>
                <w:szCs w:val="13"/>
                <w:color w:val="auto"/>
              </w:rPr>
              <w:t>Larry R. Hendricks</w:t>
            </w:r>
          </w:p>
        </w:tc>
      </w:tr>
      <w:tr>
        <w:trPr>
          <w:trHeight w:val="162"/>
        </w:trPr>
        <w:tc>
          <w:tcPr>
            <w:tcW w:w="460" w:type="dxa"/>
            <w:vAlign w:val="bottom"/>
          </w:tcPr>
          <w:p>
            <w:pPr>
              <w:ind w:left="260"/>
              <w:spacing w:after="0"/>
              <w:rPr>
                <w:sz w:val="20"/>
                <w:szCs w:val="20"/>
                <w:color w:val="auto"/>
              </w:rPr>
            </w:pPr>
            <w:r>
              <w:rPr>
                <w:rFonts w:ascii="Arial" w:cs="Arial" w:eastAsia="Arial" w:hAnsi="Arial"/>
                <w:sz w:val="13"/>
                <w:szCs w:val="13"/>
                <w:color w:val="auto"/>
                <w:w w:val="95"/>
              </w:rPr>
              <w:t>04)</w:t>
            </w:r>
          </w:p>
        </w:tc>
        <w:tc>
          <w:tcPr>
            <w:tcW w:w="1400" w:type="dxa"/>
            <w:vAlign w:val="bottom"/>
          </w:tcPr>
          <w:p>
            <w:pPr>
              <w:spacing w:after="0"/>
              <w:rPr>
                <w:sz w:val="20"/>
                <w:szCs w:val="20"/>
                <w:color w:val="auto"/>
              </w:rPr>
            </w:pPr>
            <w:r>
              <w:rPr>
                <w:rFonts w:ascii="Arial" w:cs="Arial" w:eastAsia="Arial" w:hAnsi="Arial"/>
                <w:sz w:val="13"/>
                <w:szCs w:val="13"/>
                <w:color w:val="auto"/>
              </w:rPr>
              <w:t>Scott M. Huntsman</w:t>
            </w:r>
          </w:p>
        </w:tc>
      </w:tr>
      <w:tr>
        <w:trPr>
          <w:trHeight w:val="161"/>
        </w:trPr>
        <w:tc>
          <w:tcPr>
            <w:tcW w:w="460" w:type="dxa"/>
            <w:vAlign w:val="bottom"/>
          </w:tcPr>
          <w:p>
            <w:pPr>
              <w:ind w:left="260"/>
              <w:spacing w:after="0"/>
              <w:rPr>
                <w:sz w:val="20"/>
                <w:szCs w:val="20"/>
                <w:color w:val="auto"/>
              </w:rPr>
            </w:pPr>
            <w:r>
              <w:rPr>
                <w:rFonts w:ascii="Arial" w:cs="Arial" w:eastAsia="Arial" w:hAnsi="Arial"/>
                <w:sz w:val="13"/>
                <w:szCs w:val="13"/>
                <w:color w:val="auto"/>
                <w:w w:val="95"/>
              </w:rPr>
              <w:t>05)</w:t>
            </w:r>
          </w:p>
        </w:tc>
        <w:tc>
          <w:tcPr>
            <w:tcW w:w="1400" w:type="dxa"/>
            <w:vAlign w:val="bottom"/>
          </w:tcPr>
          <w:p>
            <w:pPr>
              <w:spacing w:after="0"/>
              <w:rPr>
                <w:sz w:val="20"/>
                <w:szCs w:val="20"/>
                <w:color w:val="auto"/>
              </w:rPr>
            </w:pPr>
            <w:r>
              <w:rPr>
                <w:rFonts w:ascii="Arial" w:cs="Arial" w:eastAsia="Arial" w:hAnsi="Arial"/>
                <w:sz w:val="13"/>
                <w:szCs w:val="13"/>
                <w:color w:val="auto"/>
              </w:rPr>
              <w:t>E. Bryan Bagley</w:t>
            </w:r>
          </w:p>
        </w:tc>
      </w:tr>
    </w:tbl>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168"/>
        </w:trPr>
        <w:tc>
          <w:tcPr>
            <w:tcW w:w="6640" w:type="dxa"/>
            <w:vAlign w:val="bottom"/>
            <w:tcBorders>
              <w:top w:val="single" w:sz="8" w:color="808080"/>
              <w:left w:val="single" w:sz="8" w:color="808080"/>
            </w:tcBorders>
          </w:tcPr>
          <w:p>
            <w:pPr>
              <w:spacing w:after="0"/>
              <w:rPr>
                <w:sz w:val="14"/>
                <w:szCs w:val="14"/>
                <w:color w:val="auto"/>
              </w:rPr>
            </w:pPr>
          </w:p>
        </w:tc>
        <w:tc>
          <w:tcPr>
            <w:tcW w:w="920" w:type="dxa"/>
            <w:vAlign w:val="bottom"/>
            <w:tcBorders>
              <w:top w:val="single" w:sz="8" w:color="808080"/>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1120" w:type="dxa"/>
            <w:vAlign w:val="bottom"/>
            <w:tcBorders>
              <w:top w:val="single" w:sz="8" w:color="808080"/>
            </w:tcBorders>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820" w:type="dxa"/>
            <w:vAlign w:val="bottom"/>
            <w:tcBorders>
              <w:top w:val="single" w:sz="8" w:color="808080"/>
              <w:right w:val="single" w:sz="8" w:color="808080"/>
            </w:tcBorders>
          </w:tcPr>
          <w:p>
            <w:pPr>
              <w:jc w:val="center"/>
              <w:ind w:left="203"/>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409"/>
        </w:trPr>
        <w:tc>
          <w:tcPr>
            <w:tcW w:w="6640" w:type="dxa"/>
            <w:vAlign w:val="bottom"/>
            <w:tcBorders>
              <w:left w:val="single" w:sz="8" w:color="808080"/>
            </w:tcBorders>
          </w:tcPr>
          <w:p>
            <w:pPr>
              <w:ind w:left="20"/>
              <w:spacing w:after="0"/>
              <w:rPr>
                <w:sz w:val="20"/>
                <w:szCs w:val="20"/>
                <w:color w:val="auto"/>
              </w:rPr>
            </w:pPr>
            <w:r>
              <w:rPr>
                <w:rFonts w:ascii="Arial" w:cs="Arial" w:eastAsia="Arial" w:hAnsi="Arial"/>
                <w:sz w:val="13"/>
                <w:szCs w:val="13"/>
                <w:color w:val="auto"/>
              </w:rPr>
              <w:t>2.   Ratify the appointment of McGladrey LLP as the Company’s independent public accountants for 2012</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20" w:type="dxa"/>
            <w:vAlign w:val="bottom"/>
            <w:tcBorders>
              <w:right w:val="single" w:sz="8" w:color="808080"/>
            </w:tcBorders>
          </w:tcPr>
          <w:p>
            <w:pPr>
              <w:jc w:val="center"/>
              <w:ind w:left="203"/>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37"/>
        </w:trPr>
        <w:tc>
          <w:tcPr>
            <w:tcW w:w="6640" w:type="dxa"/>
            <w:vAlign w:val="bottom"/>
            <w:tcBorders>
              <w:left w:val="single" w:sz="8" w:color="808080"/>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8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507"/>
        </w:trPr>
        <w:tc>
          <w:tcPr>
            <w:tcW w:w="66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640" w:type="dxa"/>
            <w:vAlign w:val="bottom"/>
            <w:tcBorders>
              <w:left w:val="single" w:sz="8" w:color="808080"/>
            </w:tcBorders>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820" w:type="dxa"/>
            <w:vAlign w:val="bottom"/>
            <w:tcBorders>
              <w:right w:val="single" w:sz="8" w:color="808080"/>
            </w:tcBorders>
          </w:tcPr>
          <w:p>
            <w:pPr>
              <w:jc w:val="center"/>
              <w:ind w:left="203"/>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95"/>
        </w:trPr>
        <w:tc>
          <w:tcPr>
            <w:tcW w:w="6640" w:type="dxa"/>
            <w:vAlign w:val="bottom"/>
            <w:tcBorders>
              <w:left w:val="single" w:sz="8" w:color="808080"/>
            </w:tcBorders>
          </w:tcPr>
          <w:p>
            <w:pPr>
              <w:ind w:left="100"/>
              <w:spacing w:after="0"/>
              <w:rPr>
                <w:sz w:val="20"/>
                <w:szCs w:val="20"/>
                <w:color w:val="auto"/>
              </w:rPr>
            </w:pPr>
            <w:r>
              <w:rPr>
                <w:rFonts w:ascii="Arial" w:cs="Arial" w:eastAsia="Arial" w:hAnsi="Arial"/>
                <w:sz w:val="13"/>
                <w:szCs w:val="13"/>
                <w:color w:val="auto"/>
              </w:rPr>
              <w:t>3.  Amend the Articles of Incorporation to change the name of the company from “ClearOne Communications,</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79"/>
              </w:rPr>
              <w:t>o</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820" w:type="dxa"/>
            <w:vAlign w:val="bottom"/>
            <w:tcBorders>
              <w:right w:val="single" w:sz="8" w:color="808080"/>
            </w:tcBorders>
            <w:vMerge w:val="restart"/>
          </w:tcPr>
          <w:p>
            <w:pPr>
              <w:jc w:val="center"/>
              <w:ind w:left="203"/>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114"/>
        </w:trPr>
        <w:tc>
          <w:tcPr>
            <w:tcW w:w="6640" w:type="dxa"/>
            <w:vAlign w:val="bottom"/>
            <w:tcBorders>
              <w:left w:val="single" w:sz="8" w:color="808080"/>
            </w:tcBorders>
            <w:vMerge w:val="restart"/>
          </w:tcPr>
          <w:p>
            <w:pPr>
              <w:ind w:left="360"/>
              <w:spacing w:after="0"/>
              <w:rPr>
                <w:sz w:val="20"/>
                <w:szCs w:val="20"/>
                <w:color w:val="auto"/>
              </w:rPr>
            </w:pPr>
            <w:r>
              <w:rPr>
                <w:rFonts w:ascii="Arial" w:cs="Arial" w:eastAsia="Arial" w:hAnsi="Arial"/>
                <w:sz w:val="13"/>
                <w:szCs w:val="13"/>
                <w:color w:val="auto"/>
              </w:rPr>
              <w:t>Inc.” to “ClearOne, Inc.”.</w:t>
            </w:r>
          </w:p>
        </w:tc>
        <w:tc>
          <w:tcPr>
            <w:tcW w:w="9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Borders>
              <w:right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6640" w:type="dxa"/>
            <w:vAlign w:val="bottom"/>
            <w:tcBorders>
              <w:left w:val="single" w:sz="8" w:color="808080"/>
              <w:bottom w:val="single" w:sz="8" w:color="808080"/>
            </w:tcBorders>
            <w:vMerge w:val="continue"/>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Note: Such other business as may properly come before the Annual Meeting.</w:t>
      </w:r>
    </w:p>
    <w:p>
      <w:pPr>
        <w:spacing w:after="0" w:line="229" w:lineRule="exact"/>
        <w:rPr>
          <w:sz w:val="20"/>
          <w:szCs w:val="20"/>
          <w:color w:val="auto"/>
        </w:rPr>
      </w:pPr>
    </w:p>
    <w:p>
      <w:pPr>
        <w:ind w:right="1959"/>
        <w:spacing w:after="0" w:line="230" w:lineRule="auto"/>
        <w:rPr>
          <w:sz w:val="20"/>
          <w:szCs w:val="20"/>
          <w:color w:val="auto"/>
        </w:rPr>
      </w:pPr>
      <w:r>
        <w:rPr>
          <w:rFonts w:ascii="Arial" w:cs="Arial" w:eastAsia="Arial" w:hAnsi="Arial"/>
          <w:sz w:val="13"/>
          <w:szCs w:val="13"/>
          <w:color w:val="auto"/>
        </w:rPr>
        <w:t>THIS PROXY WILL BE VOTED AS DIRECTED OR, IF NO CONTRARY DIRECTION IS INDICATED, WILL BE VOTED FOR ALL DIRECTORS SET FORTH HEREIN, AND AS SAID PROXIES DEEM ADVISABLE ON SUCH OTHER MATTERS AS MAY COME BEFORE THE MEETING.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600" w:type="dxa"/>
            <w:vAlign w:val="bottom"/>
          </w:tcPr>
          <w:p>
            <w:pPr>
              <w:spacing w:after="0"/>
              <w:rPr>
                <w:sz w:val="20"/>
                <w:szCs w:val="20"/>
                <w:color w:val="auto"/>
              </w:rPr>
            </w:pPr>
            <w:r>
              <w:rPr>
                <w:rFonts w:ascii="Arial" w:cs="Arial" w:eastAsia="Arial" w:hAnsi="Arial"/>
                <w:sz w:val="13"/>
                <w:szCs w:val="13"/>
                <w:color w:val="auto"/>
              </w:rPr>
              <w:t>For address changes and/or comments, please check this box and write them on the back where</w:t>
            </w:r>
          </w:p>
        </w:tc>
        <w:tc>
          <w:tcPr>
            <w:tcW w:w="320" w:type="dxa"/>
            <w:vAlign w:val="bottom"/>
            <w:vMerge w:val="restart"/>
          </w:tcPr>
          <w:p>
            <w:pPr>
              <w:ind w:left="220"/>
              <w:spacing w:after="0"/>
              <w:rPr>
                <w:sz w:val="20"/>
                <w:szCs w:val="20"/>
                <w:color w:val="auto"/>
              </w:rPr>
            </w:pPr>
            <w:r>
              <w:rPr>
                <w:rFonts w:ascii="Arial" w:cs="Arial" w:eastAsia="Arial" w:hAnsi="Arial"/>
                <w:sz w:val="19"/>
                <w:szCs w:val="19"/>
                <w:color w:val="auto"/>
                <w:w w:val="75"/>
              </w:rPr>
              <w:t>o</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20"/>
                <w:szCs w:val="20"/>
                <w:color w:val="auto"/>
              </w:rPr>
            </w:pPr>
            <w:r>
              <w:rPr>
                <w:rFonts w:ascii="Arial" w:cs="Arial" w:eastAsia="Arial" w:hAnsi="Arial"/>
                <w:sz w:val="13"/>
                <w:szCs w:val="13"/>
                <w:color w:val="auto"/>
              </w:rPr>
              <w:t>indicated</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Pr>
          <w:p>
            <w:pPr>
              <w:spacing w:after="0"/>
              <w:rPr>
                <w:sz w:val="20"/>
                <w:szCs w:val="20"/>
                <w:color w:val="auto"/>
              </w:rPr>
            </w:pPr>
            <w:r>
              <w:rPr>
                <w:rFonts w:ascii="Arial" w:cs="Arial" w:eastAsia="Arial" w:hAnsi="Arial"/>
                <w:sz w:val="13"/>
                <w:szCs w:val="13"/>
                <w:color w:val="auto"/>
              </w:rPr>
              <w:t>Please indicate if you plan to attend this meeting</w:t>
            </w:r>
          </w:p>
        </w:tc>
        <w:tc>
          <w:tcPr>
            <w:tcW w:w="380" w:type="dxa"/>
            <w:vAlign w:val="bottom"/>
            <w:vMerge w:val="restart"/>
          </w:tcPr>
          <w:p>
            <w:pPr>
              <w:ind w:left="260"/>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107"/>
        </w:trPr>
        <w:tc>
          <w:tcPr>
            <w:tcW w:w="29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039"/>
        <w:spacing w:after="0" w:line="225"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154940</wp:posOffset>
            </wp:positionV>
            <wp:extent cx="5123815" cy="509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23815" cy="50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3200" w:val="left"/>
          <w:tab w:leader="none" w:pos="4600" w:val="left"/>
          <w:tab w:leader="none" w:pos="71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1023620</wp:posOffset>
            </wp:positionV>
            <wp:extent cx="5351145"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51145" cy="85725"/>
                    </a:xfrm>
                    <a:prstGeom prst="rect">
                      <a:avLst/>
                    </a:prstGeom>
                    <a:noFill/>
                  </pic:spPr>
                </pic:pic>
              </a:graphicData>
            </a:graphic>
          </wp:anchor>
        </w:drawing>
      </w:r>
    </w:p>
    <w:p>
      <w:pPr>
        <w:sectPr>
          <w:pgSz w:w="11900" w:h="16838" w:orient="portrait"/>
          <w:cols w:equalWidth="0" w:num="1">
            <w:col w:w="10219"/>
          </w:cols>
          <w:pgMar w:left="240" w:top="158" w:right="1440" w:bottom="1440" w:gutter="0" w:footer="0" w:header="0"/>
          <w:type w:val="continuous"/>
        </w:sectPr>
      </w:pPr>
    </w:p>
    <w:bookmarkStart w:id="29" w:name="page30"/>
    <w:bookmarkEnd w:id="29"/>
    <w:p>
      <w:pPr>
        <w:jc w:val="center"/>
        <w:ind w:right="1779"/>
        <w:spacing w:after="0"/>
        <w:rPr>
          <w:sz w:val="20"/>
          <w:szCs w:val="20"/>
          <w:color w:val="auto"/>
        </w:rPr>
      </w:pPr>
      <w:r>
        <w:rPr>
          <w:rFonts w:ascii="Arial" w:cs="Arial" w:eastAsia="Arial" w:hAnsi="Arial"/>
          <w:sz w:val="16"/>
          <w:szCs w:val="16"/>
          <w:b w:val="1"/>
          <w:bCs w:val="1"/>
          <w:color w:val="auto"/>
        </w:rPr>
        <w:t>CLEARONE COMMUNICATIONS, INC.</w:t>
      </w:r>
    </w:p>
    <w:p>
      <w:pPr>
        <w:spacing w:after="0" w:line="25" w:lineRule="exact"/>
        <w:rPr>
          <w:sz w:val="20"/>
          <w:szCs w:val="20"/>
          <w:color w:val="auto"/>
        </w:rPr>
      </w:pPr>
    </w:p>
    <w:p>
      <w:pPr>
        <w:jc w:val="center"/>
        <w:ind w:right="1779"/>
        <w:spacing w:after="0"/>
        <w:rPr>
          <w:sz w:val="20"/>
          <w:szCs w:val="20"/>
          <w:color w:val="auto"/>
        </w:rPr>
      </w:pPr>
      <w:r>
        <w:rPr>
          <w:rFonts w:ascii="Arial" w:cs="Arial" w:eastAsia="Arial" w:hAnsi="Arial"/>
          <w:sz w:val="16"/>
          <w:szCs w:val="16"/>
          <w:b w:val="1"/>
          <w:bCs w:val="1"/>
          <w:color w:val="auto"/>
        </w:rPr>
        <w:t>Proxy for Annual Meeting of Shareholders</w:t>
      </w:r>
    </w:p>
    <w:p>
      <w:pPr>
        <w:spacing w:after="0" w:line="5" w:lineRule="exact"/>
        <w:rPr>
          <w:sz w:val="20"/>
          <w:szCs w:val="20"/>
          <w:color w:val="auto"/>
        </w:rPr>
      </w:pPr>
    </w:p>
    <w:p>
      <w:pPr>
        <w:jc w:val="center"/>
        <w:ind w:right="1779"/>
        <w:spacing w:after="0"/>
        <w:rPr>
          <w:sz w:val="20"/>
          <w:szCs w:val="20"/>
          <w:color w:val="auto"/>
        </w:rPr>
      </w:pPr>
      <w:r>
        <w:rPr>
          <w:rFonts w:ascii="Arial" w:cs="Arial" w:eastAsia="Arial" w:hAnsi="Arial"/>
          <w:sz w:val="16"/>
          <w:szCs w:val="16"/>
          <w:b w:val="1"/>
          <w:bCs w:val="1"/>
          <w:color w:val="auto"/>
        </w:rPr>
        <w:t>November 5, 2012</w:t>
      </w:r>
    </w:p>
    <w:p>
      <w:pPr>
        <w:spacing w:after="0" w:line="228"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71" w:lineRule="exact"/>
        <w:rPr>
          <w:sz w:val="20"/>
          <w:szCs w:val="20"/>
          <w:color w:val="auto"/>
        </w:rPr>
      </w:pPr>
    </w:p>
    <w:p>
      <w:pPr>
        <w:ind w:right="1879" w:firstLine="648"/>
        <w:spacing w:after="0" w:line="244" w:lineRule="auto"/>
        <w:rPr>
          <w:sz w:val="20"/>
          <w:szCs w:val="20"/>
          <w:color w:val="auto"/>
        </w:rPr>
      </w:pPr>
      <w:r>
        <w:rPr>
          <w:rFonts w:ascii="Arial" w:cs="Arial" w:eastAsia="Arial" w:hAnsi="Arial"/>
          <w:sz w:val="14"/>
          <w:szCs w:val="14"/>
          <w:color w:val="auto"/>
        </w:rPr>
        <w:t>The undersigned shareholder of ClearOne Communications, Inc., a Utah corporation (the “Company”), hereby acknowledges receipt of the Notice of Annual Meeting of Shareholders and Proxy Statement, each dated October 3, 2012, and hereby appoints Zeynep Hakimoglu and Narsi Narayanan, proxies and attorneys-in-fact, with full power to each of substitution in behalf of and in the name of the undersigned, to represent the undersigned at the Annual Meeting of Shareholders to be held on November 5, 2012,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on the reverse side.</w:t>
      </w:r>
    </w:p>
    <w:p>
      <w:pPr>
        <w:spacing w:after="0" w:line="232" w:lineRule="exact"/>
        <w:rPr>
          <w:sz w:val="20"/>
          <w:szCs w:val="20"/>
          <w:color w:val="auto"/>
        </w:rPr>
      </w:pPr>
    </w:p>
    <w:p>
      <w:pPr>
        <w:ind w:right="2039" w:firstLine="648"/>
        <w:spacing w:after="0" w:line="247" w:lineRule="auto"/>
        <w:rPr>
          <w:sz w:val="20"/>
          <w:szCs w:val="20"/>
          <w:color w:val="auto"/>
        </w:rPr>
      </w:pPr>
      <w:r>
        <w:rPr>
          <w:rFonts w:ascii="Arial" w:cs="Arial" w:eastAsia="Arial" w:hAnsi="Arial"/>
          <w:sz w:val="14"/>
          <w:szCs w:val="14"/>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Changes /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5441315" cy="450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4131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(If you noted any Address Changes and/or Comments above, please mark corresponding box on the reverse side.)</w:t>
      </w:r>
    </w:p>
    <w:sectPr>
      <w:pgSz w:w="11900" w:h="16838" w:orient="portrait"/>
      <w:cols w:equalWidth="0" w:num="1">
        <w:col w:w="10219"/>
      </w:cols>
      <w:pgMar w:left="240" w:top="3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x"/>
      <w:numFmt w:val="bullet"/>
      <w:start w:val="1"/>
    </w:lvl>
  </w:abstractNum>
  <w:abstractNum w:abstractNumId="3">
    <w:nsid w:val="66EF438D"/>
    <w:multiLevelType w:val="hybridMultilevel"/>
    <w:lvl w:ilvl="0">
      <w:lvlJc w:val="left"/>
      <w:lvlText w:val="o"/>
      <w:numFmt w:val="bullet"/>
      <w:start w:val="1"/>
    </w:lvl>
    <w:lvl w:ilvl="1">
      <w:lvlJc w:val="left"/>
      <w:lvlText w:val="%2)"/>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lvl w:ilvl="1">
      <w:lvlJc w:val="left"/>
      <w:lvlText w:val="(%2)"/>
      <w:numFmt w:val="decimal"/>
      <w:start w:val="1"/>
    </w:lvl>
  </w:abstractNum>
  <w:abstractNum w:abstractNumId="9">
    <w:nsid w:val="1BEFD79F"/>
    <w:multiLevelType w:val="hybridMultilevel"/>
    <w:lvl w:ilvl="0">
      <w:lvlJc w:val="left"/>
      <w:lvlText w:val="(%1)"/>
      <w:numFmt w:val="decimal"/>
      <w:start w:val="2"/>
    </w:lvl>
    <w:lvl w:ilvl="1">
      <w:lvlJc w:val="left"/>
      <w:lvlText w:val="%2"/>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1)"/>
      <w:numFmt w:val="decimal"/>
      <w:start w:val="1"/>
    </w:lvl>
    <w:lvl w:ilvl="1">
      <w:lvlJc w:val="left"/>
      <w:lvlText w:val="(%2)"/>
      <w:numFmt w:val="decimal"/>
      <w:start w:val="3"/>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decimal"/>
      <w:start w:val="1"/>
    </w:lvl>
  </w:abstractNum>
  <w:abstractNum w:abstractNumId="17">
    <w:nsid w:val="7C83E458"/>
    <w:multiLevelType w:val="hybridMultilevel"/>
    <w:lvl w:ilvl="0">
      <w:lvlJc w:val="left"/>
      <w:lvlText w:val="(%1)"/>
      <w:numFmt w:val="decimal"/>
      <w:start w:val="2"/>
    </w:lvl>
    <w:lvl w:ilvl="1">
      <w:lvlJc w:val="left"/>
      <w:lvlText w:val="%2"/>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2019-12-09T09:47:18Z</dcterms:created>
  <dcterms:modified xsi:type="dcterms:W3CDTF">2019-12-09T09:47:18Z</dcterms:modified>
</cp:coreProperties>
</file>