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31115</wp:posOffset>
            </wp:positionV>
            <wp:extent cx="6165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UTAH</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001-33660</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87-0398877</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5225 WILEY POST WAY, SUITE 500</w:t>
            </w:r>
          </w:p>
        </w:tc>
        <w:tc>
          <w:tcPr>
            <w:tcW w:w="34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8"/>
              </w:rPr>
              <w:t>SALT LAKE CITY, UTAH 84116</w:t>
            </w:r>
          </w:p>
        </w:tc>
        <w:tc>
          <w:tcPr>
            <w:tcW w:w="3420" w:type="dxa"/>
            <w:vAlign w:val="bottom"/>
          </w:tcPr>
          <w:p>
            <w:pPr>
              <w:spacing w:after="0"/>
              <w:rPr>
                <w:sz w:val="20"/>
                <w:szCs w:val="20"/>
                <w:color w:val="auto"/>
              </w:rPr>
            </w:pPr>
          </w:p>
        </w:tc>
      </w:tr>
      <w:tr>
        <w:trPr>
          <w:trHeight w:val="277"/>
        </w:trPr>
        <w:tc>
          <w:tcPr>
            <w:tcW w:w="3440" w:type="dxa"/>
            <w:vAlign w:val="bottom"/>
          </w:tcPr>
          <w:p>
            <w:pPr>
              <w:spacing w:after="0"/>
              <w:rPr>
                <w:sz w:val="24"/>
                <w:szCs w:val="24"/>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(Address of Principal Executive Offices) (Zip Code)</w:t>
            </w:r>
          </w:p>
        </w:tc>
        <w:tc>
          <w:tcPr>
            <w:tcW w:w="3420" w:type="dxa"/>
            <w:vAlign w:val="bottom"/>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17145</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2.01 Completion of Acquisition or Disposition of Assets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2.03. Creation of a Direct Financial Obligation or an Obligation under an Off-Balance Sheet Arrangement of</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a Registrant.</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EX-2.2</w:t>
      </w:r>
    </w:p>
    <w:p>
      <w:pPr>
        <w:spacing w:after="0" w:line="231" w:lineRule="auto"/>
        <w:rPr>
          <w:sz w:val="20"/>
          <w:szCs w:val="20"/>
          <w:color w:val="auto"/>
        </w:rPr>
      </w:pPr>
      <w:r>
        <w:rPr>
          <w:rFonts w:ascii="Arial" w:cs="Arial" w:eastAsia="Arial" w:hAnsi="Arial"/>
          <w:sz w:val="22"/>
          <w:szCs w:val="22"/>
          <w:u w:val="single" w:color="auto"/>
          <w:color w:val="0000EE"/>
        </w:rPr>
        <w:t>EX-10.23</w:t>
      </w:r>
    </w:p>
    <w:p>
      <w:pPr>
        <w:spacing w:after="0" w:line="231" w:lineRule="auto"/>
        <w:rPr>
          <w:sz w:val="20"/>
          <w:szCs w:val="20"/>
          <w:color w:val="auto"/>
        </w:rPr>
      </w:pPr>
      <w:r>
        <w:rPr>
          <w:rFonts w:ascii="Arial" w:cs="Arial" w:eastAsia="Arial" w:hAnsi="Arial"/>
          <w:sz w:val="22"/>
          <w:szCs w:val="22"/>
          <w:u w:val="single" w:color="auto"/>
          <w:color w:val="0000EE"/>
        </w:rPr>
        <w:t>EX-10.24</w:t>
      </w: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820" w:top="111" w:right="9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and Plan of Merger</w:t>
      </w:r>
    </w:p>
    <w:p>
      <w:pPr>
        <w:spacing w:after="0" w:line="117"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We hereby incorporate the discussion contained in Item 2.01 of this Form 8-K regarding the terms and conditions of the Agreement and Plan of Merger (the “Merger Agreement”) we entered into to acquire all of the outstanding capital stock (including common, preferred, share warrants, and outstanding options) of NetStreams, Inc. (“NetStreams”).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Joinder to Loan and Security Agreement</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As described in Item 2.03, on November 3, 2009, in connection with the closing of the NetStreams acquisition, we entered into a joinder agreement with Square 1 Bank (the “Bank”), joining us as a party to that certain Loan and Security Agreement (“Loan and Security Agreement”), dated November 12, 2008, as amended, by and between the Bank, and NetStreams and NetStreams, LLC (collectively, “Borrower”). The disclosure provided in Item 2.03 of this Form 8-K is hereby incorporated by reference into this Item 1.01.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Loan and Security Agreement</w:t>
      </w:r>
    </w:p>
    <w:p>
      <w:pPr>
        <w:spacing w:after="0" w:line="11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As described in Item 2.03, on November 3, 2009, in connection with the closing of the NetStreams acquisition, we entered into an amendment to the Loan and Security Agreement. The disclosure provided in Item 2.03 of this Form 8-K is hereby incorporated by reference into this Item 1.01.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On November 3, 2009, we entered into and closed the Merger Agreement with Alta-Wasatch Acquisition Corporation (“Alta-Wasatch”), our wholly owned subsidiary; NetStreams; and the following parties that each entered into the Merger Agreement for purposes set forth in the Merger Agreement, Austin Ventures VIII, L.P. and Kevin A. Reinis. Pursuant to the Merger Agreement, Alta-Wasatch, will merge with and into NetStreams (the “Merger”).</w:t>
      </w:r>
    </w:p>
    <w:p>
      <w:pPr>
        <w:spacing w:after="0" w:line="57" w:lineRule="exact"/>
        <w:rPr>
          <w:sz w:val="20"/>
          <w:szCs w:val="20"/>
          <w:color w:val="auto"/>
        </w:rPr>
      </w:pPr>
    </w:p>
    <w:p>
      <w:pPr>
        <w:ind w:right="220" w:firstLine="447"/>
        <w:spacing w:after="0" w:line="297" w:lineRule="auto"/>
        <w:rPr>
          <w:sz w:val="20"/>
          <w:szCs w:val="20"/>
          <w:color w:val="auto"/>
        </w:rPr>
      </w:pPr>
      <w:r>
        <w:rPr>
          <w:rFonts w:ascii="Arial" w:cs="Arial" w:eastAsia="Arial" w:hAnsi="Arial"/>
          <w:sz w:val="16"/>
          <w:szCs w:val="16"/>
          <w:color w:val="auto"/>
        </w:rPr>
        <w:t>The aggregate consideration paid by us pursuant to the Merger Agreement was (a) $1,950,000, subject to adjustment, less certain defined transaction expenses, which was due in full in cash on the closing date, (b) an earn-out payment, subject to certain defined thresholds, of up to $3,000,000, covering a period of two years commencing on the closing date, and (c) the assumption of a liability of NetStreams in the amount of $2,000,000. The aggregate consideration is subject to a working capital adjustment based on a defined target, which is the value of certain assets less certain liabilities set forth in the agreement. A portion of the consideration will be held in escrow for 12 months to satisfy the covenants as specified in the Merger Agreement.</w:t>
      </w:r>
    </w:p>
    <w:p>
      <w:pPr>
        <w:spacing w:after="0" w:line="50" w:lineRule="exact"/>
        <w:rPr>
          <w:sz w:val="20"/>
          <w:szCs w:val="20"/>
          <w:color w:val="auto"/>
        </w:rPr>
      </w:pPr>
    </w:p>
    <w:p>
      <w:pPr>
        <w:ind w:right="320" w:firstLine="447"/>
        <w:spacing w:after="0" w:line="277" w:lineRule="auto"/>
        <w:rPr>
          <w:sz w:val="20"/>
          <w:szCs w:val="20"/>
          <w:color w:val="auto"/>
        </w:rPr>
      </w:pPr>
      <w:r>
        <w:rPr>
          <w:rFonts w:ascii="Arial" w:cs="Arial" w:eastAsia="Arial" w:hAnsi="Arial"/>
          <w:sz w:val="18"/>
          <w:szCs w:val="18"/>
          <w:color w:val="auto"/>
        </w:rPr>
        <w:t>The Merger Agreement also contains other provisions, covenants, representations, and warranties made by NetStreams and by us that are typical in transactions of this size, type, and complexity.</w:t>
      </w:r>
    </w:p>
    <w:p>
      <w:pPr>
        <w:spacing w:after="0" w:line="62" w:lineRule="exact"/>
        <w:rPr>
          <w:sz w:val="20"/>
          <w:szCs w:val="20"/>
          <w:color w:val="auto"/>
        </w:rPr>
      </w:pPr>
    </w:p>
    <w:p>
      <w:pPr>
        <w:ind w:right="340" w:firstLine="447"/>
        <w:spacing w:after="0" w:line="308" w:lineRule="auto"/>
        <w:rPr>
          <w:sz w:val="20"/>
          <w:szCs w:val="20"/>
          <w:color w:val="auto"/>
        </w:rPr>
      </w:pPr>
      <w:r>
        <w:rPr>
          <w:rFonts w:ascii="Arial" w:cs="Arial" w:eastAsia="Arial" w:hAnsi="Arial"/>
          <w:sz w:val="17"/>
          <w:szCs w:val="17"/>
          <w:color w:val="auto"/>
        </w:rPr>
        <w:t>The Merger Agreement is attached hereto as Exhibit 2.2 and is hereby incorporated by reference in this Item 2.01. The foregoing description of the agreement and the transactions contemplated thereby is qualified in its entirety by reference to the full text of the Merger Agreement.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On November 3, 2009, we issued a press release announcing the entry into and closing of the transactions pursuant to the Merger Agreement. A copy of this press release is attached hereto as Exhibit 99.1 and is hereby incorporated by reference in this Item 2.01.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In connection with the closing of the Merger described in Item 2.01, on November 3, 2009, we entered into the Joinder to the Loan and Security Agreement (the “Joinder”) and the Seventh Amendment to the Loan and Security Agreement (the “Seventh Amendment”).</w:t>
      </w:r>
    </w:p>
    <w:p>
      <w:pPr>
        <w:spacing w:after="0" w:line="62"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Pursuant to the Joinder, we entered into the Loan and Security Agreement as a co-borrower and assumed certain obligations under the Loan and Security Agreement. We were not required to pledge additional security interests to the Bank. The existing collateral arrangement with respect to Borrowers’ assets continues to secure the obligations of the parties under the Loan and Security Agreement. In connection therewith, NetSteams entered into the Seventh Amendment which obligates us to the Loan and Security Agreement in the amount of $2,000,000 and payment of Interest (as defined in the Loan and Security Agreement) under the Formula Revolving Line (as defined in the Loan and Security Agreement) shall be due and payable on the first calendar day of each month during the term of the Loan and Security Agreement.</w:t>
      </w:r>
    </w:p>
    <w:p>
      <w:pPr>
        <w:spacing w:after="0" w:line="70"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The foregoing descriptions of the Joinder and Seventh Amendment are only summaries and are qualified in their entirety by reference to the full text of the Joinder and Seventh Amendment, which are attached hereto as Exhibit 10.23 and Exhibit 10.24, respectively, and are hereby incorporated by reference into this Item 2.03.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80" w:hanging="247"/>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Businesses Acquired</w:t>
      </w:r>
      <w:r>
        <w:rPr>
          <w:rFonts w:ascii="Arial" w:cs="Arial" w:eastAsia="Arial" w:hAnsi="Arial"/>
          <w:sz w:val="18"/>
          <w:szCs w:val="18"/>
          <w:color w:val="auto"/>
        </w:rPr>
        <w:t>.</w:t>
      </w:r>
    </w:p>
    <w:p>
      <w:pPr>
        <w:spacing w:after="0" w:line="117"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The financial statements of NetStreams are not being furnished in this Form 8-K. In accordance with subsection 4 of this Item 9.01(a), the financial statements of NetStreams will be filed by amendment to this Form 8-K as soon as practicable, but not later than 71 days after the date on which this Form 8-K was required to be filed.</w:t>
      </w:r>
    </w:p>
    <w:p>
      <w:pPr>
        <w:spacing w:after="0" w:line="181"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r>
        <w:rPr>
          <w:rFonts w:ascii="Arial" w:cs="Arial" w:eastAsia="Arial" w:hAnsi="Arial"/>
          <w:sz w:val="18"/>
          <w:szCs w:val="18"/>
          <w:color w:val="auto"/>
        </w:rPr>
        <w:t>.</w:t>
      </w:r>
    </w:p>
    <w:p>
      <w:pPr>
        <w:spacing w:after="0" w:line="117"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The pro forma financial information of NetStreams and our company is not being furnished in this Form 8-K. In accordance with subsection 2 of this Item 9.01(b), the pro forma financial information of NetStreams and our company will be filed by amendment to this Form 8-K as soon as practicable, but not later than 71 days after the date on which this Form 8-K was required to be filed.</w:t>
      </w:r>
    </w:p>
    <w:p>
      <w:pPr>
        <w:spacing w:after="0" w:line="181" w:lineRule="exact"/>
        <w:rPr>
          <w:sz w:val="20"/>
          <w:szCs w:val="20"/>
          <w:color w:val="auto"/>
        </w:rPr>
      </w:pPr>
    </w:p>
    <w:p>
      <w:pPr>
        <w:ind w:left="460" w:right="8820" w:hanging="227"/>
        <w:spacing w:after="0" w:line="475"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Shell Company Transactions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right"/>
              <w:ind w:right="236"/>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9800" w:type="dxa"/>
            <w:vAlign w:val="bottom"/>
          </w:tcPr>
          <w:p>
            <w:pPr>
              <w:spacing w:after="0"/>
              <w:rPr>
                <w:sz w:val="14"/>
                <w:szCs w:val="14"/>
                <w:color w:val="auto"/>
              </w:rPr>
            </w:pPr>
          </w:p>
        </w:tc>
      </w:tr>
      <w:tr>
        <w:trPr>
          <w:trHeight w:val="167"/>
        </w:trPr>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Number</w:t>
            </w:r>
          </w:p>
        </w:tc>
        <w:tc>
          <w:tcPr>
            <w:tcW w:w="560" w:type="dxa"/>
            <w:vAlign w:val="bottom"/>
          </w:tcPr>
          <w:p>
            <w:pPr>
              <w:spacing w:after="0"/>
              <w:rPr>
                <w:sz w:val="14"/>
                <w:szCs w:val="14"/>
                <w:color w:val="auto"/>
              </w:rPr>
            </w:pPr>
          </w:p>
        </w:tc>
        <w:tc>
          <w:tcPr>
            <w:tcW w:w="9800" w:type="dxa"/>
            <w:vAlign w:val="bottom"/>
            <w:tcBorders>
              <w:bottom w:val="single" w:sz="8" w:color="auto"/>
            </w:tcBorders>
          </w:tcPr>
          <w:p>
            <w:pPr>
              <w:ind w:left="4560"/>
              <w:spacing w:after="0"/>
              <w:rPr>
                <w:sz w:val="20"/>
                <w:szCs w:val="20"/>
                <w:color w:val="auto"/>
              </w:rPr>
            </w:pPr>
            <w:r>
              <w:rPr>
                <w:rFonts w:ascii="Arial" w:cs="Arial" w:eastAsia="Arial" w:hAnsi="Arial"/>
                <w:sz w:val="14"/>
                <w:szCs w:val="14"/>
                <w:color w:val="auto"/>
              </w:rPr>
              <w:t>Description</w:t>
            </w:r>
          </w:p>
        </w:tc>
      </w:tr>
      <w:tr>
        <w:trPr>
          <w:trHeight w:val="411"/>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Agreement and Plan of Merger, dated as of November 3, 2009, by and among ClearOne Communications, Inc., Alta-Wasatch</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Acquisition Corporation, NetStreams, Inc., Austin Ventures VIII, L.P., and Kevin A. Reinis.</w:t>
            </w:r>
          </w:p>
        </w:tc>
      </w:tr>
      <w:tr>
        <w:trPr>
          <w:trHeight w:val="418"/>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Joinder to Loan and Security Agreement, dated as of November 3, 2009, by and between ClearOne Communications, Inc. and Square 1</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Bank.</w:t>
            </w:r>
          </w:p>
        </w:tc>
      </w:tr>
      <w:tr>
        <w:trPr>
          <w:trHeight w:val="418"/>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Seventh Amendment to Loan and Security Agreement, dated as of November 3, 2009, by and between Square 1 Bank, ClearOne</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Communications, Inc., NetStreams, Inc., and NetStreams, LLC.</w:t>
            </w:r>
          </w:p>
        </w:tc>
      </w:tr>
      <w:tr>
        <w:trPr>
          <w:trHeight w:val="418"/>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Press Release from ClearOne Communications, Inc., dated November 3, 2009, titled “ClearOne Acquires NetStreams — NetStreams</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Brings ClearOne Audio and Video IP-based Network Solutions”</w:t>
            </w:r>
          </w:p>
        </w:tc>
      </w:tr>
      <w:tr>
        <w:trPr>
          <w:trHeight w:val="405"/>
        </w:trPr>
        <w:tc>
          <w:tcPr>
            <w:tcW w:w="1060" w:type="dxa"/>
            <w:vAlign w:val="bottom"/>
          </w:tcPr>
          <w:p>
            <w:pPr>
              <w:spacing w:after="0"/>
              <w:rPr>
                <w:sz w:val="24"/>
                <w:szCs w:val="24"/>
                <w:color w:val="auto"/>
              </w:rPr>
            </w:pPr>
          </w:p>
        </w:tc>
        <w:tc>
          <w:tcPr>
            <w:tcW w:w="10360" w:type="dxa"/>
            <w:vAlign w:val="bottom"/>
            <w:gridSpan w:val="2"/>
          </w:tcPr>
          <w:p>
            <w:pPr>
              <w:jc w:val="right"/>
              <w:ind w:right="5572"/>
              <w:spacing w:after="0"/>
              <w:rPr>
                <w:sz w:val="20"/>
                <w:szCs w:val="20"/>
                <w:color w:val="auto"/>
              </w:rPr>
            </w:pPr>
            <w:r>
              <w:rPr>
                <w:rFonts w:ascii="Arial" w:cs="Arial" w:eastAsia="Arial" w:hAnsi="Arial"/>
                <w:sz w:val="18"/>
                <w:szCs w:val="18"/>
                <w:color w:val="auto"/>
              </w:rPr>
              <w:t>4</w:t>
            </w:r>
          </w:p>
        </w:tc>
      </w:tr>
      <w:tr>
        <w:trPr>
          <w:trHeight w:val="226"/>
        </w:trPr>
        <w:tc>
          <w:tcPr>
            <w:tcW w:w="1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7"/>
          <w:szCs w:val="17"/>
          <w:color w:val="auto"/>
        </w:rPr>
        <w:t>CLEARONE COMMUNICATIONS,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Chief Executive Officer, and Chairman</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jc w:val="center"/>
              <w:ind w:right="1512"/>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1060" w:type="dxa"/>
            <w:vAlign w:val="bottom"/>
          </w:tcPr>
          <w:p>
            <w:pPr>
              <w:jc w:val="right"/>
              <w:ind w:right="236"/>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167"/>
        </w:trPr>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Number</w:t>
            </w:r>
          </w:p>
        </w:tc>
        <w:tc>
          <w:tcPr>
            <w:tcW w:w="560" w:type="dxa"/>
            <w:vAlign w:val="bottom"/>
          </w:tcPr>
          <w:p>
            <w:pPr>
              <w:spacing w:after="0"/>
              <w:rPr>
                <w:sz w:val="14"/>
                <w:szCs w:val="14"/>
                <w:color w:val="auto"/>
              </w:rPr>
            </w:pPr>
          </w:p>
        </w:tc>
        <w:tc>
          <w:tcPr>
            <w:tcW w:w="9800" w:type="dxa"/>
            <w:vAlign w:val="bottom"/>
            <w:tcBorders>
              <w:bottom w:val="single" w:sz="8" w:color="auto"/>
            </w:tcBorders>
          </w:tcPr>
          <w:p>
            <w:pPr>
              <w:ind w:left="4560"/>
              <w:spacing w:after="0"/>
              <w:rPr>
                <w:sz w:val="20"/>
                <w:szCs w:val="20"/>
                <w:color w:val="auto"/>
              </w:rPr>
            </w:pPr>
            <w:r>
              <w:rPr>
                <w:rFonts w:ascii="Arial" w:cs="Arial" w:eastAsia="Arial" w:hAnsi="Arial"/>
                <w:sz w:val="14"/>
                <w:szCs w:val="14"/>
                <w:color w:val="auto"/>
              </w:rPr>
              <w:t>Description</w:t>
            </w:r>
          </w:p>
        </w:tc>
      </w:tr>
      <w:tr>
        <w:trPr>
          <w:trHeight w:val="411"/>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Agreement and Plan of Merger, dated as of November 3, 2009, by and among ClearOne Communications, Inc., Alta-Wasatch</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Acquisition Corporation, NetStreams, Inc., Austin Ventures VIII, L.P., and Kevin A. Reinis.</w:t>
            </w:r>
          </w:p>
        </w:tc>
      </w:tr>
      <w:tr>
        <w:trPr>
          <w:trHeight w:val="418"/>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Joinder to Loan and Security Agreement, dated as of November 3, 2009, by and between ClearOne Communications, Inc. and Square 1</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Bank.</w:t>
            </w:r>
          </w:p>
        </w:tc>
      </w:tr>
      <w:tr>
        <w:trPr>
          <w:trHeight w:val="418"/>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Seventh Amendment to Loan and Security Agreement, dated as of November 3, 2009, by and between Square 1 Bank, ClearOne</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Communications, Inc., NetStreams, Inc., and NetStreams, LLC.</w:t>
            </w:r>
          </w:p>
        </w:tc>
      </w:tr>
      <w:tr>
        <w:trPr>
          <w:trHeight w:val="418"/>
        </w:trPr>
        <w:tc>
          <w:tcPr>
            <w:tcW w:w="1060" w:type="dxa"/>
            <w:vAlign w:val="bottom"/>
          </w:tcPr>
          <w:p>
            <w:pPr>
              <w:jc w:val="right"/>
              <w:ind w:right="236"/>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Press Release from ClearOne Communications, Inc., dated November 3, 2009, titled “ClearOne Acquires NetStreams — NetStreams</w:t>
            </w:r>
          </w:p>
        </w:tc>
      </w:t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Brings ClearOne Audio and Video IP-based Network Solutions”</w:t>
            </w:r>
          </w:p>
        </w:tc>
      </w:tr>
      <w:tr>
        <w:trPr>
          <w:trHeight w:val="405"/>
        </w:trPr>
        <w:tc>
          <w:tcPr>
            <w:tcW w:w="1060" w:type="dxa"/>
            <w:vAlign w:val="bottom"/>
          </w:tcPr>
          <w:p>
            <w:pPr>
              <w:spacing w:after="0"/>
              <w:rPr>
                <w:sz w:val="24"/>
                <w:szCs w:val="24"/>
                <w:color w:val="auto"/>
              </w:rPr>
            </w:pPr>
          </w:p>
        </w:tc>
        <w:tc>
          <w:tcPr>
            <w:tcW w:w="10360" w:type="dxa"/>
            <w:vAlign w:val="bottom"/>
            <w:gridSpan w:val="2"/>
          </w:tcPr>
          <w:p>
            <w:pPr>
              <w:jc w:val="right"/>
              <w:ind w:right="557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41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2.2</w:t>
      </w:r>
    </w:p>
    <w:p>
      <w:pPr>
        <w:spacing w:after="0" w:line="33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AGREEMENT AND PLAN OF MERGER</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ClearOne Communications, Inc.,</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Alta-Wasatch Acquisition Corporation,</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NetStreams,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Austin Ventures VIII, L.P.,</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and the</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Incentive Plan Representative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identified herein)</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411"/>
        </w:trPr>
        <w:tc>
          <w:tcPr>
            <w:tcW w:w="1320" w:type="dxa"/>
            <w:vAlign w:val="bottom"/>
          </w:tcPr>
          <w:p>
            <w:pPr>
              <w:spacing w:after="0"/>
              <w:rPr>
                <w:sz w:val="20"/>
                <w:szCs w:val="20"/>
                <w:color w:val="auto"/>
              </w:rPr>
            </w:pPr>
            <w:r>
              <w:rPr>
                <w:rFonts w:ascii="Arial" w:cs="Arial" w:eastAsia="Arial" w:hAnsi="Arial"/>
                <w:sz w:val="18"/>
                <w:szCs w:val="18"/>
                <w:color w:val="auto"/>
              </w:rPr>
              <w:t>ARTICLE I</w:t>
            </w:r>
          </w:p>
        </w:tc>
        <w:tc>
          <w:tcPr>
            <w:tcW w:w="956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1.01</w:t>
            </w:r>
          </w:p>
        </w:tc>
        <w:tc>
          <w:tcPr>
            <w:tcW w:w="956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II</w:t>
            </w:r>
          </w:p>
        </w:tc>
        <w:tc>
          <w:tcPr>
            <w:tcW w:w="956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2.01</w:t>
            </w:r>
          </w:p>
        </w:tc>
        <w:tc>
          <w:tcPr>
            <w:tcW w:w="9560" w:type="dxa"/>
            <w:vAlign w:val="bottom"/>
          </w:tcPr>
          <w:p>
            <w:pPr>
              <w:ind w:left="320"/>
              <w:spacing w:after="0"/>
              <w:rPr>
                <w:sz w:val="20"/>
                <w:szCs w:val="20"/>
                <w:color w:val="auto"/>
              </w:rPr>
            </w:pPr>
            <w:r>
              <w:rPr>
                <w:rFonts w:ascii="Arial" w:cs="Arial" w:eastAsia="Arial" w:hAnsi="Arial"/>
                <w:sz w:val="18"/>
                <w:szCs w:val="18"/>
                <w:color w:val="auto"/>
              </w:rPr>
              <w:t>Merger Consideration; Conversion of the Shares; Earnout Consideration</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2.02</w:t>
            </w:r>
          </w:p>
        </w:tc>
        <w:tc>
          <w:tcPr>
            <w:tcW w:w="9560" w:type="dxa"/>
            <w:vAlign w:val="bottom"/>
          </w:tcPr>
          <w:p>
            <w:pPr>
              <w:ind w:left="320"/>
              <w:spacing w:after="0"/>
              <w:rPr>
                <w:sz w:val="20"/>
                <w:szCs w:val="20"/>
                <w:color w:val="auto"/>
              </w:rPr>
            </w:pPr>
            <w:r>
              <w:rPr>
                <w:rFonts w:ascii="Arial" w:cs="Arial" w:eastAsia="Arial" w:hAnsi="Arial"/>
                <w:sz w:val="18"/>
                <w:szCs w:val="18"/>
                <w:color w:val="auto"/>
              </w:rPr>
              <w:t>Company Options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2.03</w:t>
            </w:r>
          </w:p>
        </w:tc>
        <w:tc>
          <w:tcPr>
            <w:tcW w:w="9560" w:type="dxa"/>
            <w:vAlign w:val="bottom"/>
          </w:tcPr>
          <w:p>
            <w:pPr>
              <w:ind w:left="320"/>
              <w:spacing w:after="0"/>
              <w:rPr>
                <w:sz w:val="20"/>
                <w:szCs w:val="20"/>
                <w:color w:val="auto"/>
              </w:rPr>
            </w:pPr>
            <w:r>
              <w:rPr>
                <w:rFonts w:ascii="Arial" w:cs="Arial" w:eastAsia="Arial" w:hAnsi="Arial"/>
                <w:sz w:val="18"/>
                <w:szCs w:val="18"/>
                <w:color w:val="auto"/>
              </w:rPr>
              <w:t>Escrow</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2.04</w:t>
            </w:r>
          </w:p>
        </w:tc>
        <w:tc>
          <w:tcPr>
            <w:tcW w:w="9560" w:type="dxa"/>
            <w:vAlign w:val="bottom"/>
          </w:tcPr>
          <w:p>
            <w:pPr>
              <w:ind w:left="320"/>
              <w:spacing w:after="0"/>
              <w:rPr>
                <w:sz w:val="20"/>
                <w:szCs w:val="20"/>
                <w:color w:val="auto"/>
              </w:rPr>
            </w:pPr>
            <w:r>
              <w:rPr>
                <w:rFonts w:ascii="Arial" w:cs="Arial" w:eastAsia="Arial" w:hAnsi="Arial"/>
                <w:sz w:val="18"/>
                <w:szCs w:val="18"/>
                <w:color w:val="auto"/>
              </w:rPr>
              <w:t>Closing Adjustment</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2.05</w:t>
            </w:r>
          </w:p>
        </w:tc>
        <w:tc>
          <w:tcPr>
            <w:tcW w:w="9560" w:type="dxa"/>
            <w:vAlign w:val="bottom"/>
          </w:tcPr>
          <w:p>
            <w:pPr>
              <w:ind w:left="320"/>
              <w:spacing w:after="0"/>
              <w:rPr>
                <w:sz w:val="20"/>
                <w:szCs w:val="20"/>
                <w:color w:val="auto"/>
              </w:rPr>
            </w:pPr>
            <w:r>
              <w:rPr>
                <w:rFonts w:ascii="Arial" w:cs="Arial" w:eastAsia="Arial" w:hAnsi="Arial"/>
                <w:sz w:val="18"/>
                <w:szCs w:val="18"/>
                <w:color w:val="auto"/>
              </w:rPr>
              <w:t>Effects of the Merger</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2.06</w:t>
            </w:r>
          </w:p>
        </w:tc>
        <w:tc>
          <w:tcPr>
            <w:tcW w:w="9560" w:type="dxa"/>
            <w:vAlign w:val="bottom"/>
          </w:tcPr>
          <w:p>
            <w:pPr>
              <w:ind w:left="320"/>
              <w:spacing w:after="0"/>
              <w:rPr>
                <w:sz w:val="20"/>
                <w:szCs w:val="20"/>
                <w:color w:val="auto"/>
              </w:rPr>
            </w:pPr>
            <w:r>
              <w:rPr>
                <w:rFonts w:ascii="Arial" w:cs="Arial" w:eastAsia="Arial" w:hAnsi="Arial"/>
                <w:sz w:val="18"/>
                <w:szCs w:val="18"/>
                <w:color w:val="auto"/>
              </w:rPr>
              <w:t>Tax Consequences and Withholding</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2.07</w:t>
            </w:r>
          </w:p>
        </w:tc>
        <w:tc>
          <w:tcPr>
            <w:tcW w:w="956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24</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2.08</w:t>
            </w:r>
          </w:p>
        </w:tc>
        <w:tc>
          <w:tcPr>
            <w:tcW w:w="9560" w:type="dxa"/>
            <w:vAlign w:val="bottom"/>
          </w:tcPr>
          <w:p>
            <w:pPr>
              <w:ind w:left="320"/>
              <w:spacing w:after="0"/>
              <w:rPr>
                <w:sz w:val="20"/>
                <w:szCs w:val="20"/>
                <w:color w:val="auto"/>
              </w:rPr>
            </w:pPr>
            <w:r>
              <w:rPr>
                <w:rFonts w:ascii="Arial" w:cs="Arial" w:eastAsia="Arial" w:hAnsi="Arial"/>
                <w:sz w:val="18"/>
                <w:szCs w:val="18"/>
                <w:color w:val="auto"/>
              </w:rPr>
              <w:t>Dissenting Shares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2.09</w:t>
            </w:r>
          </w:p>
        </w:tc>
        <w:tc>
          <w:tcPr>
            <w:tcW w:w="9560" w:type="dxa"/>
            <w:vAlign w:val="bottom"/>
          </w:tcPr>
          <w:p>
            <w:pPr>
              <w:ind w:left="320"/>
              <w:spacing w:after="0"/>
              <w:rPr>
                <w:sz w:val="20"/>
                <w:szCs w:val="20"/>
                <w:color w:val="auto"/>
              </w:rPr>
            </w:pPr>
            <w:r>
              <w:rPr>
                <w:rFonts w:ascii="Arial" w:cs="Arial" w:eastAsia="Arial" w:hAnsi="Arial"/>
                <w:sz w:val="18"/>
                <w:szCs w:val="18"/>
                <w:color w:val="auto"/>
              </w:rPr>
              <w:t>Austin Ventures VIII, L.P. Convertible Notes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2.10</w:t>
            </w:r>
          </w:p>
        </w:tc>
        <w:tc>
          <w:tcPr>
            <w:tcW w:w="9560" w:type="dxa"/>
            <w:vAlign w:val="bottom"/>
          </w:tcPr>
          <w:p>
            <w:pPr>
              <w:ind w:left="320"/>
              <w:spacing w:after="0"/>
              <w:rPr>
                <w:sz w:val="20"/>
                <w:szCs w:val="20"/>
                <w:color w:val="auto"/>
              </w:rPr>
            </w:pPr>
            <w:r>
              <w:rPr>
                <w:rFonts w:ascii="Arial" w:cs="Arial" w:eastAsia="Arial" w:hAnsi="Arial"/>
                <w:sz w:val="18"/>
                <w:szCs w:val="18"/>
                <w:color w:val="auto"/>
              </w:rPr>
              <w:t>Transaction Fees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2.11</w:t>
            </w:r>
          </w:p>
        </w:tc>
        <w:tc>
          <w:tcPr>
            <w:tcW w:w="9560" w:type="dxa"/>
            <w:vAlign w:val="bottom"/>
          </w:tcPr>
          <w:p>
            <w:pPr>
              <w:ind w:left="320"/>
              <w:spacing w:after="0"/>
              <w:rPr>
                <w:sz w:val="20"/>
                <w:szCs w:val="20"/>
                <w:color w:val="auto"/>
              </w:rPr>
            </w:pPr>
            <w:r>
              <w:rPr>
                <w:rFonts w:ascii="Arial" w:cs="Arial" w:eastAsia="Arial" w:hAnsi="Arial"/>
                <w:sz w:val="18"/>
                <w:szCs w:val="18"/>
                <w:color w:val="auto"/>
              </w:rPr>
              <w:t>Incentive Plan Representative</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III</w:t>
            </w:r>
          </w:p>
        </w:tc>
        <w:tc>
          <w:tcPr>
            <w:tcW w:w="9560" w:type="dxa"/>
            <w:vAlign w:val="bottom"/>
          </w:tcPr>
          <w:p>
            <w:pPr>
              <w:ind w:left="320"/>
              <w:spacing w:after="0"/>
              <w:rPr>
                <w:sz w:val="20"/>
                <w:szCs w:val="20"/>
                <w:color w:val="auto"/>
              </w:rPr>
            </w:pPr>
            <w:r>
              <w:rPr>
                <w:rFonts w:ascii="Arial" w:cs="Arial" w:eastAsia="Arial" w:hAnsi="Arial"/>
                <w:sz w:val="18"/>
                <w:szCs w:val="18"/>
                <w:color w:val="auto"/>
              </w:rPr>
              <w:t>REPRESENTATIONS AND WARRANTIES OF THE COMPANY</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3.01</w:t>
            </w:r>
          </w:p>
        </w:tc>
        <w:tc>
          <w:tcPr>
            <w:tcW w:w="9560" w:type="dxa"/>
            <w:vAlign w:val="bottom"/>
          </w:tcPr>
          <w:p>
            <w:pPr>
              <w:ind w:left="320"/>
              <w:spacing w:after="0"/>
              <w:rPr>
                <w:sz w:val="20"/>
                <w:szCs w:val="20"/>
                <w:color w:val="auto"/>
              </w:rPr>
            </w:pPr>
            <w:r>
              <w:rPr>
                <w:rFonts w:ascii="Arial" w:cs="Arial" w:eastAsia="Arial" w:hAnsi="Arial"/>
                <w:sz w:val="18"/>
                <w:szCs w:val="18"/>
                <w:color w:val="auto"/>
              </w:rPr>
              <w:t>Organization and Qualification</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3.02</w:t>
            </w:r>
          </w:p>
        </w:tc>
        <w:tc>
          <w:tcPr>
            <w:tcW w:w="9560" w:type="dxa"/>
            <w:vAlign w:val="bottom"/>
          </w:tcPr>
          <w:p>
            <w:pPr>
              <w:ind w:left="320"/>
              <w:spacing w:after="0"/>
              <w:rPr>
                <w:sz w:val="20"/>
                <w:szCs w:val="20"/>
                <w:color w:val="auto"/>
              </w:rPr>
            </w:pPr>
            <w:r>
              <w:rPr>
                <w:rFonts w:ascii="Arial" w:cs="Arial" w:eastAsia="Arial" w:hAnsi="Arial"/>
                <w:sz w:val="18"/>
                <w:szCs w:val="18"/>
                <w:color w:val="auto"/>
              </w:rPr>
              <w:t>Certificate of Incorporation and Bylaws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3.03</w:t>
            </w:r>
          </w:p>
        </w:tc>
        <w:tc>
          <w:tcPr>
            <w:tcW w:w="956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3.04</w:t>
            </w:r>
          </w:p>
        </w:tc>
        <w:tc>
          <w:tcPr>
            <w:tcW w:w="956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3.05</w:t>
            </w:r>
          </w:p>
        </w:tc>
        <w:tc>
          <w:tcPr>
            <w:tcW w:w="9560" w:type="dxa"/>
            <w:vAlign w:val="bottom"/>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3.06</w:t>
            </w:r>
          </w:p>
        </w:tc>
        <w:tc>
          <w:tcPr>
            <w:tcW w:w="9560" w:type="dxa"/>
            <w:vAlign w:val="bottom"/>
          </w:tcPr>
          <w:p>
            <w:pPr>
              <w:ind w:left="320"/>
              <w:spacing w:after="0"/>
              <w:rPr>
                <w:sz w:val="20"/>
                <w:szCs w:val="20"/>
                <w:color w:val="auto"/>
              </w:rPr>
            </w:pPr>
            <w:r>
              <w:rPr>
                <w:rFonts w:ascii="Arial" w:cs="Arial" w:eastAsia="Arial" w:hAnsi="Arial"/>
                <w:sz w:val="18"/>
                <w:szCs w:val="18"/>
                <w:color w:val="auto"/>
              </w:rPr>
              <w:t>Permits; Compliance</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3.07</w:t>
            </w:r>
          </w:p>
        </w:tc>
        <w:tc>
          <w:tcPr>
            <w:tcW w:w="956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3.08</w:t>
            </w:r>
          </w:p>
        </w:tc>
        <w:tc>
          <w:tcPr>
            <w:tcW w:w="956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3.09</w:t>
            </w:r>
          </w:p>
        </w:tc>
        <w:tc>
          <w:tcPr>
            <w:tcW w:w="9560" w:type="dxa"/>
            <w:vAlign w:val="bottom"/>
          </w:tcPr>
          <w:p>
            <w:pPr>
              <w:ind w:left="320"/>
              <w:spacing w:after="0"/>
              <w:rPr>
                <w:sz w:val="20"/>
                <w:szCs w:val="20"/>
                <w:color w:val="auto"/>
              </w:rPr>
            </w:pPr>
            <w:r>
              <w:rPr>
                <w:rFonts w:ascii="Arial" w:cs="Arial" w:eastAsia="Arial" w:hAnsi="Arial"/>
                <w:sz w:val="18"/>
                <w:szCs w:val="18"/>
                <w:color w:val="auto"/>
              </w:rPr>
              <w:t>Absence of Litigation</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3.10</w:t>
            </w:r>
          </w:p>
        </w:tc>
        <w:tc>
          <w:tcPr>
            <w:tcW w:w="9560" w:type="dxa"/>
            <w:vAlign w:val="bottom"/>
          </w:tcPr>
          <w:p>
            <w:pPr>
              <w:ind w:left="320"/>
              <w:spacing w:after="0"/>
              <w:rPr>
                <w:sz w:val="20"/>
                <w:szCs w:val="20"/>
                <w:color w:val="auto"/>
              </w:rPr>
            </w:pPr>
            <w:r>
              <w:rPr>
                <w:rFonts w:ascii="Arial" w:cs="Arial" w:eastAsia="Arial" w:hAnsi="Arial"/>
                <w:sz w:val="18"/>
                <w:szCs w:val="18"/>
                <w:color w:val="auto"/>
              </w:rPr>
              <w:t>Employee Benefit Plans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3.11</w:t>
            </w:r>
          </w:p>
        </w:tc>
        <w:tc>
          <w:tcPr>
            <w:tcW w:w="9560" w:type="dxa"/>
            <w:vAlign w:val="bottom"/>
          </w:tcPr>
          <w:p>
            <w:pPr>
              <w:ind w:left="320"/>
              <w:spacing w:after="0"/>
              <w:rPr>
                <w:sz w:val="20"/>
                <w:szCs w:val="20"/>
                <w:color w:val="auto"/>
              </w:rPr>
            </w:pPr>
            <w:r>
              <w:rPr>
                <w:rFonts w:ascii="Arial" w:cs="Arial" w:eastAsia="Arial" w:hAnsi="Arial"/>
                <w:sz w:val="18"/>
                <w:szCs w:val="18"/>
                <w:color w:val="auto"/>
              </w:rPr>
              <w:t>Labor and Employment Matters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3.12</w:t>
            </w:r>
          </w:p>
        </w:tc>
        <w:tc>
          <w:tcPr>
            <w:tcW w:w="9560" w:type="dxa"/>
            <w:vAlign w:val="bottom"/>
          </w:tcPr>
          <w:p>
            <w:pPr>
              <w:ind w:left="320"/>
              <w:spacing w:after="0"/>
              <w:rPr>
                <w:sz w:val="20"/>
                <w:szCs w:val="20"/>
                <w:color w:val="auto"/>
              </w:rPr>
            </w:pPr>
            <w:r>
              <w:rPr>
                <w:rFonts w:ascii="Arial" w:cs="Arial" w:eastAsia="Arial" w:hAnsi="Arial"/>
                <w:sz w:val="18"/>
                <w:szCs w:val="18"/>
                <w:color w:val="auto"/>
              </w:rPr>
              <w:t>[Intentionally Deleted]</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3.13</w:t>
            </w:r>
          </w:p>
        </w:tc>
        <w:tc>
          <w:tcPr>
            <w:tcW w:w="9560" w:type="dxa"/>
            <w:vAlign w:val="bottom"/>
          </w:tcPr>
          <w:p>
            <w:pPr>
              <w:ind w:left="320"/>
              <w:spacing w:after="0"/>
              <w:rPr>
                <w:sz w:val="20"/>
                <w:szCs w:val="20"/>
                <w:color w:val="auto"/>
              </w:rPr>
            </w:pPr>
            <w:r>
              <w:rPr>
                <w:rFonts w:ascii="Arial" w:cs="Arial" w:eastAsia="Arial" w:hAnsi="Arial"/>
                <w:sz w:val="18"/>
                <w:szCs w:val="18"/>
                <w:color w:val="auto"/>
              </w:rPr>
              <w:t>Absence of Real Property; Title to Assets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39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3.14</w:t>
            </w:r>
          </w:p>
        </w:tc>
        <w:tc>
          <w:tcPr>
            <w:tcW w:w="956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40</w:t>
            </w:r>
          </w:p>
        </w:tc>
      </w:tr>
      <w:tr>
        <w:trPr>
          <w:trHeight w:val="230"/>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3.15</w:t>
            </w:r>
          </w:p>
        </w:tc>
        <w:tc>
          <w:tcPr>
            <w:tcW w:w="9560" w:type="dxa"/>
            <w:vAlign w:val="bottom"/>
          </w:tcPr>
          <w:p>
            <w:pPr>
              <w:ind w:left="320"/>
              <w:spacing w:after="0"/>
              <w:rPr>
                <w:sz w:val="20"/>
                <w:szCs w:val="20"/>
                <w:color w:val="auto"/>
              </w:rPr>
            </w:pPr>
            <w:r>
              <w:rPr>
                <w:rFonts w:ascii="Arial" w:cs="Arial" w:eastAsia="Arial" w:hAnsi="Arial"/>
                <w:sz w:val="18"/>
                <w:szCs w:val="18"/>
                <w:color w:val="auto"/>
              </w:rPr>
              <w:t>Taxes</w:t>
            </w: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42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95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9"/>
                <w:szCs w:val="19"/>
                <w:color w:val="auto"/>
              </w:rPr>
            </w:pPr>
          </w:p>
        </w:tc>
      </w:tr>
      <w:tr>
        <w:trPr>
          <w:trHeight w:val="230"/>
        </w:trPr>
        <w:tc>
          <w:tcPr>
            <w:tcW w:w="1320" w:type="dxa"/>
            <w:vAlign w:val="bottom"/>
          </w:tcPr>
          <w:p>
            <w:pPr>
              <w:spacing w:after="0"/>
              <w:rPr>
                <w:sz w:val="20"/>
                <w:szCs w:val="20"/>
                <w:color w:val="auto"/>
              </w:rPr>
            </w:pPr>
          </w:p>
        </w:tc>
        <w:tc>
          <w:tcPr>
            <w:tcW w:w="9560" w:type="dxa"/>
            <w:vAlign w:val="bottom"/>
          </w:tcPr>
          <w:p>
            <w:pPr>
              <w:ind w:left="3980"/>
              <w:spacing w:after="0"/>
              <w:rPr>
                <w:sz w:val="20"/>
                <w:szCs w:val="20"/>
                <w:color w:val="auto"/>
              </w:rPr>
            </w:pPr>
            <w:r>
              <w:rPr>
                <w:rFonts w:ascii="Arial" w:cs="Arial" w:eastAsia="Arial" w:hAnsi="Arial"/>
                <w:sz w:val="18"/>
                <w:szCs w:val="18"/>
                <w:color w:val="auto"/>
              </w:rPr>
              <w:t>(continued)</w:t>
            </w:r>
          </w:p>
        </w:tc>
        <w:tc>
          <w:tcPr>
            <w:tcW w:w="540" w:type="dxa"/>
            <w:vAlign w:val="bottom"/>
          </w:tcPr>
          <w:p>
            <w:pPr>
              <w:spacing w:after="0"/>
              <w:rPr>
                <w:sz w:val="20"/>
                <w:szCs w:val="20"/>
                <w:color w:val="auto"/>
              </w:rPr>
            </w:pPr>
          </w:p>
        </w:tc>
      </w:tr>
      <w:tr>
        <w:trPr>
          <w:trHeight w:val="365"/>
        </w:trPr>
        <w:tc>
          <w:tcPr>
            <w:tcW w:w="13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411"/>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3.16</w:t>
            </w:r>
          </w:p>
        </w:tc>
        <w:tc>
          <w:tcPr>
            <w:tcW w:w="956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540" w:type="dxa"/>
            <w:vAlign w:val="bottom"/>
          </w:tcPr>
          <w:p>
            <w:pPr>
              <w:ind w:left="120"/>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3.17</w:t>
            </w:r>
          </w:p>
        </w:tc>
        <w:tc>
          <w:tcPr>
            <w:tcW w:w="9560" w:type="dxa"/>
            <w:vAlign w:val="bottom"/>
          </w:tcPr>
          <w:p>
            <w:pPr>
              <w:ind w:left="320"/>
              <w:spacing w:after="0"/>
              <w:rPr>
                <w:sz w:val="20"/>
                <w:szCs w:val="20"/>
                <w:color w:val="auto"/>
              </w:rPr>
            </w:pPr>
            <w:r>
              <w:rPr>
                <w:rFonts w:ascii="Arial" w:cs="Arial" w:eastAsia="Arial" w:hAnsi="Arial"/>
                <w:sz w:val="18"/>
                <w:szCs w:val="18"/>
                <w:color w:val="auto"/>
              </w:rPr>
              <w:t>No Rights Agreement</w:t>
            </w:r>
          </w:p>
        </w:tc>
        <w:tc>
          <w:tcPr>
            <w:tcW w:w="540" w:type="dxa"/>
            <w:vAlign w:val="bottom"/>
          </w:tcPr>
          <w:p>
            <w:pPr>
              <w:ind w:left="120"/>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3.18</w:t>
            </w:r>
          </w:p>
        </w:tc>
        <w:tc>
          <w:tcPr>
            <w:tcW w:w="956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540" w:type="dxa"/>
            <w:vAlign w:val="bottom"/>
          </w:tcPr>
          <w:p>
            <w:pPr>
              <w:ind w:left="120"/>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3.19</w:t>
            </w:r>
          </w:p>
        </w:tc>
        <w:tc>
          <w:tcPr>
            <w:tcW w:w="9560" w:type="dxa"/>
            <w:vAlign w:val="bottom"/>
          </w:tcPr>
          <w:p>
            <w:pPr>
              <w:ind w:left="320"/>
              <w:spacing w:after="0"/>
              <w:rPr>
                <w:sz w:val="20"/>
                <w:szCs w:val="20"/>
                <w:color w:val="auto"/>
              </w:rPr>
            </w:pPr>
            <w:r>
              <w:rPr>
                <w:rFonts w:ascii="Arial" w:cs="Arial" w:eastAsia="Arial" w:hAnsi="Arial"/>
                <w:sz w:val="18"/>
                <w:szCs w:val="18"/>
                <w:color w:val="auto"/>
              </w:rPr>
              <w:t>Customers and Suppliers</w:t>
            </w:r>
          </w:p>
        </w:tc>
        <w:tc>
          <w:tcPr>
            <w:tcW w:w="540" w:type="dxa"/>
            <w:vAlign w:val="bottom"/>
          </w:tcPr>
          <w:p>
            <w:pPr>
              <w:ind w:left="120"/>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3.20</w:t>
            </w:r>
          </w:p>
        </w:tc>
        <w:tc>
          <w:tcPr>
            <w:tcW w:w="956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540" w:type="dxa"/>
            <w:vAlign w:val="bottom"/>
          </w:tcPr>
          <w:p>
            <w:pPr>
              <w:ind w:left="120"/>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3.21</w:t>
            </w:r>
          </w:p>
        </w:tc>
        <w:tc>
          <w:tcPr>
            <w:tcW w:w="9560" w:type="dxa"/>
            <w:vAlign w:val="bottom"/>
          </w:tcPr>
          <w:p>
            <w:pPr>
              <w:ind w:left="320"/>
              <w:spacing w:after="0"/>
              <w:rPr>
                <w:sz w:val="20"/>
                <w:szCs w:val="20"/>
                <w:color w:val="auto"/>
              </w:rPr>
            </w:pPr>
            <w:r>
              <w:rPr>
                <w:rFonts w:ascii="Arial" w:cs="Arial" w:eastAsia="Arial" w:hAnsi="Arial"/>
                <w:sz w:val="18"/>
                <w:szCs w:val="18"/>
                <w:color w:val="auto"/>
              </w:rPr>
              <w:t>Company Products and Services</w:t>
            </w:r>
          </w:p>
        </w:tc>
        <w:tc>
          <w:tcPr>
            <w:tcW w:w="540" w:type="dxa"/>
            <w:vAlign w:val="bottom"/>
          </w:tcPr>
          <w:p>
            <w:pPr>
              <w:ind w:left="120"/>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3.22</w:t>
            </w:r>
          </w:p>
        </w:tc>
        <w:tc>
          <w:tcPr>
            <w:tcW w:w="956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3.23</w:t>
            </w:r>
          </w:p>
        </w:tc>
        <w:tc>
          <w:tcPr>
            <w:tcW w:w="9560" w:type="dxa"/>
            <w:vAlign w:val="bottom"/>
          </w:tcPr>
          <w:p>
            <w:pPr>
              <w:ind w:left="320"/>
              <w:spacing w:after="0"/>
              <w:rPr>
                <w:sz w:val="20"/>
                <w:szCs w:val="20"/>
                <w:color w:val="auto"/>
              </w:rPr>
            </w:pPr>
            <w:r>
              <w:rPr>
                <w:rFonts w:ascii="Arial" w:cs="Arial" w:eastAsia="Arial" w:hAnsi="Arial"/>
                <w:sz w:val="18"/>
                <w:szCs w:val="18"/>
                <w:color w:val="auto"/>
              </w:rPr>
              <w:t>Certain Business Practices</w:t>
            </w: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3.24</w:t>
            </w:r>
          </w:p>
        </w:tc>
        <w:tc>
          <w:tcPr>
            <w:tcW w:w="9560" w:type="dxa"/>
            <w:vAlign w:val="bottom"/>
          </w:tcPr>
          <w:p>
            <w:pPr>
              <w:ind w:left="320"/>
              <w:spacing w:after="0"/>
              <w:rPr>
                <w:sz w:val="20"/>
                <w:szCs w:val="20"/>
                <w:color w:val="auto"/>
              </w:rPr>
            </w:pPr>
            <w:r>
              <w:rPr>
                <w:rFonts w:ascii="Arial" w:cs="Arial" w:eastAsia="Arial" w:hAnsi="Arial"/>
                <w:sz w:val="18"/>
                <w:szCs w:val="18"/>
                <w:color w:val="auto"/>
              </w:rPr>
              <w:t>Full Disclosure</w:t>
            </w: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3.25</w:t>
            </w:r>
          </w:p>
        </w:tc>
        <w:tc>
          <w:tcPr>
            <w:tcW w:w="9560" w:type="dxa"/>
            <w:vAlign w:val="bottom"/>
          </w:tcPr>
          <w:p>
            <w:pPr>
              <w:ind w:left="320"/>
              <w:spacing w:after="0"/>
              <w:rPr>
                <w:sz w:val="20"/>
                <w:szCs w:val="20"/>
                <w:color w:val="auto"/>
              </w:rPr>
            </w:pPr>
            <w:r>
              <w:rPr>
                <w:rFonts w:ascii="Arial" w:cs="Arial" w:eastAsia="Arial" w:hAnsi="Arial"/>
                <w:sz w:val="18"/>
                <w:szCs w:val="18"/>
                <w:color w:val="auto"/>
              </w:rPr>
              <w:t>Brokers</w:t>
            </w: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3.26</w:t>
            </w:r>
          </w:p>
        </w:tc>
        <w:tc>
          <w:tcPr>
            <w:tcW w:w="9560" w:type="dxa"/>
            <w:vAlign w:val="bottom"/>
          </w:tcPr>
          <w:p>
            <w:pPr>
              <w:ind w:left="320"/>
              <w:spacing w:after="0"/>
              <w:rPr>
                <w:sz w:val="20"/>
                <w:szCs w:val="20"/>
                <w:color w:val="auto"/>
              </w:rPr>
            </w:pPr>
            <w:r>
              <w:rPr>
                <w:rFonts w:ascii="Arial" w:cs="Arial" w:eastAsia="Arial" w:hAnsi="Arial"/>
                <w:sz w:val="18"/>
                <w:szCs w:val="18"/>
                <w:color w:val="auto"/>
              </w:rPr>
              <w:t>Merger Consideration Certificate</w:t>
            </w: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3.27</w:t>
            </w:r>
          </w:p>
        </w:tc>
        <w:tc>
          <w:tcPr>
            <w:tcW w:w="9560" w:type="dxa"/>
            <w:vAlign w:val="bottom"/>
          </w:tcPr>
          <w:p>
            <w:pPr>
              <w:ind w:left="320"/>
              <w:spacing w:after="0"/>
              <w:rPr>
                <w:sz w:val="20"/>
                <w:szCs w:val="20"/>
                <w:color w:val="auto"/>
              </w:rPr>
            </w:pPr>
            <w:r>
              <w:rPr>
                <w:rFonts w:ascii="Arial" w:cs="Arial" w:eastAsia="Arial" w:hAnsi="Arial"/>
                <w:sz w:val="18"/>
                <w:szCs w:val="18"/>
                <w:color w:val="auto"/>
              </w:rPr>
              <w:t>Director and Officer Indemnification</w:t>
            </w:r>
          </w:p>
        </w:tc>
        <w:tc>
          <w:tcPr>
            <w:tcW w:w="540" w:type="dxa"/>
            <w:vAlign w:val="bottom"/>
          </w:tcPr>
          <w:p>
            <w:pPr>
              <w:ind w:left="120"/>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IV</w:t>
            </w:r>
          </w:p>
        </w:tc>
        <w:tc>
          <w:tcPr>
            <w:tcW w:w="9560" w:type="dxa"/>
            <w:vAlign w:val="bottom"/>
          </w:tcPr>
          <w:p>
            <w:pPr>
              <w:ind w:left="320"/>
              <w:spacing w:after="0"/>
              <w:rPr>
                <w:sz w:val="20"/>
                <w:szCs w:val="20"/>
                <w:color w:val="auto"/>
              </w:rPr>
            </w:pPr>
            <w:r>
              <w:rPr>
                <w:rFonts w:ascii="Arial" w:cs="Arial" w:eastAsia="Arial" w:hAnsi="Arial"/>
                <w:sz w:val="18"/>
                <w:szCs w:val="18"/>
                <w:color w:val="auto"/>
              </w:rPr>
              <w:t>REPRESENTATIONS AND WARRANTIES OF PARENT AND MERGER SUB</w:t>
            </w:r>
          </w:p>
        </w:tc>
        <w:tc>
          <w:tcPr>
            <w:tcW w:w="540" w:type="dxa"/>
            <w:vAlign w:val="bottom"/>
          </w:tcPr>
          <w:p>
            <w:pPr>
              <w:ind w:left="120"/>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4.01</w:t>
            </w:r>
          </w:p>
        </w:tc>
        <w:tc>
          <w:tcPr>
            <w:tcW w:w="9560" w:type="dxa"/>
            <w:vAlign w:val="bottom"/>
          </w:tcPr>
          <w:p>
            <w:pPr>
              <w:ind w:left="320"/>
              <w:spacing w:after="0"/>
              <w:rPr>
                <w:sz w:val="20"/>
                <w:szCs w:val="20"/>
                <w:color w:val="auto"/>
              </w:rPr>
            </w:pPr>
            <w:r>
              <w:rPr>
                <w:rFonts w:ascii="Arial" w:cs="Arial" w:eastAsia="Arial" w:hAnsi="Arial"/>
                <w:sz w:val="18"/>
                <w:szCs w:val="18"/>
                <w:color w:val="auto"/>
              </w:rPr>
              <w:t>Corporate Organization</w:t>
            </w:r>
          </w:p>
        </w:tc>
        <w:tc>
          <w:tcPr>
            <w:tcW w:w="540" w:type="dxa"/>
            <w:vAlign w:val="bottom"/>
          </w:tcPr>
          <w:p>
            <w:pPr>
              <w:ind w:left="120"/>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4.02</w:t>
            </w:r>
          </w:p>
        </w:tc>
        <w:tc>
          <w:tcPr>
            <w:tcW w:w="956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540" w:type="dxa"/>
            <w:vAlign w:val="bottom"/>
          </w:tcPr>
          <w:p>
            <w:pPr>
              <w:ind w:left="120"/>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4.03</w:t>
            </w:r>
          </w:p>
        </w:tc>
        <w:tc>
          <w:tcPr>
            <w:tcW w:w="9560" w:type="dxa"/>
            <w:vAlign w:val="bottom"/>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540" w:type="dxa"/>
            <w:vAlign w:val="bottom"/>
          </w:tcPr>
          <w:p>
            <w:pPr>
              <w:ind w:left="120"/>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4.04</w:t>
            </w:r>
          </w:p>
        </w:tc>
        <w:tc>
          <w:tcPr>
            <w:tcW w:w="9560" w:type="dxa"/>
            <w:vAlign w:val="bottom"/>
          </w:tcPr>
          <w:p>
            <w:pPr>
              <w:ind w:left="320"/>
              <w:spacing w:after="0"/>
              <w:rPr>
                <w:sz w:val="20"/>
                <w:szCs w:val="20"/>
                <w:color w:val="auto"/>
              </w:rPr>
            </w:pPr>
            <w:r>
              <w:rPr>
                <w:rFonts w:ascii="Arial" w:cs="Arial" w:eastAsia="Arial" w:hAnsi="Arial"/>
                <w:sz w:val="18"/>
                <w:szCs w:val="18"/>
                <w:color w:val="auto"/>
              </w:rPr>
              <w:t>Brokers</w:t>
            </w:r>
          </w:p>
        </w:tc>
        <w:tc>
          <w:tcPr>
            <w:tcW w:w="540" w:type="dxa"/>
            <w:vAlign w:val="bottom"/>
          </w:tcPr>
          <w:p>
            <w:pPr>
              <w:ind w:left="120"/>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V</w:t>
            </w:r>
          </w:p>
        </w:tc>
        <w:tc>
          <w:tcPr>
            <w:tcW w:w="9560" w:type="dxa"/>
            <w:vAlign w:val="bottom"/>
          </w:tcPr>
          <w:p>
            <w:pPr>
              <w:ind w:left="320"/>
              <w:spacing w:after="0"/>
              <w:rPr>
                <w:sz w:val="20"/>
                <w:szCs w:val="20"/>
                <w:color w:val="auto"/>
              </w:rPr>
            </w:pPr>
            <w:r>
              <w:rPr>
                <w:rFonts w:ascii="Arial" w:cs="Arial" w:eastAsia="Arial" w:hAnsi="Arial"/>
                <w:sz w:val="18"/>
                <w:szCs w:val="18"/>
                <w:color w:val="auto"/>
              </w:rPr>
              <w:t>ADDITIONAL AGREEMENTS</w:t>
            </w:r>
          </w:p>
        </w:tc>
        <w:tc>
          <w:tcPr>
            <w:tcW w:w="540" w:type="dxa"/>
            <w:vAlign w:val="bottom"/>
          </w:tcPr>
          <w:p>
            <w:pPr>
              <w:ind w:left="120"/>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5.01</w:t>
            </w:r>
          </w:p>
        </w:tc>
        <w:tc>
          <w:tcPr>
            <w:tcW w:w="9560" w:type="dxa"/>
            <w:vAlign w:val="bottom"/>
          </w:tcPr>
          <w:p>
            <w:pPr>
              <w:ind w:left="320"/>
              <w:spacing w:after="0"/>
              <w:rPr>
                <w:sz w:val="20"/>
                <w:szCs w:val="20"/>
                <w:color w:val="auto"/>
              </w:rPr>
            </w:pPr>
            <w:r>
              <w:rPr>
                <w:rFonts w:ascii="Arial" w:cs="Arial" w:eastAsia="Arial" w:hAnsi="Arial"/>
                <w:sz w:val="18"/>
                <w:szCs w:val="18"/>
                <w:color w:val="auto"/>
              </w:rPr>
              <w:t>Stockholders’ Meeting or Written Consent and Approval of the Company Stockholder</w:t>
            </w:r>
          </w:p>
        </w:tc>
        <w:tc>
          <w:tcPr>
            <w:tcW w:w="540" w:type="dxa"/>
            <w:vAlign w:val="bottom"/>
          </w:tcPr>
          <w:p>
            <w:pPr>
              <w:ind w:left="120"/>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5.02</w:t>
            </w:r>
          </w:p>
        </w:tc>
        <w:tc>
          <w:tcPr>
            <w:tcW w:w="9560" w:type="dxa"/>
            <w:vAlign w:val="bottom"/>
          </w:tcPr>
          <w:p>
            <w:pPr>
              <w:ind w:left="320"/>
              <w:spacing w:after="0"/>
              <w:rPr>
                <w:sz w:val="20"/>
                <w:szCs w:val="20"/>
                <w:color w:val="auto"/>
              </w:rPr>
            </w:pPr>
            <w:r>
              <w:rPr>
                <w:rFonts w:ascii="Arial" w:cs="Arial" w:eastAsia="Arial" w:hAnsi="Arial"/>
                <w:sz w:val="18"/>
                <w:szCs w:val="18"/>
                <w:color w:val="auto"/>
              </w:rPr>
              <w:t>Notification of Certain Matters</w:t>
            </w:r>
          </w:p>
        </w:tc>
        <w:tc>
          <w:tcPr>
            <w:tcW w:w="540" w:type="dxa"/>
            <w:vAlign w:val="bottom"/>
          </w:tcPr>
          <w:p>
            <w:pPr>
              <w:ind w:left="120"/>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5.03</w:t>
            </w:r>
          </w:p>
        </w:tc>
        <w:tc>
          <w:tcPr>
            <w:tcW w:w="9560" w:type="dxa"/>
            <w:vAlign w:val="bottom"/>
          </w:tcPr>
          <w:p>
            <w:pPr>
              <w:ind w:left="320"/>
              <w:spacing w:after="0"/>
              <w:rPr>
                <w:sz w:val="20"/>
                <w:szCs w:val="20"/>
                <w:color w:val="auto"/>
              </w:rPr>
            </w:pPr>
            <w:r>
              <w:rPr>
                <w:rFonts w:ascii="Arial" w:cs="Arial" w:eastAsia="Arial" w:hAnsi="Arial"/>
                <w:sz w:val="18"/>
                <w:szCs w:val="18"/>
                <w:color w:val="auto"/>
              </w:rPr>
              <w:t>Further Action; Reasonable Best Efforts</w:t>
            </w:r>
          </w:p>
        </w:tc>
        <w:tc>
          <w:tcPr>
            <w:tcW w:w="54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5.04</w:t>
            </w:r>
          </w:p>
        </w:tc>
        <w:tc>
          <w:tcPr>
            <w:tcW w:w="956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54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5.05</w:t>
            </w:r>
          </w:p>
        </w:tc>
        <w:tc>
          <w:tcPr>
            <w:tcW w:w="9560" w:type="dxa"/>
            <w:vAlign w:val="bottom"/>
          </w:tcPr>
          <w:p>
            <w:pPr>
              <w:ind w:left="320"/>
              <w:spacing w:after="0"/>
              <w:rPr>
                <w:sz w:val="20"/>
                <w:szCs w:val="20"/>
                <w:color w:val="auto"/>
              </w:rPr>
            </w:pPr>
            <w:r>
              <w:rPr>
                <w:rFonts w:ascii="Arial" w:cs="Arial" w:eastAsia="Arial" w:hAnsi="Arial"/>
                <w:sz w:val="18"/>
                <w:szCs w:val="18"/>
                <w:color w:val="auto"/>
              </w:rPr>
              <w:t>FIRPTA</w:t>
            </w:r>
          </w:p>
        </w:tc>
        <w:tc>
          <w:tcPr>
            <w:tcW w:w="54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5.06</w:t>
            </w:r>
          </w:p>
        </w:tc>
        <w:tc>
          <w:tcPr>
            <w:tcW w:w="9560" w:type="dxa"/>
            <w:vAlign w:val="bottom"/>
          </w:tcPr>
          <w:p>
            <w:pPr>
              <w:ind w:left="320"/>
              <w:spacing w:after="0"/>
              <w:rPr>
                <w:sz w:val="20"/>
                <w:szCs w:val="20"/>
                <w:color w:val="auto"/>
              </w:rPr>
            </w:pPr>
            <w:r>
              <w:rPr>
                <w:rFonts w:ascii="Arial" w:cs="Arial" w:eastAsia="Arial" w:hAnsi="Arial"/>
                <w:sz w:val="18"/>
                <w:szCs w:val="18"/>
                <w:color w:val="auto"/>
              </w:rPr>
              <w:t>[Intentionally Deleted]</w:t>
            </w:r>
          </w:p>
        </w:tc>
        <w:tc>
          <w:tcPr>
            <w:tcW w:w="54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5.07</w:t>
            </w:r>
          </w:p>
        </w:tc>
        <w:tc>
          <w:tcPr>
            <w:tcW w:w="9560" w:type="dxa"/>
            <w:vAlign w:val="bottom"/>
          </w:tcPr>
          <w:p>
            <w:pPr>
              <w:ind w:left="320"/>
              <w:spacing w:after="0"/>
              <w:rPr>
                <w:sz w:val="20"/>
                <w:szCs w:val="20"/>
                <w:color w:val="auto"/>
              </w:rPr>
            </w:pPr>
            <w:r>
              <w:rPr>
                <w:rFonts w:ascii="Arial" w:cs="Arial" w:eastAsia="Arial" w:hAnsi="Arial"/>
                <w:sz w:val="18"/>
                <w:szCs w:val="18"/>
                <w:color w:val="auto"/>
              </w:rPr>
              <w:t>Certain Tax Matters</w:t>
            </w:r>
          </w:p>
        </w:tc>
        <w:tc>
          <w:tcPr>
            <w:tcW w:w="540" w:type="dxa"/>
            <w:vAlign w:val="bottom"/>
          </w:tcPr>
          <w:p>
            <w:pPr>
              <w:ind w:left="120"/>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5.08</w:t>
            </w:r>
          </w:p>
        </w:tc>
        <w:tc>
          <w:tcPr>
            <w:tcW w:w="9560" w:type="dxa"/>
            <w:vAlign w:val="bottom"/>
          </w:tcPr>
          <w:p>
            <w:pPr>
              <w:ind w:left="320"/>
              <w:spacing w:after="0"/>
              <w:rPr>
                <w:sz w:val="20"/>
                <w:szCs w:val="20"/>
                <w:color w:val="auto"/>
              </w:rPr>
            </w:pPr>
            <w:r>
              <w:rPr>
                <w:rFonts w:ascii="Arial" w:cs="Arial" w:eastAsia="Arial" w:hAnsi="Arial"/>
                <w:sz w:val="18"/>
                <w:szCs w:val="18"/>
                <w:color w:val="auto"/>
              </w:rPr>
              <w:t>Directors’ and Officers’ Indemnification</w:t>
            </w:r>
          </w:p>
        </w:tc>
        <w:tc>
          <w:tcPr>
            <w:tcW w:w="540" w:type="dxa"/>
            <w:vAlign w:val="bottom"/>
          </w:tcPr>
          <w:p>
            <w:pPr>
              <w:ind w:left="120"/>
              <w:spacing w:after="0"/>
              <w:rPr>
                <w:sz w:val="20"/>
                <w:szCs w:val="20"/>
                <w:color w:val="auto"/>
              </w:rPr>
            </w:pPr>
            <w:r>
              <w:rPr>
                <w:rFonts w:ascii="Arial" w:cs="Arial" w:eastAsia="Arial" w:hAnsi="Arial"/>
                <w:sz w:val="18"/>
                <w:szCs w:val="18"/>
                <w:color w:val="auto"/>
              </w:rPr>
              <w:t>51</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5.09</w:t>
            </w:r>
          </w:p>
        </w:tc>
        <w:tc>
          <w:tcPr>
            <w:tcW w:w="9560" w:type="dxa"/>
            <w:vAlign w:val="bottom"/>
          </w:tcPr>
          <w:p>
            <w:pPr>
              <w:ind w:left="320"/>
              <w:spacing w:after="0"/>
              <w:rPr>
                <w:sz w:val="20"/>
                <w:szCs w:val="20"/>
                <w:color w:val="auto"/>
              </w:rPr>
            </w:pPr>
            <w:r>
              <w:rPr>
                <w:rFonts w:ascii="Arial" w:cs="Arial" w:eastAsia="Arial" w:hAnsi="Arial"/>
                <w:sz w:val="18"/>
                <w:szCs w:val="18"/>
                <w:color w:val="auto"/>
              </w:rPr>
              <w:t>Conduct of Business</w:t>
            </w:r>
          </w:p>
        </w:tc>
        <w:tc>
          <w:tcPr>
            <w:tcW w:w="540" w:type="dxa"/>
            <w:vAlign w:val="bottom"/>
          </w:tcPr>
          <w:p>
            <w:pPr>
              <w:ind w:left="120"/>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5.10</w:t>
            </w:r>
          </w:p>
        </w:tc>
        <w:tc>
          <w:tcPr>
            <w:tcW w:w="9560" w:type="dxa"/>
            <w:vAlign w:val="bottom"/>
          </w:tcPr>
          <w:p>
            <w:pPr>
              <w:ind w:left="320"/>
              <w:spacing w:after="0"/>
              <w:rPr>
                <w:sz w:val="20"/>
                <w:szCs w:val="20"/>
                <w:color w:val="auto"/>
              </w:rPr>
            </w:pPr>
            <w:r>
              <w:rPr>
                <w:rFonts w:ascii="Arial" w:cs="Arial" w:eastAsia="Arial" w:hAnsi="Arial"/>
                <w:sz w:val="18"/>
                <w:szCs w:val="18"/>
                <w:color w:val="auto"/>
              </w:rPr>
              <w:t>Conversion of Austin Ventures VIII, L.P. Convertible Promissory Notes</w:t>
            </w:r>
          </w:p>
        </w:tc>
        <w:tc>
          <w:tcPr>
            <w:tcW w:w="540" w:type="dxa"/>
            <w:vAlign w:val="bottom"/>
          </w:tcPr>
          <w:p>
            <w:pPr>
              <w:ind w:left="120"/>
              <w:spacing w:after="0"/>
              <w:rPr>
                <w:sz w:val="20"/>
                <w:szCs w:val="20"/>
                <w:color w:val="auto"/>
              </w:rPr>
            </w:pPr>
            <w:r>
              <w:rPr>
                <w:rFonts w:ascii="Arial" w:cs="Arial" w:eastAsia="Arial" w:hAnsi="Arial"/>
                <w:sz w:val="18"/>
                <w:szCs w:val="18"/>
                <w:color w:val="auto"/>
              </w:rPr>
              <w:t>54</w:t>
            </w:r>
          </w:p>
        </w:tc>
      </w:tr>
      <w:tr>
        <w:trPr>
          <w:trHeight w:val="230"/>
        </w:trPr>
        <w:tc>
          <w:tcPr>
            <w:tcW w:w="1320" w:type="dxa"/>
            <w:vAlign w:val="bottom"/>
          </w:tcPr>
          <w:p>
            <w:pPr>
              <w:jc w:val="right"/>
              <w:ind w:right="710"/>
              <w:spacing w:after="0"/>
              <w:rPr>
                <w:sz w:val="20"/>
                <w:szCs w:val="20"/>
                <w:color w:val="auto"/>
              </w:rPr>
            </w:pPr>
            <w:r>
              <w:rPr>
                <w:rFonts w:ascii="Arial" w:cs="Arial" w:eastAsia="Arial" w:hAnsi="Arial"/>
                <w:sz w:val="18"/>
                <w:szCs w:val="18"/>
                <w:color w:val="auto"/>
              </w:rPr>
              <w:t>5.11</w:t>
            </w:r>
          </w:p>
        </w:tc>
        <w:tc>
          <w:tcPr>
            <w:tcW w:w="9560" w:type="dxa"/>
            <w:vAlign w:val="bottom"/>
          </w:tcPr>
          <w:p>
            <w:pPr>
              <w:ind w:left="320"/>
              <w:spacing w:after="0"/>
              <w:rPr>
                <w:sz w:val="20"/>
                <w:szCs w:val="20"/>
                <w:color w:val="auto"/>
              </w:rPr>
            </w:pPr>
            <w:r>
              <w:rPr>
                <w:rFonts w:ascii="Arial" w:cs="Arial" w:eastAsia="Arial" w:hAnsi="Arial"/>
                <w:sz w:val="18"/>
                <w:szCs w:val="18"/>
                <w:color w:val="auto"/>
              </w:rPr>
              <w:t>Dissolution of NetStreams International, Inc .</w:t>
            </w:r>
          </w:p>
        </w:tc>
        <w:tc>
          <w:tcPr>
            <w:tcW w:w="540" w:type="dxa"/>
            <w:vAlign w:val="bottom"/>
          </w:tcPr>
          <w:p>
            <w:pPr>
              <w:ind w:left="12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950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9"/>
                <w:szCs w:val="19"/>
                <w:color w:val="auto"/>
              </w:rPr>
            </w:pPr>
          </w:p>
        </w:tc>
      </w:tr>
      <w:tr>
        <w:trPr>
          <w:trHeight w:val="230"/>
        </w:trPr>
        <w:tc>
          <w:tcPr>
            <w:tcW w:w="1380" w:type="dxa"/>
            <w:vAlign w:val="bottom"/>
          </w:tcPr>
          <w:p>
            <w:pPr>
              <w:spacing w:after="0"/>
              <w:rPr>
                <w:sz w:val="20"/>
                <w:szCs w:val="20"/>
                <w:color w:val="auto"/>
              </w:rPr>
            </w:pPr>
          </w:p>
        </w:tc>
        <w:tc>
          <w:tcPr>
            <w:tcW w:w="9500" w:type="dxa"/>
            <w:vAlign w:val="bottom"/>
          </w:tcPr>
          <w:p>
            <w:pPr>
              <w:ind w:left="3920"/>
              <w:spacing w:after="0"/>
              <w:rPr>
                <w:sz w:val="20"/>
                <w:szCs w:val="20"/>
                <w:color w:val="auto"/>
              </w:rPr>
            </w:pPr>
            <w:r>
              <w:rPr>
                <w:rFonts w:ascii="Arial" w:cs="Arial" w:eastAsia="Arial" w:hAnsi="Arial"/>
                <w:sz w:val="18"/>
                <w:szCs w:val="18"/>
                <w:color w:val="auto"/>
              </w:rPr>
              <w:t>(continued)</w:t>
            </w:r>
          </w:p>
        </w:tc>
        <w:tc>
          <w:tcPr>
            <w:tcW w:w="540" w:type="dxa"/>
            <w:vAlign w:val="bottom"/>
          </w:tcPr>
          <w:p>
            <w:pPr>
              <w:spacing w:after="0"/>
              <w:rPr>
                <w:sz w:val="20"/>
                <w:szCs w:val="20"/>
                <w:color w:val="auto"/>
              </w:rPr>
            </w:pPr>
          </w:p>
        </w:tc>
      </w:tr>
      <w:tr>
        <w:trPr>
          <w:trHeight w:val="365"/>
        </w:trPr>
        <w:tc>
          <w:tcPr>
            <w:tcW w:w="13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411"/>
        </w:trPr>
        <w:tc>
          <w:tcPr>
            <w:tcW w:w="1380" w:type="dxa"/>
            <w:vAlign w:val="bottom"/>
          </w:tcPr>
          <w:p>
            <w:pPr>
              <w:spacing w:after="0"/>
              <w:rPr>
                <w:sz w:val="20"/>
                <w:szCs w:val="20"/>
                <w:color w:val="auto"/>
              </w:rPr>
            </w:pPr>
            <w:r>
              <w:rPr>
                <w:rFonts w:ascii="Arial" w:cs="Arial" w:eastAsia="Arial" w:hAnsi="Arial"/>
                <w:sz w:val="18"/>
                <w:szCs w:val="18"/>
                <w:color w:val="auto"/>
              </w:rPr>
              <w:t>ARTICLE VI</w:t>
            </w:r>
          </w:p>
        </w:tc>
        <w:tc>
          <w:tcPr>
            <w:tcW w:w="9500" w:type="dxa"/>
            <w:vAlign w:val="bottom"/>
          </w:tcPr>
          <w:p>
            <w:pPr>
              <w:ind w:left="260"/>
              <w:spacing w:after="0"/>
              <w:rPr>
                <w:sz w:val="20"/>
                <w:szCs w:val="20"/>
                <w:color w:val="auto"/>
              </w:rPr>
            </w:pPr>
            <w:r>
              <w:rPr>
                <w:rFonts w:ascii="Arial" w:cs="Arial" w:eastAsia="Arial" w:hAnsi="Arial"/>
                <w:sz w:val="18"/>
                <w:szCs w:val="18"/>
                <w:color w:val="auto"/>
              </w:rPr>
              <w:t>CONDITIONS TO THE MERGER</w:t>
            </w:r>
          </w:p>
        </w:tc>
        <w:tc>
          <w:tcPr>
            <w:tcW w:w="540" w:type="dxa"/>
            <w:vAlign w:val="bottom"/>
          </w:tcPr>
          <w:p>
            <w:pPr>
              <w:ind w:left="120"/>
              <w:spacing w:after="0"/>
              <w:rPr>
                <w:sz w:val="20"/>
                <w:szCs w:val="20"/>
                <w:color w:val="auto"/>
              </w:rPr>
            </w:pPr>
            <w:r>
              <w:rPr>
                <w:rFonts w:ascii="Arial" w:cs="Arial" w:eastAsia="Arial" w:hAnsi="Arial"/>
                <w:sz w:val="18"/>
                <w:szCs w:val="18"/>
                <w:color w:val="auto"/>
              </w:rPr>
              <w:t>54</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6.01</w:t>
            </w:r>
          </w:p>
        </w:tc>
        <w:tc>
          <w:tcPr>
            <w:tcW w:w="9500" w:type="dxa"/>
            <w:vAlign w:val="bottom"/>
          </w:tcPr>
          <w:p>
            <w:pPr>
              <w:ind w:left="260"/>
              <w:spacing w:after="0"/>
              <w:rPr>
                <w:sz w:val="20"/>
                <w:szCs w:val="20"/>
                <w:color w:val="auto"/>
              </w:rPr>
            </w:pPr>
            <w:r>
              <w:rPr>
                <w:rFonts w:ascii="Arial" w:cs="Arial" w:eastAsia="Arial" w:hAnsi="Arial"/>
                <w:sz w:val="18"/>
                <w:szCs w:val="18"/>
                <w:color w:val="auto"/>
              </w:rPr>
              <w:t>Conditions to the Merger</w:t>
            </w:r>
          </w:p>
        </w:tc>
        <w:tc>
          <w:tcPr>
            <w:tcW w:w="540" w:type="dxa"/>
            <w:vAlign w:val="bottom"/>
          </w:tcPr>
          <w:p>
            <w:pPr>
              <w:ind w:left="120"/>
              <w:spacing w:after="0"/>
              <w:rPr>
                <w:sz w:val="20"/>
                <w:szCs w:val="20"/>
                <w:color w:val="auto"/>
              </w:rPr>
            </w:pPr>
            <w:r>
              <w:rPr>
                <w:rFonts w:ascii="Arial" w:cs="Arial" w:eastAsia="Arial" w:hAnsi="Arial"/>
                <w:sz w:val="18"/>
                <w:szCs w:val="18"/>
                <w:color w:val="auto"/>
              </w:rPr>
              <w:t>54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VII</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 MATTERS</w:t>
            </w:r>
          </w:p>
        </w:tc>
        <w:tc>
          <w:tcPr>
            <w:tcW w:w="540" w:type="dxa"/>
            <w:vAlign w:val="bottom"/>
          </w:tcPr>
          <w:p>
            <w:pPr>
              <w:ind w:left="120"/>
              <w:spacing w:after="0"/>
              <w:rPr>
                <w:sz w:val="20"/>
                <w:szCs w:val="20"/>
                <w:color w:val="auto"/>
              </w:rPr>
            </w:pPr>
            <w:r>
              <w:rPr>
                <w:rFonts w:ascii="Arial" w:cs="Arial" w:eastAsia="Arial" w:hAnsi="Arial"/>
                <w:sz w:val="18"/>
                <w:szCs w:val="18"/>
                <w:color w:val="auto"/>
              </w:rPr>
              <w:t>59</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7.01</w:t>
            </w:r>
          </w:p>
        </w:tc>
        <w:tc>
          <w:tcPr>
            <w:tcW w:w="9500" w:type="dxa"/>
            <w:vAlign w:val="bottom"/>
          </w:tcPr>
          <w:p>
            <w:pPr>
              <w:ind w:left="260"/>
              <w:spacing w:after="0"/>
              <w:rPr>
                <w:sz w:val="20"/>
                <w:szCs w:val="20"/>
                <w:color w:val="auto"/>
              </w:rPr>
            </w:pPr>
            <w:r>
              <w:rPr>
                <w:rFonts w:ascii="Arial" w:cs="Arial" w:eastAsia="Arial" w:hAnsi="Arial"/>
                <w:sz w:val="18"/>
                <w:szCs w:val="18"/>
                <w:color w:val="auto"/>
              </w:rPr>
              <w:t>The Closing</w:t>
            </w:r>
          </w:p>
        </w:tc>
        <w:tc>
          <w:tcPr>
            <w:tcW w:w="540" w:type="dxa"/>
            <w:vAlign w:val="bottom"/>
          </w:tcPr>
          <w:p>
            <w:pPr>
              <w:ind w:left="120"/>
              <w:spacing w:after="0"/>
              <w:rPr>
                <w:sz w:val="20"/>
                <w:szCs w:val="20"/>
                <w:color w:val="auto"/>
              </w:rPr>
            </w:pPr>
            <w:r>
              <w:rPr>
                <w:rFonts w:ascii="Arial" w:cs="Arial" w:eastAsia="Arial" w:hAnsi="Arial"/>
                <w:sz w:val="18"/>
                <w:szCs w:val="18"/>
                <w:color w:val="auto"/>
              </w:rPr>
              <w:t>59</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7.02</w:t>
            </w:r>
          </w:p>
        </w:tc>
        <w:tc>
          <w:tcPr>
            <w:tcW w:w="9500" w:type="dxa"/>
            <w:vAlign w:val="bottom"/>
          </w:tcPr>
          <w:p>
            <w:pPr>
              <w:ind w:left="260"/>
              <w:spacing w:after="0"/>
              <w:rPr>
                <w:sz w:val="20"/>
                <w:szCs w:val="20"/>
                <w:color w:val="auto"/>
              </w:rPr>
            </w:pPr>
            <w:r>
              <w:rPr>
                <w:rFonts w:ascii="Arial" w:cs="Arial" w:eastAsia="Arial" w:hAnsi="Arial"/>
                <w:sz w:val="18"/>
                <w:szCs w:val="18"/>
                <w:color w:val="auto"/>
              </w:rPr>
              <w:t>Exchange</w:t>
            </w:r>
          </w:p>
        </w:tc>
        <w:tc>
          <w:tcPr>
            <w:tcW w:w="540" w:type="dxa"/>
            <w:vAlign w:val="bottom"/>
          </w:tcPr>
          <w:p>
            <w:pPr>
              <w:ind w:left="120"/>
              <w:spacing w:after="0"/>
              <w:rPr>
                <w:sz w:val="20"/>
                <w:szCs w:val="20"/>
                <w:color w:val="auto"/>
              </w:rPr>
            </w:pPr>
            <w:r>
              <w:rPr>
                <w:rFonts w:ascii="Arial" w:cs="Arial" w:eastAsia="Arial" w:hAnsi="Arial"/>
                <w:sz w:val="18"/>
                <w:szCs w:val="18"/>
                <w:color w:val="auto"/>
              </w:rPr>
              <w:t>59</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7.03</w:t>
            </w:r>
          </w:p>
        </w:tc>
        <w:tc>
          <w:tcPr>
            <w:tcW w:w="9500" w:type="dxa"/>
            <w:vAlign w:val="bottom"/>
          </w:tcPr>
          <w:p>
            <w:pPr>
              <w:ind w:left="260"/>
              <w:spacing w:after="0"/>
              <w:rPr>
                <w:sz w:val="20"/>
                <w:szCs w:val="20"/>
                <w:color w:val="auto"/>
              </w:rPr>
            </w:pPr>
            <w:r>
              <w:rPr>
                <w:rFonts w:ascii="Arial" w:cs="Arial" w:eastAsia="Arial" w:hAnsi="Arial"/>
                <w:sz w:val="18"/>
                <w:szCs w:val="18"/>
                <w:color w:val="auto"/>
              </w:rPr>
              <w:t>Dissenting Shares</w:t>
            </w:r>
          </w:p>
        </w:tc>
        <w:tc>
          <w:tcPr>
            <w:tcW w:w="540" w:type="dxa"/>
            <w:vAlign w:val="bottom"/>
          </w:tcPr>
          <w:p>
            <w:pPr>
              <w:ind w:left="120"/>
              <w:spacing w:after="0"/>
              <w:rPr>
                <w:sz w:val="20"/>
                <w:szCs w:val="20"/>
                <w:color w:val="auto"/>
              </w:rPr>
            </w:pPr>
            <w:r>
              <w:rPr>
                <w:rFonts w:ascii="Arial" w:cs="Arial" w:eastAsia="Arial" w:hAnsi="Arial"/>
                <w:sz w:val="18"/>
                <w:szCs w:val="18"/>
                <w:color w:val="auto"/>
              </w:rPr>
              <w:t>60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VIII</w:t>
            </w:r>
          </w:p>
        </w:tc>
        <w:tc>
          <w:tcPr>
            <w:tcW w:w="9500" w:type="dxa"/>
            <w:vAlign w:val="bottom"/>
          </w:tcPr>
          <w:p>
            <w:pPr>
              <w:ind w:left="260"/>
              <w:spacing w:after="0"/>
              <w:rPr>
                <w:sz w:val="20"/>
                <w:szCs w:val="20"/>
                <w:color w:val="auto"/>
              </w:rPr>
            </w:pPr>
            <w:r>
              <w:rPr>
                <w:rFonts w:ascii="Arial" w:cs="Arial" w:eastAsia="Arial" w:hAnsi="Arial"/>
                <w:sz w:val="18"/>
                <w:szCs w:val="18"/>
                <w:color w:val="auto"/>
              </w:rPr>
              <w:t>TERMINATION, AMENDMENT AND WAIVER, SURVIVAL OF REPRESENTATIONS, INDEMNIFICATION AND</w:t>
            </w:r>
          </w:p>
        </w:tc>
        <w:tc>
          <w:tcPr>
            <w:tcW w:w="5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rPr>
              <w:t>REMEDIES, AND CONTINUING COVENANTS</w:t>
            </w:r>
          </w:p>
        </w:tc>
        <w:tc>
          <w:tcPr>
            <w:tcW w:w="540" w:type="dxa"/>
            <w:vAlign w:val="bottom"/>
          </w:tcPr>
          <w:p>
            <w:pPr>
              <w:ind w:left="120"/>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8.01</w:t>
            </w:r>
          </w:p>
        </w:tc>
        <w:tc>
          <w:tcPr>
            <w:tcW w:w="9500" w:type="dxa"/>
            <w:vAlign w:val="bottom"/>
          </w:tcPr>
          <w:p>
            <w:pPr>
              <w:ind w:left="260"/>
              <w:spacing w:after="0"/>
              <w:rPr>
                <w:sz w:val="20"/>
                <w:szCs w:val="20"/>
                <w:color w:val="auto"/>
              </w:rPr>
            </w:pPr>
            <w:r>
              <w:rPr>
                <w:rFonts w:ascii="Arial" w:cs="Arial" w:eastAsia="Arial" w:hAnsi="Arial"/>
                <w:sz w:val="18"/>
                <w:szCs w:val="18"/>
                <w:color w:val="auto"/>
              </w:rPr>
              <w:t>Termination by Mutual Consent</w:t>
            </w:r>
          </w:p>
        </w:tc>
        <w:tc>
          <w:tcPr>
            <w:tcW w:w="540" w:type="dxa"/>
            <w:vAlign w:val="bottom"/>
          </w:tcPr>
          <w:p>
            <w:pPr>
              <w:ind w:left="120"/>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8.02</w:t>
            </w:r>
          </w:p>
        </w:tc>
        <w:tc>
          <w:tcPr>
            <w:tcW w:w="9500" w:type="dxa"/>
            <w:vAlign w:val="bottom"/>
          </w:tcPr>
          <w:p>
            <w:pPr>
              <w:ind w:left="260"/>
              <w:spacing w:after="0"/>
              <w:rPr>
                <w:sz w:val="20"/>
                <w:szCs w:val="20"/>
                <w:color w:val="auto"/>
              </w:rPr>
            </w:pPr>
            <w:r>
              <w:rPr>
                <w:rFonts w:ascii="Arial" w:cs="Arial" w:eastAsia="Arial" w:hAnsi="Arial"/>
                <w:sz w:val="18"/>
                <w:szCs w:val="18"/>
                <w:color w:val="auto"/>
              </w:rPr>
              <w:t>Unilateral Termination</w:t>
            </w:r>
          </w:p>
        </w:tc>
        <w:tc>
          <w:tcPr>
            <w:tcW w:w="540" w:type="dxa"/>
            <w:vAlign w:val="bottom"/>
          </w:tcPr>
          <w:p>
            <w:pPr>
              <w:ind w:left="120"/>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8.03</w:t>
            </w:r>
          </w:p>
        </w:tc>
        <w:tc>
          <w:tcPr>
            <w:tcW w:w="950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540" w:type="dxa"/>
            <w:vAlign w:val="bottom"/>
          </w:tcPr>
          <w:p>
            <w:pPr>
              <w:ind w:left="120"/>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8.04</w:t>
            </w:r>
          </w:p>
        </w:tc>
        <w:tc>
          <w:tcPr>
            <w:tcW w:w="9500" w:type="dxa"/>
            <w:vAlign w:val="bottom"/>
          </w:tcPr>
          <w:p>
            <w:pPr>
              <w:ind w:left="260"/>
              <w:spacing w:after="0"/>
              <w:rPr>
                <w:sz w:val="20"/>
                <w:szCs w:val="20"/>
                <w:color w:val="auto"/>
              </w:rPr>
            </w:pPr>
            <w:r>
              <w:rPr>
                <w:rFonts w:ascii="Arial" w:cs="Arial" w:eastAsia="Arial" w:hAnsi="Arial"/>
                <w:sz w:val="18"/>
                <w:szCs w:val="18"/>
                <w:color w:val="auto"/>
              </w:rPr>
              <w:t>Amendment</w:t>
            </w:r>
          </w:p>
        </w:tc>
        <w:tc>
          <w:tcPr>
            <w:tcW w:w="540" w:type="dxa"/>
            <w:vAlign w:val="bottom"/>
          </w:tcPr>
          <w:p>
            <w:pPr>
              <w:ind w:left="120"/>
              <w:spacing w:after="0"/>
              <w:rPr>
                <w:sz w:val="20"/>
                <w:szCs w:val="20"/>
                <w:color w:val="auto"/>
              </w:rPr>
            </w:pPr>
            <w:r>
              <w:rPr>
                <w:rFonts w:ascii="Arial" w:cs="Arial" w:eastAsia="Arial" w:hAnsi="Arial"/>
                <w:sz w:val="18"/>
                <w:szCs w:val="18"/>
                <w:color w:val="auto"/>
              </w:rPr>
              <w:t>61</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8.05</w:t>
            </w:r>
          </w:p>
        </w:tc>
        <w:tc>
          <w:tcPr>
            <w:tcW w:w="9500" w:type="dxa"/>
            <w:vAlign w:val="bottom"/>
          </w:tcPr>
          <w:p>
            <w:pPr>
              <w:ind w:left="260"/>
              <w:spacing w:after="0"/>
              <w:rPr>
                <w:sz w:val="20"/>
                <w:szCs w:val="20"/>
                <w:color w:val="auto"/>
              </w:rPr>
            </w:pPr>
            <w:r>
              <w:rPr>
                <w:rFonts w:ascii="Arial" w:cs="Arial" w:eastAsia="Arial" w:hAnsi="Arial"/>
                <w:sz w:val="18"/>
                <w:szCs w:val="18"/>
                <w:color w:val="auto"/>
              </w:rPr>
              <w:t>Waiver</w:t>
            </w:r>
          </w:p>
        </w:tc>
        <w:tc>
          <w:tcPr>
            <w:tcW w:w="540" w:type="dxa"/>
            <w:vAlign w:val="bottom"/>
          </w:tcPr>
          <w:p>
            <w:pPr>
              <w:ind w:left="120"/>
              <w:spacing w:after="0"/>
              <w:rPr>
                <w:sz w:val="20"/>
                <w:szCs w:val="20"/>
                <w:color w:val="auto"/>
              </w:rPr>
            </w:pPr>
            <w:r>
              <w:rPr>
                <w:rFonts w:ascii="Arial" w:cs="Arial" w:eastAsia="Arial" w:hAnsi="Arial"/>
                <w:sz w:val="18"/>
                <w:szCs w:val="18"/>
                <w:color w:val="auto"/>
              </w:rPr>
              <w:t>62</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8.06</w:t>
            </w:r>
          </w:p>
        </w:tc>
        <w:tc>
          <w:tcPr>
            <w:tcW w:w="9500" w:type="dxa"/>
            <w:vAlign w:val="bottom"/>
          </w:tcPr>
          <w:p>
            <w:pPr>
              <w:ind w:left="260"/>
              <w:spacing w:after="0"/>
              <w:rPr>
                <w:sz w:val="20"/>
                <w:szCs w:val="20"/>
                <w:color w:val="auto"/>
              </w:rPr>
            </w:pPr>
            <w:r>
              <w:rPr>
                <w:rFonts w:ascii="Arial" w:cs="Arial" w:eastAsia="Arial" w:hAnsi="Arial"/>
                <w:sz w:val="18"/>
                <w:szCs w:val="18"/>
                <w:color w:val="auto"/>
              </w:rPr>
              <w:t>Survival</w:t>
            </w:r>
          </w:p>
        </w:tc>
        <w:tc>
          <w:tcPr>
            <w:tcW w:w="540" w:type="dxa"/>
            <w:vAlign w:val="bottom"/>
          </w:tcPr>
          <w:p>
            <w:pPr>
              <w:ind w:left="120"/>
              <w:spacing w:after="0"/>
              <w:rPr>
                <w:sz w:val="20"/>
                <w:szCs w:val="20"/>
                <w:color w:val="auto"/>
              </w:rPr>
            </w:pPr>
            <w:r>
              <w:rPr>
                <w:rFonts w:ascii="Arial" w:cs="Arial" w:eastAsia="Arial" w:hAnsi="Arial"/>
                <w:sz w:val="18"/>
                <w:szCs w:val="18"/>
                <w:color w:val="auto"/>
              </w:rPr>
              <w:t>62</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8.07</w:t>
            </w:r>
          </w:p>
        </w:tc>
        <w:tc>
          <w:tcPr>
            <w:tcW w:w="9500" w:type="dxa"/>
            <w:vAlign w:val="bottom"/>
          </w:tcPr>
          <w:p>
            <w:pPr>
              <w:ind w:left="260"/>
              <w:spacing w:after="0"/>
              <w:rPr>
                <w:sz w:val="20"/>
                <w:szCs w:val="20"/>
                <w:color w:val="auto"/>
              </w:rPr>
            </w:pPr>
            <w:r>
              <w:rPr>
                <w:rFonts w:ascii="Arial" w:cs="Arial" w:eastAsia="Arial" w:hAnsi="Arial"/>
                <w:sz w:val="18"/>
                <w:szCs w:val="18"/>
                <w:color w:val="auto"/>
              </w:rPr>
              <w:t>Agreement of Company Stockholder to Indemnify Parent Indemnified Parties</w:t>
            </w:r>
          </w:p>
        </w:tc>
        <w:tc>
          <w:tcPr>
            <w:tcW w:w="540" w:type="dxa"/>
            <w:vAlign w:val="bottom"/>
          </w:tcPr>
          <w:p>
            <w:pPr>
              <w:ind w:left="120"/>
              <w:spacing w:after="0"/>
              <w:rPr>
                <w:sz w:val="20"/>
                <w:szCs w:val="20"/>
                <w:color w:val="auto"/>
              </w:rPr>
            </w:pPr>
            <w:r>
              <w:rPr>
                <w:rFonts w:ascii="Arial" w:cs="Arial" w:eastAsia="Arial" w:hAnsi="Arial"/>
                <w:sz w:val="18"/>
                <w:szCs w:val="18"/>
                <w:color w:val="auto"/>
              </w:rPr>
              <w:t>62</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8.08</w:t>
            </w:r>
          </w:p>
        </w:tc>
        <w:tc>
          <w:tcPr>
            <w:tcW w:w="9500" w:type="dxa"/>
            <w:vAlign w:val="bottom"/>
          </w:tcPr>
          <w:p>
            <w:pPr>
              <w:ind w:left="260"/>
              <w:spacing w:after="0"/>
              <w:rPr>
                <w:sz w:val="20"/>
                <w:szCs w:val="20"/>
                <w:color w:val="auto"/>
              </w:rPr>
            </w:pPr>
            <w:r>
              <w:rPr>
                <w:rFonts w:ascii="Arial" w:cs="Arial" w:eastAsia="Arial" w:hAnsi="Arial"/>
                <w:sz w:val="18"/>
                <w:szCs w:val="18"/>
                <w:color w:val="auto"/>
              </w:rPr>
              <w:t>Agreement of Parent to Indemnify Company Indemnified Parties</w:t>
            </w:r>
          </w:p>
        </w:tc>
        <w:tc>
          <w:tcPr>
            <w:tcW w:w="540" w:type="dxa"/>
            <w:vAlign w:val="bottom"/>
          </w:tcPr>
          <w:p>
            <w:pPr>
              <w:ind w:left="120"/>
              <w:spacing w:after="0"/>
              <w:rPr>
                <w:sz w:val="20"/>
                <w:szCs w:val="20"/>
                <w:color w:val="auto"/>
              </w:rPr>
            </w:pPr>
            <w:r>
              <w:rPr>
                <w:rFonts w:ascii="Arial" w:cs="Arial" w:eastAsia="Arial" w:hAnsi="Arial"/>
                <w:sz w:val="18"/>
                <w:szCs w:val="18"/>
                <w:color w:val="auto"/>
              </w:rPr>
              <w:t>63</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8.09</w:t>
            </w:r>
          </w:p>
        </w:tc>
        <w:tc>
          <w:tcPr>
            <w:tcW w:w="9500" w:type="dxa"/>
            <w:vAlign w:val="bottom"/>
          </w:tcPr>
          <w:p>
            <w:pPr>
              <w:ind w:left="260"/>
              <w:spacing w:after="0"/>
              <w:rPr>
                <w:sz w:val="20"/>
                <w:szCs w:val="20"/>
                <w:color w:val="auto"/>
              </w:rPr>
            </w:pPr>
            <w:r>
              <w:rPr>
                <w:rFonts w:ascii="Arial" w:cs="Arial" w:eastAsia="Arial" w:hAnsi="Arial"/>
                <w:sz w:val="18"/>
                <w:szCs w:val="18"/>
                <w:color w:val="auto"/>
              </w:rPr>
              <w:t>Limitations</w:t>
            </w:r>
          </w:p>
        </w:tc>
        <w:tc>
          <w:tcPr>
            <w:tcW w:w="540" w:type="dxa"/>
            <w:vAlign w:val="bottom"/>
          </w:tcPr>
          <w:p>
            <w:pPr>
              <w:ind w:left="120"/>
              <w:spacing w:after="0"/>
              <w:rPr>
                <w:sz w:val="20"/>
                <w:szCs w:val="20"/>
                <w:color w:val="auto"/>
              </w:rPr>
            </w:pPr>
            <w:r>
              <w:rPr>
                <w:rFonts w:ascii="Arial" w:cs="Arial" w:eastAsia="Arial" w:hAnsi="Arial"/>
                <w:sz w:val="18"/>
                <w:szCs w:val="18"/>
                <w:color w:val="auto"/>
              </w:rPr>
              <w:t>63</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8.10</w:t>
            </w:r>
          </w:p>
        </w:tc>
        <w:tc>
          <w:tcPr>
            <w:tcW w:w="9500" w:type="dxa"/>
            <w:vAlign w:val="bottom"/>
          </w:tcPr>
          <w:p>
            <w:pPr>
              <w:ind w:left="260"/>
              <w:spacing w:after="0"/>
              <w:rPr>
                <w:sz w:val="20"/>
                <w:szCs w:val="20"/>
                <w:color w:val="auto"/>
              </w:rPr>
            </w:pPr>
            <w:r>
              <w:rPr>
                <w:rFonts w:ascii="Arial" w:cs="Arial" w:eastAsia="Arial" w:hAnsi="Arial"/>
                <w:sz w:val="18"/>
                <w:szCs w:val="18"/>
                <w:color w:val="auto"/>
              </w:rPr>
              <w:t>Notice of Claim; Claims Period</w:t>
            </w:r>
          </w:p>
        </w:tc>
        <w:tc>
          <w:tcPr>
            <w:tcW w:w="540" w:type="dxa"/>
            <w:vAlign w:val="bottom"/>
          </w:tcPr>
          <w:p>
            <w:pPr>
              <w:ind w:left="120"/>
              <w:spacing w:after="0"/>
              <w:rPr>
                <w:sz w:val="20"/>
                <w:szCs w:val="20"/>
                <w:color w:val="auto"/>
              </w:rPr>
            </w:pPr>
            <w:r>
              <w:rPr>
                <w:rFonts w:ascii="Arial" w:cs="Arial" w:eastAsia="Arial" w:hAnsi="Arial"/>
                <w:sz w:val="18"/>
                <w:szCs w:val="18"/>
                <w:color w:val="auto"/>
              </w:rPr>
              <w:t>64</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8.11</w:t>
            </w:r>
          </w:p>
        </w:tc>
        <w:tc>
          <w:tcPr>
            <w:tcW w:w="9500" w:type="dxa"/>
            <w:vAlign w:val="bottom"/>
          </w:tcPr>
          <w:p>
            <w:pPr>
              <w:ind w:left="260"/>
              <w:spacing w:after="0"/>
              <w:rPr>
                <w:sz w:val="20"/>
                <w:szCs w:val="20"/>
                <w:color w:val="auto"/>
              </w:rPr>
            </w:pPr>
            <w:r>
              <w:rPr>
                <w:rFonts w:ascii="Arial" w:cs="Arial" w:eastAsia="Arial" w:hAnsi="Arial"/>
                <w:sz w:val="18"/>
                <w:szCs w:val="18"/>
                <w:color w:val="auto"/>
              </w:rPr>
              <w:t>Defense of Third Party Claims</w:t>
            </w:r>
          </w:p>
        </w:tc>
        <w:tc>
          <w:tcPr>
            <w:tcW w:w="540" w:type="dxa"/>
            <w:vAlign w:val="bottom"/>
          </w:tcPr>
          <w:p>
            <w:pPr>
              <w:ind w:left="120"/>
              <w:spacing w:after="0"/>
              <w:rPr>
                <w:sz w:val="20"/>
                <w:szCs w:val="20"/>
                <w:color w:val="auto"/>
              </w:rPr>
            </w:pPr>
            <w:r>
              <w:rPr>
                <w:rFonts w:ascii="Arial" w:cs="Arial" w:eastAsia="Arial" w:hAnsi="Arial"/>
                <w:sz w:val="18"/>
                <w:szCs w:val="18"/>
                <w:color w:val="auto"/>
              </w:rPr>
              <w:t>65</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8.12</w:t>
            </w:r>
          </w:p>
        </w:tc>
        <w:tc>
          <w:tcPr>
            <w:tcW w:w="9500" w:type="dxa"/>
            <w:vAlign w:val="bottom"/>
          </w:tcPr>
          <w:p>
            <w:pPr>
              <w:ind w:left="260"/>
              <w:spacing w:after="0"/>
              <w:rPr>
                <w:sz w:val="20"/>
                <w:szCs w:val="20"/>
                <w:color w:val="auto"/>
              </w:rPr>
            </w:pPr>
            <w:r>
              <w:rPr>
                <w:rFonts w:ascii="Arial" w:cs="Arial" w:eastAsia="Arial" w:hAnsi="Arial"/>
                <w:sz w:val="18"/>
                <w:szCs w:val="18"/>
                <w:color w:val="auto"/>
              </w:rPr>
              <w:t>[Intentionally Deleted]</w:t>
            </w:r>
          </w:p>
        </w:tc>
        <w:tc>
          <w:tcPr>
            <w:tcW w:w="540" w:type="dxa"/>
            <w:vAlign w:val="bottom"/>
          </w:tcPr>
          <w:p>
            <w:pPr>
              <w:ind w:left="120"/>
              <w:spacing w:after="0"/>
              <w:rPr>
                <w:sz w:val="20"/>
                <w:szCs w:val="20"/>
                <w:color w:val="auto"/>
              </w:rPr>
            </w:pPr>
            <w:r>
              <w:rPr>
                <w:rFonts w:ascii="Arial" w:cs="Arial" w:eastAsia="Arial" w:hAnsi="Arial"/>
                <w:sz w:val="18"/>
                <w:szCs w:val="18"/>
                <w:color w:val="auto"/>
              </w:rPr>
              <w:t>65</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8.13</w:t>
            </w:r>
          </w:p>
        </w:tc>
        <w:tc>
          <w:tcPr>
            <w:tcW w:w="9500" w:type="dxa"/>
            <w:vAlign w:val="bottom"/>
          </w:tcPr>
          <w:p>
            <w:pPr>
              <w:ind w:left="260"/>
              <w:spacing w:after="0"/>
              <w:rPr>
                <w:sz w:val="20"/>
                <w:szCs w:val="20"/>
                <w:color w:val="auto"/>
              </w:rPr>
            </w:pPr>
            <w:r>
              <w:rPr>
                <w:rFonts w:ascii="Arial" w:cs="Arial" w:eastAsia="Arial" w:hAnsi="Arial"/>
                <w:sz w:val="18"/>
                <w:szCs w:val="18"/>
                <w:color w:val="auto"/>
              </w:rPr>
              <w:t>Resolution of Notice of Claim</w:t>
            </w:r>
          </w:p>
        </w:tc>
        <w:tc>
          <w:tcPr>
            <w:tcW w:w="540" w:type="dxa"/>
            <w:vAlign w:val="bottom"/>
          </w:tcPr>
          <w:p>
            <w:pPr>
              <w:ind w:left="120"/>
              <w:spacing w:after="0"/>
              <w:rPr>
                <w:sz w:val="20"/>
                <w:szCs w:val="20"/>
                <w:color w:val="auto"/>
              </w:rPr>
            </w:pPr>
            <w:r>
              <w:rPr>
                <w:rFonts w:ascii="Arial" w:cs="Arial" w:eastAsia="Arial" w:hAnsi="Arial"/>
                <w:sz w:val="18"/>
                <w:szCs w:val="18"/>
                <w:color w:val="auto"/>
              </w:rPr>
              <w:t>65</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8.14</w:t>
            </w:r>
          </w:p>
        </w:tc>
        <w:tc>
          <w:tcPr>
            <w:tcW w:w="9500" w:type="dxa"/>
            <w:vAlign w:val="bottom"/>
          </w:tcPr>
          <w:p>
            <w:pPr>
              <w:ind w:left="260"/>
              <w:spacing w:after="0"/>
              <w:rPr>
                <w:sz w:val="20"/>
                <w:szCs w:val="20"/>
                <w:color w:val="auto"/>
              </w:rPr>
            </w:pPr>
            <w:r>
              <w:rPr>
                <w:rFonts w:ascii="Arial" w:cs="Arial" w:eastAsia="Arial" w:hAnsi="Arial"/>
                <w:sz w:val="18"/>
                <w:szCs w:val="18"/>
                <w:color w:val="auto"/>
              </w:rPr>
              <w:t>Release of Remaining Escrow Cash</w:t>
            </w:r>
          </w:p>
        </w:tc>
        <w:tc>
          <w:tcPr>
            <w:tcW w:w="540" w:type="dxa"/>
            <w:vAlign w:val="bottom"/>
          </w:tcPr>
          <w:p>
            <w:pPr>
              <w:ind w:left="120"/>
              <w:spacing w:after="0"/>
              <w:rPr>
                <w:sz w:val="20"/>
                <w:szCs w:val="20"/>
                <w:color w:val="auto"/>
              </w:rPr>
            </w:pPr>
            <w:r>
              <w:rPr>
                <w:rFonts w:ascii="Arial" w:cs="Arial" w:eastAsia="Arial" w:hAnsi="Arial"/>
                <w:sz w:val="18"/>
                <w:szCs w:val="18"/>
                <w:color w:val="auto"/>
              </w:rPr>
              <w:t>66</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8.15</w:t>
            </w:r>
          </w:p>
        </w:tc>
        <w:tc>
          <w:tcPr>
            <w:tcW w:w="9500" w:type="dxa"/>
            <w:vAlign w:val="bottom"/>
          </w:tcPr>
          <w:p>
            <w:pPr>
              <w:ind w:left="260"/>
              <w:spacing w:after="0"/>
              <w:rPr>
                <w:sz w:val="20"/>
                <w:szCs w:val="20"/>
                <w:color w:val="auto"/>
              </w:rPr>
            </w:pPr>
            <w:r>
              <w:rPr>
                <w:rFonts w:ascii="Arial" w:cs="Arial" w:eastAsia="Arial" w:hAnsi="Arial"/>
                <w:sz w:val="18"/>
                <w:szCs w:val="18"/>
                <w:color w:val="auto"/>
              </w:rPr>
              <w:t>Computation of Damages</w:t>
            </w:r>
          </w:p>
        </w:tc>
        <w:tc>
          <w:tcPr>
            <w:tcW w:w="540" w:type="dxa"/>
            <w:vAlign w:val="bottom"/>
          </w:tcPr>
          <w:p>
            <w:pPr>
              <w:ind w:left="120"/>
              <w:spacing w:after="0"/>
              <w:rPr>
                <w:sz w:val="20"/>
                <w:szCs w:val="20"/>
                <w:color w:val="auto"/>
              </w:rPr>
            </w:pPr>
            <w:r>
              <w:rPr>
                <w:rFonts w:ascii="Arial" w:cs="Arial" w:eastAsia="Arial" w:hAnsi="Arial"/>
                <w:sz w:val="18"/>
                <w:szCs w:val="18"/>
                <w:color w:val="auto"/>
              </w:rPr>
              <w:t>67</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8.16</w:t>
            </w:r>
          </w:p>
        </w:tc>
        <w:tc>
          <w:tcPr>
            <w:tcW w:w="9500" w:type="dxa"/>
            <w:vAlign w:val="bottom"/>
          </w:tcPr>
          <w:p>
            <w:pPr>
              <w:ind w:left="260"/>
              <w:spacing w:after="0"/>
              <w:rPr>
                <w:sz w:val="20"/>
                <w:szCs w:val="20"/>
                <w:color w:val="auto"/>
              </w:rPr>
            </w:pPr>
            <w:r>
              <w:rPr>
                <w:rFonts w:ascii="Arial" w:cs="Arial" w:eastAsia="Arial" w:hAnsi="Arial"/>
                <w:sz w:val="18"/>
                <w:szCs w:val="18"/>
                <w:color w:val="auto"/>
              </w:rPr>
              <w:t>Tax Consequences of Working Capital Adjustment, Indemnification Payments and Earnout Payments</w:t>
            </w:r>
          </w:p>
        </w:tc>
        <w:tc>
          <w:tcPr>
            <w:tcW w:w="540" w:type="dxa"/>
            <w:vAlign w:val="bottom"/>
          </w:tcPr>
          <w:p>
            <w:pPr>
              <w:ind w:left="120"/>
              <w:spacing w:after="0"/>
              <w:rPr>
                <w:sz w:val="20"/>
                <w:szCs w:val="20"/>
                <w:color w:val="auto"/>
              </w:rPr>
            </w:pPr>
            <w:r>
              <w:rPr>
                <w:rFonts w:ascii="Arial" w:cs="Arial" w:eastAsia="Arial" w:hAnsi="Arial"/>
                <w:sz w:val="18"/>
                <w:szCs w:val="18"/>
                <w:color w:val="auto"/>
              </w:rPr>
              <w:t>67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IX</w:t>
            </w:r>
          </w:p>
        </w:tc>
        <w:tc>
          <w:tcPr>
            <w:tcW w:w="9500" w:type="dxa"/>
            <w:vAlign w:val="bottom"/>
          </w:tcPr>
          <w:p>
            <w:pPr>
              <w:ind w:left="260"/>
              <w:spacing w:after="0"/>
              <w:rPr>
                <w:sz w:val="20"/>
                <w:szCs w:val="20"/>
                <w:color w:val="auto"/>
              </w:rPr>
            </w:pPr>
            <w:r>
              <w:rPr>
                <w:rFonts w:ascii="Arial" w:cs="Arial" w:eastAsia="Arial" w:hAnsi="Arial"/>
                <w:sz w:val="18"/>
                <w:szCs w:val="18"/>
                <w:color w:val="auto"/>
              </w:rPr>
              <w:t>GENERAL PROVISIONS</w:t>
            </w:r>
          </w:p>
        </w:tc>
        <w:tc>
          <w:tcPr>
            <w:tcW w:w="540" w:type="dxa"/>
            <w:vAlign w:val="bottom"/>
          </w:tcPr>
          <w:p>
            <w:pPr>
              <w:ind w:left="120"/>
              <w:spacing w:after="0"/>
              <w:rPr>
                <w:sz w:val="20"/>
                <w:szCs w:val="20"/>
                <w:color w:val="auto"/>
              </w:rPr>
            </w:pPr>
            <w:r>
              <w:rPr>
                <w:rFonts w:ascii="Arial" w:cs="Arial" w:eastAsia="Arial" w:hAnsi="Arial"/>
                <w:sz w:val="18"/>
                <w:szCs w:val="18"/>
                <w:color w:val="auto"/>
              </w:rPr>
              <w:t>67</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9.01</w:t>
            </w:r>
          </w:p>
        </w:tc>
        <w:tc>
          <w:tcPr>
            <w:tcW w:w="9500" w:type="dxa"/>
            <w:vAlign w:val="bottom"/>
          </w:tcPr>
          <w:p>
            <w:pPr>
              <w:ind w:left="260"/>
              <w:spacing w:after="0"/>
              <w:rPr>
                <w:sz w:val="20"/>
                <w:szCs w:val="20"/>
                <w:color w:val="auto"/>
              </w:rPr>
            </w:pPr>
            <w:r>
              <w:rPr>
                <w:rFonts w:ascii="Arial" w:cs="Arial" w:eastAsia="Arial" w:hAnsi="Arial"/>
                <w:sz w:val="18"/>
                <w:szCs w:val="18"/>
                <w:color w:val="auto"/>
              </w:rPr>
              <w:t>Notices</w:t>
            </w:r>
          </w:p>
        </w:tc>
        <w:tc>
          <w:tcPr>
            <w:tcW w:w="540" w:type="dxa"/>
            <w:vAlign w:val="bottom"/>
          </w:tcPr>
          <w:p>
            <w:pPr>
              <w:ind w:left="120"/>
              <w:spacing w:after="0"/>
              <w:rPr>
                <w:sz w:val="20"/>
                <w:szCs w:val="20"/>
                <w:color w:val="auto"/>
              </w:rPr>
            </w:pPr>
            <w:r>
              <w:rPr>
                <w:rFonts w:ascii="Arial" w:cs="Arial" w:eastAsia="Arial" w:hAnsi="Arial"/>
                <w:sz w:val="18"/>
                <w:szCs w:val="18"/>
                <w:color w:val="auto"/>
              </w:rPr>
              <w:t>67</w:t>
            </w:r>
          </w:p>
        </w:tc>
      </w:tr>
      <w:tr>
        <w:trPr>
          <w:trHeight w:val="216"/>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9.02</w:t>
            </w:r>
          </w:p>
        </w:tc>
        <w:tc>
          <w:tcPr>
            <w:tcW w:w="950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540" w:type="dxa"/>
            <w:vAlign w:val="bottom"/>
          </w:tcPr>
          <w:p>
            <w:pPr>
              <w:ind w:left="120"/>
              <w:spacing w:after="0"/>
              <w:rPr>
                <w:sz w:val="20"/>
                <w:szCs w:val="20"/>
                <w:color w:val="auto"/>
              </w:rPr>
            </w:pPr>
            <w:r>
              <w:rPr>
                <w:rFonts w:ascii="Arial" w:cs="Arial" w:eastAsia="Arial" w:hAnsi="Arial"/>
                <w:sz w:val="18"/>
                <w:szCs w:val="18"/>
                <w:color w:val="auto"/>
              </w:rPr>
              <w:t>69</w:t>
            </w:r>
          </w:p>
        </w:tc>
      </w:tr>
      <w:tr>
        <w:trPr>
          <w:trHeight w:val="230"/>
        </w:trPr>
        <w:tc>
          <w:tcPr>
            <w:tcW w:w="1380" w:type="dxa"/>
            <w:vAlign w:val="bottom"/>
          </w:tcPr>
          <w:p>
            <w:pPr>
              <w:jc w:val="right"/>
              <w:ind w:right="770"/>
              <w:spacing w:after="0"/>
              <w:rPr>
                <w:sz w:val="20"/>
                <w:szCs w:val="20"/>
                <w:color w:val="auto"/>
              </w:rPr>
            </w:pPr>
            <w:r>
              <w:rPr>
                <w:rFonts w:ascii="Arial" w:cs="Arial" w:eastAsia="Arial" w:hAnsi="Arial"/>
                <w:sz w:val="18"/>
                <w:szCs w:val="18"/>
                <w:color w:val="auto"/>
              </w:rPr>
              <w:t>9.03</w:t>
            </w:r>
          </w:p>
        </w:tc>
        <w:tc>
          <w:tcPr>
            <w:tcW w:w="9500" w:type="dxa"/>
            <w:vAlign w:val="bottom"/>
          </w:tcPr>
          <w:p>
            <w:pPr>
              <w:ind w:left="260"/>
              <w:spacing w:after="0"/>
              <w:rPr>
                <w:sz w:val="20"/>
                <w:szCs w:val="20"/>
                <w:color w:val="auto"/>
              </w:rPr>
            </w:pPr>
            <w:r>
              <w:rPr>
                <w:rFonts w:ascii="Arial" w:cs="Arial" w:eastAsia="Arial" w:hAnsi="Arial"/>
                <w:sz w:val="18"/>
                <w:szCs w:val="18"/>
                <w:color w:val="auto"/>
              </w:rPr>
              <w:t>Entire Agreement; Assignment</w:t>
            </w:r>
          </w:p>
        </w:tc>
        <w:tc>
          <w:tcPr>
            <w:tcW w:w="540" w:type="dxa"/>
            <w:vAlign w:val="bottom"/>
          </w:tcPr>
          <w:p>
            <w:pPr>
              <w:ind w:left="120"/>
              <w:spacing w:after="0"/>
              <w:rPr>
                <w:sz w:val="20"/>
                <w:szCs w:val="20"/>
                <w:color w:val="auto"/>
              </w:rPr>
            </w:pPr>
            <w:r>
              <w:rPr>
                <w:rFonts w:ascii="Arial" w:cs="Arial" w:eastAsia="Arial" w:hAnsi="Arial"/>
                <w:sz w:val="18"/>
                <w:szCs w:val="18"/>
                <w:color w:val="auto"/>
              </w:rPr>
              <w:t>69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ind w:right="2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411"/>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9.04</w:t>
            </w:r>
          </w:p>
        </w:tc>
        <w:tc>
          <w:tcPr>
            <w:tcW w:w="9800" w:type="dxa"/>
            <w:vAlign w:val="bottom"/>
          </w:tcPr>
          <w:p>
            <w:pPr>
              <w:ind w:left="560"/>
              <w:spacing w:after="0"/>
              <w:rPr>
                <w:sz w:val="20"/>
                <w:szCs w:val="20"/>
                <w:color w:val="auto"/>
              </w:rPr>
            </w:pPr>
            <w:r>
              <w:rPr>
                <w:rFonts w:ascii="Arial" w:cs="Arial" w:eastAsia="Arial" w:hAnsi="Arial"/>
                <w:sz w:val="18"/>
                <w:szCs w:val="18"/>
                <w:color w:val="auto"/>
              </w:rPr>
              <w:t>Parties in Interest</w:t>
            </w:r>
          </w:p>
        </w:tc>
        <w:tc>
          <w:tcPr>
            <w:tcW w:w="540" w:type="dxa"/>
            <w:vAlign w:val="bottom"/>
          </w:tcPr>
          <w:p>
            <w:pPr>
              <w:ind w:left="120"/>
              <w:spacing w:after="0"/>
              <w:rPr>
                <w:sz w:val="20"/>
                <w:szCs w:val="20"/>
                <w:color w:val="auto"/>
              </w:rPr>
            </w:pPr>
            <w:r>
              <w:rPr>
                <w:rFonts w:ascii="Arial" w:cs="Arial" w:eastAsia="Arial" w:hAnsi="Arial"/>
                <w:sz w:val="18"/>
                <w:szCs w:val="18"/>
                <w:color w:val="auto"/>
              </w:rPr>
              <w:t>69</w:t>
            </w:r>
          </w:p>
        </w:tc>
      </w:tr>
      <w:tr>
        <w:trPr>
          <w:trHeight w:val="216"/>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9.05</w:t>
            </w:r>
          </w:p>
        </w:tc>
        <w:tc>
          <w:tcPr>
            <w:tcW w:w="9800" w:type="dxa"/>
            <w:vAlign w:val="bottom"/>
          </w:tcPr>
          <w:p>
            <w:pPr>
              <w:ind w:left="560"/>
              <w:spacing w:after="0"/>
              <w:rPr>
                <w:sz w:val="20"/>
                <w:szCs w:val="20"/>
                <w:color w:val="auto"/>
              </w:rPr>
            </w:pPr>
            <w:r>
              <w:rPr>
                <w:rFonts w:ascii="Arial" w:cs="Arial" w:eastAsia="Arial" w:hAnsi="Arial"/>
                <w:sz w:val="18"/>
                <w:szCs w:val="18"/>
                <w:color w:val="auto"/>
              </w:rPr>
              <w:t>Specific Performance</w:t>
            </w:r>
          </w:p>
        </w:tc>
        <w:tc>
          <w:tcPr>
            <w:tcW w:w="540" w:type="dxa"/>
            <w:vAlign w:val="bottom"/>
          </w:tcPr>
          <w:p>
            <w:pPr>
              <w:ind w:left="120"/>
              <w:spacing w:after="0"/>
              <w:rPr>
                <w:sz w:val="20"/>
                <w:szCs w:val="20"/>
                <w:color w:val="auto"/>
              </w:rPr>
            </w:pPr>
            <w:r>
              <w:rPr>
                <w:rFonts w:ascii="Arial" w:cs="Arial" w:eastAsia="Arial" w:hAnsi="Arial"/>
                <w:sz w:val="18"/>
                <w:szCs w:val="18"/>
                <w:color w:val="auto"/>
              </w:rPr>
              <w:t>70</w:t>
            </w:r>
          </w:p>
        </w:tc>
      </w:tr>
      <w:tr>
        <w:trPr>
          <w:trHeight w:val="216"/>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9.06</w:t>
            </w:r>
          </w:p>
        </w:tc>
        <w:tc>
          <w:tcPr>
            <w:tcW w:w="9800" w:type="dxa"/>
            <w:vAlign w:val="bottom"/>
          </w:tcPr>
          <w:p>
            <w:pPr>
              <w:ind w:left="560"/>
              <w:spacing w:after="0"/>
              <w:rPr>
                <w:sz w:val="20"/>
                <w:szCs w:val="20"/>
                <w:color w:val="auto"/>
              </w:rPr>
            </w:pPr>
            <w:r>
              <w:rPr>
                <w:rFonts w:ascii="Arial" w:cs="Arial" w:eastAsia="Arial" w:hAnsi="Arial"/>
                <w:sz w:val="18"/>
                <w:szCs w:val="18"/>
                <w:color w:val="auto"/>
              </w:rPr>
              <w:t>Governing Law and Consent to Jurisdiction</w:t>
            </w:r>
          </w:p>
        </w:tc>
        <w:tc>
          <w:tcPr>
            <w:tcW w:w="540" w:type="dxa"/>
            <w:vAlign w:val="bottom"/>
          </w:tcPr>
          <w:p>
            <w:pPr>
              <w:ind w:left="120"/>
              <w:spacing w:after="0"/>
              <w:rPr>
                <w:sz w:val="20"/>
                <w:szCs w:val="20"/>
                <w:color w:val="auto"/>
              </w:rPr>
            </w:pPr>
            <w:r>
              <w:rPr>
                <w:rFonts w:ascii="Arial" w:cs="Arial" w:eastAsia="Arial" w:hAnsi="Arial"/>
                <w:sz w:val="18"/>
                <w:szCs w:val="18"/>
                <w:color w:val="auto"/>
              </w:rPr>
              <w:t>70</w:t>
            </w:r>
          </w:p>
        </w:tc>
      </w:tr>
      <w:tr>
        <w:trPr>
          <w:trHeight w:val="216"/>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9.07</w:t>
            </w:r>
          </w:p>
        </w:tc>
        <w:tc>
          <w:tcPr>
            <w:tcW w:w="9800" w:type="dxa"/>
            <w:vAlign w:val="bottom"/>
          </w:tcPr>
          <w:p>
            <w:pPr>
              <w:ind w:left="560"/>
              <w:spacing w:after="0"/>
              <w:rPr>
                <w:sz w:val="20"/>
                <w:szCs w:val="20"/>
                <w:color w:val="auto"/>
              </w:rPr>
            </w:pPr>
            <w:r>
              <w:rPr>
                <w:rFonts w:ascii="Arial" w:cs="Arial" w:eastAsia="Arial" w:hAnsi="Arial"/>
                <w:sz w:val="18"/>
                <w:szCs w:val="18"/>
                <w:color w:val="auto"/>
              </w:rPr>
              <w:t>Waiver of Jury Trial</w:t>
            </w:r>
          </w:p>
        </w:tc>
        <w:tc>
          <w:tcPr>
            <w:tcW w:w="540" w:type="dxa"/>
            <w:vAlign w:val="bottom"/>
          </w:tcPr>
          <w:p>
            <w:pPr>
              <w:ind w:left="120"/>
              <w:spacing w:after="0"/>
              <w:rPr>
                <w:sz w:val="20"/>
                <w:szCs w:val="20"/>
                <w:color w:val="auto"/>
              </w:rPr>
            </w:pPr>
            <w:r>
              <w:rPr>
                <w:rFonts w:ascii="Arial" w:cs="Arial" w:eastAsia="Arial" w:hAnsi="Arial"/>
                <w:sz w:val="18"/>
                <w:szCs w:val="18"/>
                <w:color w:val="auto"/>
              </w:rPr>
              <w:t>70</w:t>
            </w:r>
          </w:p>
        </w:tc>
      </w:tr>
      <w:tr>
        <w:trPr>
          <w:trHeight w:val="216"/>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9.08</w:t>
            </w:r>
          </w:p>
        </w:tc>
        <w:tc>
          <w:tcPr>
            <w:tcW w:w="9800" w:type="dxa"/>
            <w:vAlign w:val="bottom"/>
          </w:tcPr>
          <w:p>
            <w:pPr>
              <w:ind w:left="560"/>
              <w:spacing w:after="0"/>
              <w:rPr>
                <w:sz w:val="20"/>
                <w:szCs w:val="20"/>
                <w:color w:val="auto"/>
              </w:rPr>
            </w:pPr>
            <w:r>
              <w:rPr>
                <w:rFonts w:ascii="Arial" w:cs="Arial" w:eastAsia="Arial" w:hAnsi="Arial"/>
                <w:sz w:val="18"/>
                <w:szCs w:val="18"/>
                <w:color w:val="auto"/>
              </w:rPr>
              <w:t>Headings</w:t>
            </w:r>
          </w:p>
        </w:tc>
        <w:tc>
          <w:tcPr>
            <w:tcW w:w="540" w:type="dxa"/>
            <w:vAlign w:val="bottom"/>
          </w:tcPr>
          <w:p>
            <w:pPr>
              <w:ind w:left="120"/>
              <w:spacing w:after="0"/>
              <w:rPr>
                <w:sz w:val="20"/>
                <w:szCs w:val="20"/>
                <w:color w:val="auto"/>
              </w:rPr>
            </w:pPr>
            <w:r>
              <w:rPr>
                <w:rFonts w:ascii="Arial" w:cs="Arial" w:eastAsia="Arial" w:hAnsi="Arial"/>
                <w:sz w:val="18"/>
                <w:szCs w:val="18"/>
                <w:color w:val="auto"/>
              </w:rPr>
              <w:t>70</w:t>
            </w:r>
          </w:p>
        </w:tc>
      </w:tr>
      <w:tr>
        <w:trPr>
          <w:trHeight w:val="230"/>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9.09</w:t>
            </w:r>
          </w:p>
        </w:tc>
        <w:tc>
          <w:tcPr>
            <w:tcW w:w="9800" w:type="dxa"/>
            <w:vAlign w:val="bottom"/>
          </w:tcPr>
          <w:p>
            <w:pPr>
              <w:ind w:left="560"/>
              <w:spacing w:after="0"/>
              <w:rPr>
                <w:sz w:val="20"/>
                <w:szCs w:val="20"/>
                <w:color w:val="auto"/>
              </w:rPr>
            </w:pPr>
            <w:r>
              <w:rPr>
                <w:rFonts w:ascii="Arial" w:cs="Arial" w:eastAsia="Arial" w:hAnsi="Arial"/>
                <w:sz w:val="18"/>
                <w:szCs w:val="18"/>
                <w:color w:val="auto"/>
              </w:rPr>
              <w:t>Counterparts</w:t>
            </w:r>
          </w:p>
        </w:tc>
        <w:tc>
          <w:tcPr>
            <w:tcW w:w="540" w:type="dxa"/>
            <w:vAlign w:val="bottom"/>
          </w:tcPr>
          <w:p>
            <w:pPr>
              <w:ind w:left="120"/>
              <w:spacing w:after="0"/>
              <w:rPr>
                <w:sz w:val="20"/>
                <w:szCs w:val="20"/>
                <w:color w:val="auto"/>
              </w:rPr>
            </w:pPr>
            <w:r>
              <w:rPr>
                <w:rFonts w:ascii="Arial" w:cs="Arial" w:eastAsia="Arial" w:hAnsi="Arial"/>
                <w:sz w:val="18"/>
                <w:szCs w:val="18"/>
                <w:color w:val="auto"/>
              </w:rPr>
              <w:t>71</w:t>
            </w:r>
          </w:p>
        </w:tc>
      </w:tr>
    </w:tbl>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58" w:right="239" w:bottom="1440" w:gutter="0" w:footer="0" w:header="0"/>
        </w:sectPr>
      </w:pPr>
    </w:p>
    <w:bookmarkStart w:id="13" w:name="page14"/>
    <w:bookmarkEnd w:id="13"/>
    <w:p>
      <w:pPr>
        <w:ind w:firstLine="222"/>
        <w:spacing w:after="0" w:line="257" w:lineRule="auto"/>
        <w:rPr>
          <w:sz w:val="20"/>
          <w:szCs w:val="20"/>
          <w:color w:val="auto"/>
        </w:rPr>
      </w:pPr>
      <w:r>
        <w:rPr>
          <w:rFonts w:ascii="Arial" w:cs="Arial" w:eastAsia="Arial" w:hAnsi="Arial"/>
          <w:sz w:val="18"/>
          <w:szCs w:val="18"/>
          <w:color w:val="auto"/>
        </w:rPr>
        <w:t>This AGREEMENT AND PLAN OF MERGER is made and entered into as of November 3, 2009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ClearOne Communications, Inc., a Utah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Alta-Wasatch Acquisition Corporation, a Delaware corporation and a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NetStreams,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following parties that are each entering into this Agreement for the limited purposes set forth in Sections 2.01(g), 2.03, 2.11, 6.01(a)(v) and 6.01(b)(ix) and Articles VIII and IX: Austin Ventures VIII, L.P.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a Delaware limited partnership, and Kevin A. Reinis (“</w:t>
      </w:r>
      <w:r>
        <w:rPr>
          <w:rFonts w:ascii="Arial" w:cs="Arial" w:eastAsia="Arial" w:hAnsi="Arial"/>
          <w:sz w:val="18"/>
          <w:szCs w:val="18"/>
          <w:u w:val="single" w:color="auto"/>
          <w:color w:val="auto"/>
        </w:rPr>
        <w:t>Incentive Plan Representative</w:t>
      </w:r>
      <w:r>
        <w:rPr>
          <w:rFonts w:ascii="Arial" w:cs="Arial" w:eastAsia="Arial" w:hAnsi="Arial"/>
          <w:sz w:val="18"/>
          <w:szCs w:val="18"/>
          <w:color w:val="auto"/>
        </w:rPr>
        <w:t>”).</w:t>
      </w:r>
    </w:p>
    <w:p>
      <w:pPr>
        <w:spacing w:after="0" w:line="80"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 The parties intend that, subject to the terms and conditions hereinafter set forth, Merger Sub shall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to be the surviving corporation of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on the terms and subject to the conditions of this Agreement and pursuant to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73" w:lineRule="exact"/>
        <w:rPr>
          <w:sz w:val="20"/>
          <w:szCs w:val="20"/>
          <w:color w:val="auto"/>
        </w:rPr>
      </w:pPr>
    </w:p>
    <w:p>
      <w:pPr>
        <w:ind w:right="400" w:firstLine="225"/>
        <w:spacing w:after="0" w:line="312" w:lineRule="auto"/>
        <w:rPr>
          <w:sz w:val="20"/>
          <w:szCs w:val="20"/>
          <w:color w:val="auto"/>
        </w:rPr>
      </w:pPr>
      <w:r>
        <w:rPr>
          <w:rFonts w:ascii="Arial" w:cs="Arial" w:eastAsia="Arial" w:hAnsi="Arial"/>
          <w:sz w:val="16"/>
          <w:szCs w:val="16"/>
          <w:color w:val="auto"/>
        </w:rPr>
        <w:t>B. The Board of Directors of each of Parent and Merger Sub has determined that the Merger is in the best interests of their respective companies.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has determined that the Merger is in the best interests of the Company, and, subject to the terms and conditions of this Agreement, to recommend the approval of this Agreement and the Merger to the Company’s stockholders.</w:t>
      </w:r>
    </w:p>
    <w:p>
      <w:pPr>
        <w:spacing w:after="0" w:line="3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C. Parent, Merger Sub and the Company desire to make certain representations, warranties, covenants and agreements in connection with the Merger and to prescribe various conditions to the Merger.</w:t>
      </w:r>
    </w:p>
    <w:p>
      <w:pPr>
        <w:spacing w:after="0" w:line="62"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herein contained, and intending to be legally bound hereby, Parent, Merger Sub and the Company hereby agree as follows: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For purposes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has the meaning ascribed thereto in Section 3.09.</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who, directly or indirectly through one or more intermediaries, controls, is controlled by, or is under common control with, such specified person.</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Merger Consideration</w:t>
      </w:r>
      <w:r>
        <w:rPr>
          <w:rFonts w:ascii="Arial" w:cs="Arial" w:eastAsia="Arial" w:hAnsi="Arial"/>
          <w:sz w:val="18"/>
          <w:szCs w:val="18"/>
          <w:color w:val="auto"/>
        </w:rPr>
        <w:t>” means (A) One Million Nine Hundred and Fifty Thousand Dollars ($1,950,000) (as may be adjusted by the Closing Adjustment), minus (B) Transaction Expenses.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ascribed thereto in the Preamble.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Arbitrating Accountant</w:t>
      </w:r>
      <w:r>
        <w:rPr>
          <w:rFonts w:ascii="Arial" w:cs="Arial" w:eastAsia="Arial" w:hAnsi="Arial"/>
          <w:sz w:val="18"/>
          <w:szCs w:val="18"/>
          <w:color w:val="auto"/>
        </w:rPr>
        <w:t>” has the meaning ascribed thereto in Section 2.01(g)(v)(B).</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Austin Ventures VIII, L.P. Convertible Notes</w:t>
      </w:r>
      <w:r>
        <w:rPr>
          <w:rFonts w:ascii="Arial" w:cs="Arial" w:eastAsia="Arial" w:hAnsi="Arial"/>
          <w:sz w:val="18"/>
          <w:szCs w:val="18"/>
          <w:color w:val="auto"/>
        </w:rPr>
        <w:t>” means the convertible promissory notes in the aggregate principal amount of $3,500,000 issued by the Company to Austin Ventures VIII, L.P.</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 VIII Holdings, Inc. Convertible Promissory Note</w:t>
      </w:r>
      <w:r>
        <w:rPr>
          <w:rFonts w:ascii="Arial" w:cs="Arial" w:eastAsia="Arial" w:hAnsi="Arial"/>
          <w:sz w:val="18"/>
          <w:szCs w:val="18"/>
          <w:color w:val="auto"/>
        </w:rPr>
        <w:t>” means the convertible promissory note in the principal amount of $250,000 issued by the Company to AV VIII Holdings, Inc.</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has the meaning ascribed thereto in Section 8.09(a).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ascribed thereto in the 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Bundled Earnout Products</w:t>
      </w:r>
      <w:r>
        <w:rPr>
          <w:rFonts w:ascii="Arial" w:cs="Arial" w:eastAsia="Arial" w:hAnsi="Arial"/>
          <w:sz w:val="18"/>
          <w:szCs w:val="18"/>
          <w:color w:val="auto"/>
        </w:rPr>
        <w:t>” has the meaning ascribed thereto in Section 2.01(g)(ix).</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principal offices of the SEC in Washington, D.C. are open to accept filings, or, in the case of determining a date when any payment is due, any day (other than a Saturday or Sunday) on which banks are not required or authorized to close in the City of Salt Lake City, Utah.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“Bylaws” has the meaning ascribed thereto in Section 3.02.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“Certificate of Incorporation” has the meaning ascribed thereto in Section 3.02.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“Certificate of Merger” has the meaning ascribed thereto in Section 2.05(a).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“Charter Documents” has the meaning ascribed thereto in Section 3.02.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has the meaning ascribed thereto in Section 8.10(a).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 Period</w:t>
      </w:r>
      <w:r>
        <w:rPr>
          <w:rFonts w:ascii="Arial" w:cs="Arial" w:eastAsia="Arial" w:hAnsi="Arial"/>
          <w:sz w:val="18"/>
          <w:szCs w:val="18"/>
          <w:color w:val="auto"/>
        </w:rPr>
        <w:t>” has the meaning ascribed thereto in Section 8.10(d).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ascribed thereto in Section 7.01.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Adjustment</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Consideration</w:t>
      </w:r>
      <w:r>
        <w:rPr>
          <w:rFonts w:ascii="Arial" w:cs="Arial" w:eastAsia="Arial" w:hAnsi="Arial"/>
          <w:sz w:val="18"/>
          <w:szCs w:val="18"/>
          <w:color w:val="auto"/>
        </w:rPr>
        <w:t>” means (A) One Million Nine Hundred and Fifty Thousand Dollars ($1,950,000), adjusted upwards or downwards by the Closing Adjustment, minus (B) the sum of (1) the Transactions Expenses and (2) the Escrow Cash.</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ascribed thereto in Section 7.01.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 Statement</w:t>
      </w:r>
      <w:r>
        <w:rPr>
          <w:rFonts w:ascii="Arial" w:cs="Arial" w:eastAsia="Arial" w:hAnsi="Arial"/>
          <w:sz w:val="18"/>
          <w:szCs w:val="18"/>
          <w:color w:val="auto"/>
        </w:rPr>
        <w:t>” has the meaning ascribed thereto in Section 2.04(b)(i).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has the meaning ascribed thereto in Section 3.10(o).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ascribed thereto in Section 3.10(a).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Merger Consideration</w:t>
      </w:r>
      <w:r>
        <w:rPr>
          <w:rFonts w:ascii="Arial" w:cs="Arial" w:eastAsia="Arial" w:hAnsi="Arial"/>
          <w:sz w:val="18"/>
          <w:szCs w:val="18"/>
          <w:color w:val="auto"/>
        </w:rPr>
        <w:t>” means a dollar amount, if any, equal to (A) the Post Preference Merger Consideration less (B) the Series A Merger Consideration, divided by (C) the number of issued and outstanding shares of Company Common Stock, which dollar amount is $0, as set forth in the Merger Consideration Certificate.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ascribed to such term in the introductory paragraph of this Agreement.</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the Company Common Stock, the Company Preferred Stock, the Company Options, and any other rights to acquire capital stock of the Company from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par value $0.001 per share, of the Company.</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means the audited consolidated financial statements of the Company and its Subsidiaries for the fiscal years ended March 31, 2009 and March 31,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Officers and Directors</w:t>
      </w:r>
      <w:r>
        <w:rPr>
          <w:rFonts w:ascii="Arial" w:cs="Arial" w:eastAsia="Arial" w:hAnsi="Arial"/>
          <w:sz w:val="18"/>
          <w:szCs w:val="18"/>
          <w:color w:val="auto"/>
        </w:rPr>
        <w:t>” has the meaning ascribed thereto in Section 5.08(a).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Persons</w:t>
      </w:r>
      <w:r>
        <w:rPr>
          <w:rFonts w:ascii="Arial" w:cs="Arial" w:eastAsia="Arial" w:hAnsi="Arial"/>
          <w:sz w:val="18"/>
          <w:szCs w:val="18"/>
          <w:color w:val="auto"/>
        </w:rPr>
        <w:t>” means the Company, the Company Stockholder and the Incentive Plan Participants.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IT Systems used in or held for use in connection with the business of the Company and its Subsidiaries.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Management Incentive Plan</w:t>
      </w:r>
      <w:r>
        <w:rPr>
          <w:rFonts w:ascii="Arial" w:cs="Arial" w:eastAsia="Arial" w:hAnsi="Arial"/>
          <w:sz w:val="18"/>
          <w:szCs w:val="18"/>
          <w:color w:val="auto"/>
        </w:rPr>
        <w:t>” means the management incentive plan adopted by the Board on May 13, 2009, as amended.</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Non-Participating Preferred Stock</w:t>
      </w:r>
      <w:r>
        <w:rPr>
          <w:rFonts w:ascii="Arial" w:cs="Arial" w:eastAsia="Arial" w:hAnsi="Arial"/>
          <w:sz w:val="18"/>
          <w:szCs w:val="18"/>
          <w:color w:val="auto"/>
        </w:rPr>
        <w:t>” means the Company’s Series A Convertible Preferred Stock, Series A-1 Convertible Preferred Stock, Series A-2 Convertible Preferred Stock.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Non-Participating Stock</w:t>
      </w:r>
      <w:r>
        <w:rPr>
          <w:rFonts w:ascii="Arial" w:cs="Arial" w:eastAsia="Arial" w:hAnsi="Arial"/>
          <w:sz w:val="18"/>
          <w:szCs w:val="18"/>
          <w:color w:val="auto"/>
        </w:rPr>
        <w:t>” means the Company Common Stock and the Company Non-Participating Preferred Stock.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 Plan</w:t>
      </w:r>
      <w:r>
        <w:rPr>
          <w:rFonts w:ascii="Arial" w:cs="Arial" w:eastAsia="Arial" w:hAnsi="Arial"/>
          <w:sz w:val="18"/>
          <w:szCs w:val="18"/>
          <w:color w:val="auto"/>
        </w:rPr>
        <w:t>” has the meaning ascribed thereto in Section 3.03(b).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Optionholder</w:t>
      </w:r>
      <w:r>
        <w:rPr>
          <w:rFonts w:ascii="Arial" w:cs="Arial" w:eastAsia="Arial" w:hAnsi="Arial"/>
          <w:sz w:val="18"/>
          <w:szCs w:val="18"/>
          <w:color w:val="auto"/>
        </w:rPr>
        <w:t>” means a holder of Company Options.</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means all options and warrants to purchase or otherwise acquire shares of capital stock (or options, warrants or other rights to purchase or otherwise acquire shares of capital stock) of the Company from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Company Non-Participating Preferred Stock and the Company Series B Stock.</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Revenue</w:t>
      </w:r>
      <w:r>
        <w:rPr>
          <w:rFonts w:ascii="Arial" w:cs="Arial" w:eastAsia="Arial" w:hAnsi="Arial"/>
          <w:sz w:val="18"/>
          <w:szCs w:val="18"/>
          <w:color w:val="auto"/>
        </w:rPr>
        <w:t>” has the meaning ascribed thereto in Section 2.01(g)(vi).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Securityholders</w:t>
      </w:r>
      <w:r>
        <w:rPr>
          <w:rFonts w:ascii="Arial" w:cs="Arial" w:eastAsia="Arial" w:hAnsi="Arial"/>
          <w:sz w:val="18"/>
          <w:szCs w:val="18"/>
          <w:color w:val="auto"/>
        </w:rPr>
        <w:t>” means the Company Stockholder and the Company Optionholders collectively.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Stock</w:t>
      </w:r>
      <w:r>
        <w:rPr>
          <w:rFonts w:ascii="Arial" w:cs="Arial" w:eastAsia="Arial" w:hAnsi="Arial"/>
          <w:sz w:val="18"/>
          <w:szCs w:val="18"/>
          <w:color w:val="auto"/>
        </w:rPr>
        <w:t>” means the Series B Redeemable Preferred Stock, par value $0.001 per share,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w:t>
      </w:r>
      <w:r>
        <w:rPr>
          <w:rFonts w:ascii="Arial" w:cs="Arial" w:eastAsia="Arial" w:hAnsi="Arial"/>
          <w:sz w:val="18"/>
          <w:szCs w:val="18"/>
          <w:color w:val="auto"/>
        </w:rPr>
        <w:t>” has the meaning ascribed to such term in the introductory paragraph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Securityholder Approval</w:t>
      </w:r>
      <w:r>
        <w:rPr>
          <w:rFonts w:ascii="Arial" w:cs="Arial" w:eastAsia="Arial" w:hAnsi="Arial"/>
          <w:sz w:val="18"/>
          <w:szCs w:val="18"/>
          <w:color w:val="auto"/>
        </w:rPr>
        <w:t>” has the meaning ascribed thereto in Section 3.04.</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Unaudited Financial Statements</w:t>
      </w:r>
      <w:r>
        <w:rPr>
          <w:rFonts w:ascii="Arial" w:cs="Arial" w:eastAsia="Arial" w:hAnsi="Arial"/>
          <w:sz w:val="18"/>
          <w:szCs w:val="18"/>
          <w:color w:val="auto"/>
        </w:rPr>
        <w:t>” means the unaudited consolidated financial statements of the Company and its Subsidiaries for the fiscal period commencing April 1, 2009 and ended September 30, 2009.</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Warrants</w:t>
      </w:r>
      <w:r>
        <w:rPr>
          <w:rFonts w:ascii="Arial" w:cs="Arial" w:eastAsia="Arial" w:hAnsi="Arial"/>
          <w:sz w:val="18"/>
          <w:szCs w:val="18"/>
          <w:color w:val="auto"/>
        </w:rPr>
        <w:t>” has the meaning ascribed thereto in Section 3.03(b).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ascribed thereto in Section 3.14(g).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Contested Claim</w:t>
      </w:r>
      <w:r>
        <w:rPr>
          <w:rFonts w:ascii="Arial" w:cs="Arial" w:eastAsia="Arial" w:hAnsi="Arial"/>
          <w:sz w:val="18"/>
          <w:szCs w:val="18"/>
          <w:color w:val="auto"/>
        </w:rPr>
        <w:t>” has the meaning ascribed thereto in Section 8.13(b).</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Contamination</w:t>
      </w:r>
      <w:r>
        <w:rPr>
          <w:rFonts w:ascii="Arial" w:cs="Arial" w:eastAsia="Arial" w:hAnsi="Arial"/>
          <w:sz w:val="17"/>
          <w:szCs w:val="17"/>
          <w:color w:val="auto"/>
        </w:rPr>
        <w:t>” or “</w:t>
      </w:r>
      <w:r>
        <w:rPr>
          <w:rFonts w:ascii="Arial" w:cs="Arial" w:eastAsia="Arial" w:hAnsi="Arial"/>
          <w:sz w:val="17"/>
          <w:szCs w:val="17"/>
          <w:u w:val="single" w:color="auto"/>
          <w:color w:val="auto"/>
        </w:rPr>
        <w:t>Contaminated</w:t>
      </w:r>
      <w:r>
        <w:rPr>
          <w:rFonts w:ascii="Arial" w:cs="Arial" w:eastAsia="Arial" w:hAnsi="Arial"/>
          <w:sz w:val="17"/>
          <w:szCs w:val="17"/>
          <w:color w:val="auto"/>
        </w:rPr>
        <w:t>” means the presence (actual or reasonably suspected) of Hazardous Substances in, on or under the soil, groundwater, surface water or other environmental media or any structure or improvement, if any investigatory, remedial, removal reporting or other response action is required or legally could be required by a governmental authority under any Environmental Law with respect to such presence or suspected presence of Hazardous Substances, or if such response action otherwise is reasonable or appropriate under the circumstances.</w:t>
      </w:r>
    </w:p>
    <w:p>
      <w:pPr>
        <w:spacing w:after="0" w:line="63"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securities or by contract or otherwise.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means any and all losses, costs, damages, Liabilities and expenses (including reasonable attorneys’ fees, other professionals’ and experts’ fees, costs of investigation and court costs, but excluding incidental, special, consequential and punitive damages, other than any incidental, special, consequential and punitive damages payable by any Parent Indemnified Person to a third party), actually incurred and calculated net of actual recoveries under existing insurance policies (net of any applicable collection costs and reserves, deductibles, premium adjustments and retrospectively rated premiums) and net of actual recoveries received by a Parent Indemnified Person from a third party.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Threshold</w:t>
      </w:r>
      <w:r>
        <w:rPr>
          <w:rFonts w:ascii="Arial" w:cs="Arial" w:eastAsia="Arial" w:hAnsi="Arial"/>
          <w:sz w:val="18"/>
          <w:szCs w:val="18"/>
          <w:color w:val="auto"/>
        </w:rPr>
        <w:t>” has the meaning ascribed thereto in Section 8.09(a).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ascribed thereto in the Recitals.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has the meaning ascribed thereto in the introductory paragraph of Article 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Amounts</w:t>
      </w:r>
      <w:r>
        <w:rPr>
          <w:rFonts w:ascii="Arial" w:cs="Arial" w:eastAsia="Arial" w:hAnsi="Arial"/>
          <w:sz w:val="18"/>
          <w:szCs w:val="18"/>
          <w:color w:val="auto"/>
        </w:rPr>
        <w:t>” has the meaning ascribed thereto in Section 2.04(c)(iii).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has the meaning ascribed thereto in Section 2.08(a).</w:t>
      </w:r>
    </w:p>
    <w:p>
      <w:pPr>
        <w:spacing w:after="0" w:line="117"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 Excess Payments</w:t>
      </w:r>
      <w:r>
        <w:rPr>
          <w:rFonts w:ascii="Arial" w:cs="Arial" w:eastAsia="Arial" w:hAnsi="Arial"/>
          <w:sz w:val="16"/>
          <w:szCs w:val="16"/>
          <w:color w:val="auto"/>
        </w:rPr>
        <w:t xml:space="preserve">” means (a) any payment in respect of Dissenting Shares in excess of the amount of cash that would have been issuable pursuant to Section 2.01(d) in respect of such shares or interests had they never been Dissenting Shares, and (b) any expenses, including attorneys’ fees, incurred by Parent or the Surviving Corporation in connection with negotiating and preparing any such payment, as contemplated by Section 2.08. Dissenting Shares Excess Payments shall constitute “Damages” for purposes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without regard to the Basket.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Consideration</w:t>
      </w:r>
      <w:r>
        <w:rPr>
          <w:rFonts w:ascii="Arial" w:cs="Arial" w:eastAsia="Arial" w:hAnsi="Arial"/>
          <w:sz w:val="18"/>
          <w:szCs w:val="18"/>
          <w:color w:val="auto"/>
        </w:rPr>
        <w:t>” has the meaning ascribed thereto in Section 2.01(g)(iii).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Participants</w:t>
      </w:r>
      <w:r>
        <w:rPr>
          <w:rFonts w:ascii="Arial" w:cs="Arial" w:eastAsia="Arial" w:hAnsi="Arial"/>
          <w:sz w:val="18"/>
          <w:szCs w:val="18"/>
          <w:color w:val="auto"/>
        </w:rPr>
        <w:t>” has the meaning ascribed thereto in Section 2.01(g).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 Amount</w:t>
      </w:r>
      <w:r>
        <w:rPr>
          <w:rFonts w:ascii="Arial" w:cs="Arial" w:eastAsia="Arial" w:hAnsi="Arial"/>
          <w:sz w:val="18"/>
          <w:szCs w:val="18"/>
          <w:color w:val="auto"/>
        </w:rPr>
        <w:t>” has the meaning ascribed thereto in Section 2.01(g)(iv)(B).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has the meaning ascribed thereto in Section 2.01(g)(i).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Products</w:t>
      </w:r>
      <w:r>
        <w:rPr>
          <w:rFonts w:ascii="Arial" w:cs="Arial" w:eastAsia="Arial" w:hAnsi="Arial"/>
          <w:sz w:val="18"/>
          <w:szCs w:val="18"/>
          <w:color w:val="auto"/>
        </w:rPr>
        <w:t>” has the meaning ascribed thereto in Section 2.01(g)(vii).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Ruling</w:t>
      </w:r>
      <w:r>
        <w:rPr>
          <w:rFonts w:ascii="Arial" w:cs="Arial" w:eastAsia="Arial" w:hAnsi="Arial"/>
          <w:sz w:val="18"/>
          <w:szCs w:val="18"/>
          <w:color w:val="auto"/>
        </w:rPr>
        <w:t>” has the meaning ascribed thereto in Section 2.01(g)(v)(D).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Threshold</w:t>
      </w:r>
      <w:r>
        <w:rPr>
          <w:rFonts w:ascii="Arial" w:cs="Arial" w:eastAsia="Arial" w:hAnsi="Arial"/>
          <w:sz w:val="18"/>
          <w:szCs w:val="18"/>
          <w:color w:val="auto"/>
        </w:rPr>
        <w:t>” has the meaning ascribed thereto in Section 2.01(g).</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the time of the filing of the Certificate of Merger (or such later time as may be mutually agreed in writing by the Company and Parent and specified in the Certificate of Merger).</w:t>
      </w:r>
    </w:p>
    <w:p>
      <w:pPr>
        <w:spacing w:after="0" w:line="62"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United States federal, state, local or non United States laws, statutes, ordinances, regulations, rules, codes, orders, other requirements of law and common law relating to (i) releases or threatened releases of Hazardous Substances or materials containing Hazardous Substances;</w:t>
      </w:r>
    </w:p>
    <w:p>
      <w:pPr>
        <w:ind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or alleged exposure to Hazardous Substances; (iii) the manufacture, handling, transport, recycling, reclamation, use, treatment, storage or disposal of Hazardous Substances or materials containing Hazardous Substances; or (iv) pollution, natural resource damages or protection of the environment, health or safety.</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has the meaning ascribed thereto in Section 3.16.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has the meaning ascribed thereto in Section 3.10(a).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Company and which, together with the Company, is treated as a single employer within the meaning of Section 414(b), (c), (m) or (o) of the Code.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Agent</w:t>
      </w:r>
      <w:r>
        <w:rPr>
          <w:rFonts w:ascii="Arial" w:cs="Arial" w:eastAsia="Arial" w:hAnsi="Arial"/>
          <w:sz w:val="17"/>
          <w:szCs w:val="17"/>
          <w:color w:val="auto"/>
        </w:rPr>
        <w:t>” means U.S. Bank National Association or such other financial institution as is reasonably acceptable to Parent and the Company.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ascribed thereto in Section 2.03.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has the meaning ascribed thereto in Section 2.03.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Cash</w:t>
      </w:r>
      <w:r>
        <w:rPr>
          <w:rFonts w:ascii="Arial" w:cs="Arial" w:eastAsia="Arial" w:hAnsi="Arial"/>
          <w:sz w:val="18"/>
          <w:szCs w:val="18"/>
          <w:color w:val="auto"/>
        </w:rPr>
        <w:t>” means an amount of cash equal to Three Hundred and Fifty-Thousand Dollars ($350,000).</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Percentages</w:t>
      </w:r>
      <w:r>
        <w:rPr>
          <w:rFonts w:ascii="Arial" w:cs="Arial" w:eastAsia="Arial" w:hAnsi="Arial"/>
          <w:sz w:val="18"/>
          <w:szCs w:val="18"/>
          <w:color w:val="auto"/>
        </w:rPr>
        <w:t>” means, in the case of the Company Stockholder, eighty-five percent (85%), and in the case of the Incentive Plan Participants, those percentages set out opposite the names of the Incentive Plan Participants in the Merger Consideration Certificate.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Working Capital Statement</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ascribed thereto in Section 3.07(a).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 Exceptions</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has the meaning ascribed thereto in Section 3.05(b).</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(i) those substances defined in or regulated under the following United States federal statutes and their state and local counterparts, as each may be amended from time to time, and all regulations thereunder: the Hazardous Materials Transportation Act, the Resource Conservation and Recovery Act, the Comprehensive Environmental Response, Compensation and Liability Act, the Clean Water Act, the Safe Drinking Water Act, the Atomic Energy Act, the Federal Insecticide, Fungicide, and Rodenticide Act and the Clean Air Act; (ii) petroleum and petroleum products, including crude oil and any fractions thereof; (iii) natural gas, synthetic gas, and any mixtures thereof; and (iv) polychlorinated biphenyls, asbestos, mold and radon.</w:t>
      </w:r>
    </w:p>
    <w:p>
      <w:pPr>
        <w:spacing w:after="0" w:line="85"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Plan Participants</w:t>
      </w:r>
      <w:r>
        <w:rPr>
          <w:rFonts w:ascii="Arial" w:cs="Arial" w:eastAsia="Arial" w:hAnsi="Arial"/>
          <w:sz w:val="18"/>
          <w:szCs w:val="18"/>
          <w:color w:val="auto"/>
        </w:rPr>
        <w:t>” means those persons identified, in the Merger Consideration Certificate, as constituting the participants in the Company Management Incentive Plan.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Plan Representative</w:t>
      </w:r>
      <w:r>
        <w:rPr>
          <w:rFonts w:ascii="Arial" w:cs="Arial" w:eastAsia="Arial" w:hAnsi="Arial"/>
          <w:sz w:val="18"/>
          <w:szCs w:val="18"/>
          <w:color w:val="auto"/>
        </w:rPr>
        <w:t>” has the meaning ascribed thereto in the Preamble.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9" w:name="page20"/>
    <w:bookmarkEnd w:id="19"/>
    <w:p>
      <w:pPr>
        <w:ind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the Company: (a) indebtedness created, issued or incurred for borrowed money (whether by loan or the issuance and sale of securities), including without limitation, any interest, prepayment penalties, expenses or fees accruing thereon payable with respect thereto;</w:t>
      </w:r>
    </w:p>
    <w:p>
      <w:pPr>
        <w:ind w:right="80" w:firstLine="8"/>
        <w:spacing w:after="0" w:line="323"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indebtedness of others guaranteed by the Company; and (c) any amounts payable to the Company Shareholder; provided, however, Indebtedness shall not include obligations of the Company for capitalized leases and for accrued current liabilities incurred prior to Closing in the Ordinary Course of Business.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ascribed thereto in Section 8.10(b).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ascribed thereto in Section 8.10(b).</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means the Parent, acting on its own behalf or on behalf of another Parent Indemnified Person, or the Company Indemnified Persons, as the context requires.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has the meaning ascribed thereto in Section 2.04(c)(iii).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Integrated Earnout Products</w:t>
      </w:r>
      <w:r>
        <w:rPr>
          <w:rFonts w:ascii="Arial" w:cs="Arial" w:eastAsia="Arial" w:hAnsi="Arial"/>
          <w:sz w:val="18"/>
          <w:szCs w:val="18"/>
          <w:color w:val="auto"/>
        </w:rPr>
        <w:t>” has the meaning ascribed thereto in Section 2.01(g)(vii).</w:t>
      </w:r>
    </w:p>
    <w:p>
      <w:pPr>
        <w:spacing w:after="0" w:line="117"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collectively, all of the following worldwide legal rights, whether or not filed, perfected, registered or recorded, that may exist under the laws of any jurisdiction to and under all: (i) patents, patent applications, statutory invention registrations, patent rights, including all continuations, continuations-in-part, divisions, reissues, reexaminations or extensions thereof, whether now existing or hereafter filed, issues or acquired, and all inventions, whether or not patentable, (ii) trademarks, service marks, domain names, (including, but not limited to Internet domain names, Internet and World Wide Web URLs, and domain name registrations and pending applications therefor) trade dress, logos, trade names, corporate names, and other identifiers of source or goodwill, including registrations and applications for registration thereof, (iii) rights associated with works of authorship (including audiovisual works) including mask works and copyrights, including copyrights in Software, and registrations and applications for registration thereof, and</w:t>
      </w:r>
    </w:p>
    <w:p>
      <w:pPr>
        <w:spacing w:after="0" w:line="3" w:lineRule="exact"/>
        <w:rPr>
          <w:sz w:val="20"/>
          <w:szCs w:val="20"/>
          <w:color w:val="auto"/>
        </w:rPr>
      </w:pPr>
    </w:p>
    <w:p>
      <w:pPr>
        <w:ind w:right="100" w:firstLine="8"/>
        <w:spacing w:after="0" w:line="273"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color w:val="auto"/>
        </w:rPr>
        <w:t>rights relating to the protection of trade secrets, know-how, invention rights, and other confidential or proprietary technical, business and other information, including manufacturing and production processes and techniques, research and development information, technology, drawings, specifications, designs, plans, proposals, technical data, financial, marketing and business data, pricing and cost information, business and marketing plans, customer and supplier lists and information, and all rights in any jurisdiction to limit the use or disclosure thereof.</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 Systems</w:t>
      </w:r>
      <w:r>
        <w:rPr>
          <w:rFonts w:ascii="Arial" w:cs="Arial" w:eastAsia="Arial" w:hAnsi="Arial"/>
          <w:sz w:val="18"/>
          <w:szCs w:val="18"/>
          <w:color w:val="auto"/>
        </w:rPr>
        <w:t>” means computer systems, programs, networks, hardware, Software, databases, operating systems, Internet websites, website content and links and equipment used to process, store, maintain and operate data, information and functions.</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or the “</w:t>
      </w:r>
      <w:r>
        <w:rPr>
          <w:rFonts w:ascii="Arial" w:cs="Arial" w:eastAsia="Arial" w:hAnsi="Arial"/>
          <w:sz w:val="18"/>
          <w:szCs w:val="18"/>
          <w:u w:val="single" w:color="auto"/>
          <w:color w:val="auto"/>
        </w:rPr>
        <w:t>Company’s knowledge</w:t>
      </w:r>
      <w:r>
        <w:rPr>
          <w:rFonts w:ascii="Arial" w:cs="Arial" w:eastAsia="Arial" w:hAnsi="Arial"/>
          <w:sz w:val="18"/>
          <w:szCs w:val="18"/>
          <w:color w:val="auto"/>
        </w:rPr>
        <w:t>” means the actual knowledge of Kevin Reinis, Peter Radekevich, Michael Braithwaite or Doug Parse.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has the meaning ascribed thereto in Section 3.05(a).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Documents</w:t>
      </w:r>
      <w:r>
        <w:rPr>
          <w:rFonts w:ascii="Arial" w:cs="Arial" w:eastAsia="Arial" w:hAnsi="Arial"/>
          <w:sz w:val="18"/>
          <w:szCs w:val="18"/>
          <w:color w:val="auto"/>
        </w:rPr>
        <w:t>” has the meaning ascribed thereto in Section 3.13(b).</w:t>
      </w:r>
    </w:p>
    <w:p>
      <w:pPr>
        <w:spacing w:after="0" w:line="117"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Liability</w:t>
      </w:r>
      <w:r>
        <w:rPr>
          <w:rFonts w:ascii="Arial" w:cs="Arial" w:eastAsia="Arial" w:hAnsi="Arial"/>
          <w:sz w:val="17"/>
          <w:szCs w:val="17"/>
          <w:color w:val="auto"/>
        </w:rPr>
        <w:t>” or “</w:t>
      </w:r>
      <w:r>
        <w:rPr>
          <w:rFonts w:ascii="Arial" w:cs="Arial" w:eastAsia="Arial" w:hAnsi="Arial"/>
          <w:sz w:val="17"/>
          <w:szCs w:val="17"/>
          <w:u w:val="single" w:color="auto"/>
          <w:color w:val="auto"/>
        </w:rPr>
        <w:t>Liabilities</w:t>
      </w:r>
      <w:r>
        <w:rPr>
          <w:rFonts w:ascii="Arial" w:cs="Arial" w:eastAsia="Arial" w:hAnsi="Arial"/>
          <w:sz w:val="17"/>
          <w:szCs w:val="17"/>
          <w:color w:val="auto"/>
        </w:rPr>
        <w:t>” means any debt, liability and obligation, whether accrued or fixed, absolute or contingent, matured or unmatured, determined or determinable, known or unknown, including those arising under any law, action or government order and those arising under any contract.</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Intellectual Property licensed to the Company or any of its Subsidiaries pursuant to the Licenses.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all licenses, sublicenses and other contracts pursuant to which the Company or any of its Subsidiaries acquired or is authorized to use or exercise any third party Intellectual Property.</w:t>
      </w:r>
    </w:p>
    <w:p>
      <w:pPr>
        <w:spacing w:after="0" w:line="62"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when used in connection with the Company, any event, circumstance, change or effect that, individually or in the aggregate with any other events, circumstances, changes and effects occurring after the date hereof, is or would reasonably be expected to be materially adverse to (i) the business, condition (financial or otherwise), assets, liabilities or results of operations of the Company and its Subsidiaries taken as a whole,</w:t>
      </w:r>
    </w:p>
    <w:p>
      <w:pPr>
        <w:ind w:right="40" w:firstLine="8"/>
        <w:spacing w:after="0" w:line="254"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consummate the Merger, except to the extent that such effect is caused by, or results from changes in general economic conditions or changes affecting the industry in which the Company operates generally (provided that such changes do not affect the Company and its Subsidiaries in a substantially disproportionate manner), (3) the taking of any action required by this Agreement; and (4) any breach of this Agreement by the Parent.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has the meaning ascribed thereto in Section 3.18(a).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ascribed thereto in the Recitals.</w:t>
      </w:r>
    </w:p>
    <w:p>
      <w:pPr>
        <w:spacing w:after="0" w:line="117"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means the aggregate of the dollar amounts specified in (A) in Section 2.01(b) with respect to the AV VIII Holdings, Inc. Convertible Promissory Note, (B) Section 2.01(c) with respect to the Company Management Incentive Plan, and (C) subparagraphs (i) (which, for clarity, is $0) and (ii) of Section 2.01(d), with respect to the Company Non-Participating Preferred Stock and the Company Series B Stock, respectively.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 Certificate</w:t>
      </w:r>
      <w:r>
        <w:rPr>
          <w:rFonts w:ascii="Arial" w:cs="Arial" w:eastAsia="Arial" w:hAnsi="Arial"/>
          <w:sz w:val="18"/>
          <w:szCs w:val="18"/>
          <w:color w:val="auto"/>
        </w:rPr>
        <w:t>” has the meaning ascribed thereto in Section 2.01(d)(i).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ascribed thereto in the Preamble.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Common Stock</w:t>
      </w:r>
      <w:r>
        <w:rPr>
          <w:rFonts w:ascii="Arial" w:cs="Arial" w:eastAsia="Arial" w:hAnsi="Arial"/>
          <w:sz w:val="18"/>
          <w:szCs w:val="18"/>
          <w:color w:val="auto"/>
        </w:rPr>
        <w:t>” means the Common Stock, par value $0.001 per share, of Merger Sub.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Payoff Amount</w:t>
      </w:r>
      <w:r>
        <w:rPr>
          <w:rFonts w:ascii="Arial" w:cs="Arial" w:eastAsia="Arial" w:hAnsi="Arial"/>
          <w:sz w:val="18"/>
          <w:szCs w:val="18"/>
          <w:color w:val="auto"/>
        </w:rPr>
        <w:t>” has the meaning ascribed thereto in Section 2.01(b).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Claim</w:t>
      </w:r>
      <w:r>
        <w:rPr>
          <w:rFonts w:ascii="Arial" w:cs="Arial" w:eastAsia="Arial" w:hAnsi="Arial"/>
          <w:sz w:val="18"/>
          <w:szCs w:val="18"/>
          <w:color w:val="auto"/>
        </w:rPr>
        <w:t>” has the meaning ascribed thereto in Section 8.10(b).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Notification Deadline</w:t>
      </w:r>
      <w:r>
        <w:rPr>
          <w:rFonts w:ascii="Arial" w:cs="Arial" w:eastAsia="Arial" w:hAnsi="Arial"/>
          <w:sz w:val="18"/>
          <w:szCs w:val="18"/>
          <w:color w:val="auto"/>
        </w:rPr>
        <w:t>” has the meaning ascribed thereto in Section 2.01(g)(iv)(C).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Deadline Date</w:t>
      </w:r>
      <w:r>
        <w:rPr>
          <w:rFonts w:ascii="Arial" w:cs="Arial" w:eastAsia="Arial" w:hAnsi="Arial"/>
          <w:sz w:val="18"/>
          <w:szCs w:val="18"/>
          <w:color w:val="auto"/>
        </w:rPr>
        <w:t>” has the meaning ascribed thereto in Section 2.01(g)(v).</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Anniversary Date</w:t>
      </w:r>
      <w:r>
        <w:rPr>
          <w:rFonts w:ascii="Arial" w:cs="Arial" w:eastAsia="Arial" w:hAnsi="Arial"/>
          <w:sz w:val="18"/>
          <w:szCs w:val="18"/>
          <w:color w:val="auto"/>
        </w:rPr>
        <w:t>” has the meaning ascribed thereto in Section 2.01(g)(i).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the ordinary course of business of the Company or its Subsidiaries, conducted in accordance with past practices.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Intellectual Property</w:t>
      </w:r>
      <w:r>
        <w:rPr>
          <w:rFonts w:ascii="Arial" w:cs="Arial" w:eastAsia="Arial" w:hAnsi="Arial"/>
          <w:sz w:val="17"/>
          <w:szCs w:val="17"/>
          <w:color w:val="auto"/>
        </w:rPr>
        <w:t>” means any Intellectual Property that is owned or purportedly owned by the Company or any of its Subsidiaries.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ascribed thereto in the Preamble.</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Indemnified Person</w:t>
      </w:r>
      <w:r>
        <w:rPr>
          <w:rFonts w:ascii="Arial" w:cs="Arial" w:eastAsia="Arial" w:hAnsi="Arial"/>
          <w:sz w:val="18"/>
          <w:szCs w:val="18"/>
          <w:color w:val="auto"/>
        </w:rPr>
        <w:t>” means the Parent and its officers, directors, agents, affiliates, representatives, stockholders and employees, and each person, if any, who controls or may control Parent within the meaning of the Securities Act (such persons being referred to collectively as “</w:t>
      </w:r>
      <w:r>
        <w:rPr>
          <w:rFonts w:ascii="Arial" w:cs="Arial" w:eastAsia="Arial" w:hAnsi="Arial"/>
          <w:sz w:val="18"/>
          <w:szCs w:val="18"/>
          <w:u w:val="single" w:color="auto"/>
          <w:color w:val="auto"/>
        </w:rPr>
        <w:t>Parent 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Objection Procedure</w:t>
      </w:r>
      <w:r>
        <w:rPr>
          <w:rFonts w:ascii="Arial" w:cs="Arial" w:eastAsia="Arial" w:hAnsi="Arial"/>
          <w:sz w:val="18"/>
          <w:szCs w:val="18"/>
          <w:color w:val="auto"/>
        </w:rPr>
        <w:t>” has the meaning ascribed thereto in Section 2.01(g)(iv)(D)(1).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Payable Post-Closing Adjustment</w:t>
      </w:r>
      <w:r>
        <w:rPr>
          <w:rFonts w:ascii="Arial" w:cs="Arial" w:eastAsia="Arial" w:hAnsi="Arial"/>
          <w:sz w:val="18"/>
          <w:szCs w:val="18"/>
          <w:color w:val="auto"/>
        </w:rPr>
        <w:t>” has the meaning ascribed thereto in Section 2.04(b)(ii).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Payable Post-Closing Adjustment Determination</w:t>
      </w:r>
      <w:r>
        <w:rPr>
          <w:rFonts w:ascii="Arial" w:cs="Arial" w:eastAsia="Arial" w:hAnsi="Arial"/>
          <w:sz w:val="18"/>
          <w:szCs w:val="18"/>
          <w:color w:val="auto"/>
        </w:rPr>
        <w:t>” has the meaning ascribed thereto in Section 2.03(c)(v).</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partnership, limited liability company, syndicate, trust, association or entity or government, political subdivision, agency or instrumentality of a government.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ascribed thereto in Section 3.06(a).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Piper Jaffray</w:t>
      </w:r>
      <w:r>
        <w:rPr>
          <w:rFonts w:ascii="Arial" w:cs="Arial" w:eastAsia="Arial" w:hAnsi="Arial"/>
          <w:sz w:val="18"/>
          <w:szCs w:val="18"/>
          <w:color w:val="auto"/>
        </w:rPr>
        <w:t>” has the meaning ascribed thereto in Section 2.03.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Piper Jaffray Agreement</w:t>
      </w:r>
      <w:r>
        <w:rPr>
          <w:rFonts w:ascii="Arial" w:cs="Arial" w:eastAsia="Arial" w:hAnsi="Arial"/>
          <w:sz w:val="18"/>
          <w:szCs w:val="18"/>
          <w:color w:val="auto"/>
        </w:rPr>
        <w:t>” has the meaning ascribed thereto in Section 2.03.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w:t>
      </w:r>
      <w:r>
        <w:rPr>
          <w:rFonts w:ascii="Arial" w:cs="Arial" w:eastAsia="Arial" w:hAnsi="Arial"/>
          <w:sz w:val="18"/>
          <w:szCs w:val="18"/>
          <w:color w:val="auto"/>
        </w:rPr>
        <w:t>” has the meaning ascribed thereto in Section 3.10(a).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 has the meaning ascribed thereto in Section 2.04(b).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Adjustment Threshold</w:t>
      </w:r>
      <w:r>
        <w:rPr>
          <w:rFonts w:ascii="Arial" w:cs="Arial" w:eastAsia="Arial" w:hAnsi="Arial"/>
          <w:sz w:val="18"/>
          <w:szCs w:val="18"/>
          <w:color w:val="auto"/>
        </w:rPr>
        <w:t>” has the meaning ascribed thereto in Section 2.04(b)(ii).</w:t>
      </w:r>
    </w:p>
    <w:p>
      <w:pPr>
        <w:spacing w:after="0" w:line="117" w:lineRule="exact"/>
        <w:rPr>
          <w:sz w:val="20"/>
          <w:szCs w:val="20"/>
          <w:color w:val="auto"/>
        </w:rPr>
      </w:pPr>
    </w:p>
    <w:p>
      <w:pPr>
        <w:ind w:right="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Preference Merger Consideration</w:t>
      </w:r>
      <w:r>
        <w:rPr>
          <w:rFonts w:ascii="Arial" w:cs="Arial" w:eastAsia="Arial" w:hAnsi="Arial"/>
          <w:sz w:val="16"/>
          <w:szCs w:val="16"/>
          <w:color w:val="auto"/>
        </w:rPr>
        <w:t>” means the positive difference of (i) the Aggregate Merger Consideration over (ii) the aggregate amount to be paid to the holders of Company Series B Stock pursuant to Section 2.01(d)(ii), which dollar amount is $0, as set forth in the Merger Consideration Certificate.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Claims</w:t>
      </w:r>
      <w:r>
        <w:rPr>
          <w:rFonts w:ascii="Arial" w:cs="Arial" w:eastAsia="Arial" w:hAnsi="Arial"/>
          <w:sz w:val="18"/>
          <w:szCs w:val="18"/>
          <w:color w:val="auto"/>
        </w:rPr>
        <w:t>” has the meaning ascribed thereto in Section 2.01(g)(iv)(D).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16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any Owned Intellectual Property subject of an application, certificate, filing, registration or other document issued, filed with, or recorded by any governmental bodies in the United States or applicable foreign jurisdictions, including, but not limited to, any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and (D) registered copyrights and applications for copyright registration.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Period</w:t>
      </w:r>
      <w:r>
        <w:rPr>
          <w:rFonts w:ascii="Arial" w:cs="Arial" w:eastAsia="Arial" w:hAnsi="Arial"/>
          <w:sz w:val="18"/>
          <w:szCs w:val="18"/>
          <w:color w:val="auto"/>
        </w:rPr>
        <w:t>” has the meaning ascribed thereto in Section 2.04(c)(ii).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Period</w:t>
      </w:r>
      <w:r>
        <w:rPr>
          <w:rFonts w:ascii="Arial" w:cs="Arial" w:eastAsia="Arial" w:hAnsi="Arial"/>
          <w:sz w:val="18"/>
          <w:szCs w:val="18"/>
          <w:color w:val="auto"/>
        </w:rPr>
        <w:t>” has the meaning ascribed thereto in Section 2.04(c)(i).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ind w:right="7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Merger Consideration</w:t>
      </w:r>
      <w:r>
        <w:rPr>
          <w:rFonts w:ascii="Arial" w:cs="Arial" w:eastAsia="Arial" w:hAnsi="Arial"/>
          <w:sz w:val="16"/>
          <w:szCs w:val="16"/>
          <w:color w:val="auto"/>
        </w:rPr>
        <w:t>” means a dollar amount equal to the Post Preference Merger Consideration divided by the number of issued and outstanding shares of Company Non-Participating Preferred Stock, which dollar amount is $0, as set forth in the Merger Consideration Certificate.</w:t>
      </w:r>
    </w:p>
    <w:p>
      <w:pPr>
        <w:spacing w:after="0" w:line="1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Shrink Wrap Software</w:t>
      </w:r>
      <w:r>
        <w:rPr>
          <w:rFonts w:ascii="Arial" w:cs="Arial" w:eastAsia="Arial" w:hAnsi="Arial"/>
          <w:sz w:val="18"/>
          <w:szCs w:val="18"/>
          <w:color w:val="auto"/>
        </w:rPr>
        <w:t>” means licenses of generally commercially available off-the-shelf Software licensed pursuant to un-negotiated end-user license or subscription agreements, shrink-wrap, click-wrap licenses or other similar licenses.</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computer software, programs and databases in any form, including Internet web sites, web content and links, all versions, updates, corrections, enhancements, and modifications thereof, and all related documentation.</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Representations</w:t>
      </w:r>
      <w:r>
        <w:rPr>
          <w:rFonts w:ascii="Arial" w:cs="Arial" w:eastAsia="Arial" w:hAnsi="Arial"/>
          <w:sz w:val="18"/>
          <w:szCs w:val="18"/>
          <w:color w:val="auto"/>
        </w:rPr>
        <w:t>” means the representations set forth in Section 3.03 (Capitalization) and 3.04 (Authority Relative to this Agreement), and any representations contained in the Merger Consideration Certificate.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Square 1 Loan</w:t>
      </w:r>
      <w:r>
        <w:rPr>
          <w:rFonts w:ascii="Arial" w:cs="Arial" w:eastAsia="Arial" w:hAnsi="Arial"/>
          <w:sz w:val="18"/>
          <w:szCs w:val="18"/>
          <w:color w:val="auto"/>
        </w:rPr>
        <w:t>” means the Indebtedness of the Company to Square 1 Bank pursuant to that certain Loan and Security Agreement between Square 1 Bank and the Company dated November 12, 2008, as amended from time to time (the “</w:t>
      </w:r>
      <w:r>
        <w:rPr>
          <w:rFonts w:ascii="Arial" w:cs="Arial" w:eastAsia="Arial" w:hAnsi="Arial"/>
          <w:sz w:val="18"/>
          <w:szCs w:val="18"/>
          <w:u w:val="single" w:color="auto"/>
          <w:color w:val="auto"/>
        </w:rPr>
        <w:t>Square 1 Bank Loan Agreement</w:t>
      </w:r>
      <w:r>
        <w:rPr>
          <w:rFonts w:ascii="Arial" w:cs="Arial" w:eastAsia="Arial" w:hAnsi="Arial"/>
          <w:sz w:val="18"/>
          <w:szCs w:val="18"/>
          <w:color w:val="auto"/>
        </w:rPr>
        <w:t>”), but excluding (notwithstanding the definition of “Indebtedness” herein) any “Success Fee” payable by the Company to Square 1 Bank upon completion of the Merger pursuant to the terms of the Square 1 Bank Loan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 of Objections</w:t>
      </w:r>
      <w:r>
        <w:rPr>
          <w:rFonts w:ascii="Arial" w:cs="Arial" w:eastAsia="Arial" w:hAnsi="Arial"/>
          <w:sz w:val="18"/>
          <w:szCs w:val="18"/>
          <w:color w:val="auto"/>
        </w:rPr>
        <w:t>” has the meaning ascribed thereto in Section 2.04(c)(ii).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w:t>
      </w:r>
      <w:r>
        <w:rPr>
          <w:rFonts w:ascii="Arial" w:cs="Arial" w:eastAsia="Arial" w:hAnsi="Arial"/>
          <w:sz w:val="18"/>
          <w:szCs w:val="18"/>
          <w:color w:val="auto"/>
        </w:rPr>
        <w:t>” has the meaning ascribed thereto in Section 5.01(a).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Meeting</w:t>
      </w:r>
      <w:r>
        <w:rPr>
          <w:rFonts w:ascii="Arial" w:cs="Arial" w:eastAsia="Arial" w:hAnsi="Arial"/>
          <w:sz w:val="18"/>
          <w:szCs w:val="18"/>
          <w:color w:val="auto"/>
        </w:rPr>
        <w:t>” has the meaning ascribed thereto in Section 5.01(a).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ascribed thereto in the Recitals.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3" w:name="page24"/>
    <w:bookmarkEnd w:id="23"/>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or “</w:t>
      </w:r>
      <w:r>
        <w:rPr>
          <w:rFonts w:ascii="Arial" w:cs="Arial" w:eastAsia="Arial" w:hAnsi="Arial"/>
          <w:sz w:val="18"/>
          <w:szCs w:val="18"/>
          <w:u w:val="single" w:color="auto"/>
          <w:color w:val="auto"/>
        </w:rPr>
        <w:t>Subsidiaries</w:t>
      </w:r>
      <w:r>
        <w:rPr>
          <w:rFonts w:ascii="Arial" w:cs="Arial" w:eastAsia="Arial" w:hAnsi="Arial"/>
          <w:sz w:val="18"/>
          <w:szCs w:val="18"/>
          <w:color w:val="auto"/>
        </w:rPr>
        <w:t>” of the Company, the Surviving Corporation, Parent, as applicable, or any other person, means an affiliate entity controlled by such person, directly or indirectly through one or more intermediaries.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has the meaning ascribed thereto in Section 2.04(a).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has the meaning ascribed thereto in Section 5.07(a)(iv).</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(i) any and all taxes, fees, levies, duties, tariffs, imposts and other similar charges of any kind (together with any and all interest, penalties, additions to tax and additional amounts imposed with respect thereto) imposed by any Governmental Authority or taxing authority, including, without limitation: taxes or other charges on or with respect to income, franchise, windfall or other profits, gross receipts, property, sales, use, capital stock, payroll, employment, social security, workers’ compensation, unemployment compensation or net worth; taxes or other charges in the nature of excise, withholding, ad valorem, stamp, transfer, value-added or gains taxes; license, registration and documentation fees; and customers’ duties, tariffs and similar charges, and (ii) any Liability for the payment of any amounts of the type described in clause (i) of this sentence as a result of being a member of an affiliated, consolidated, combined, unitary or aggregate group for any Taxable period, and (iii) any Liability for the payment of any amounts of the type described in clause (i) or (ii) above as a result of being a transferee of or successor to any Person or as a result of any express or implied obligation to assume such Taxes or to indemnify any other Person.</w:t>
      </w:r>
    </w:p>
    <w:p>
      <w:pPr>
        <w:spacing w:after="0" w:line="74"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schedule, declaration, estimate or election (including attachments to any of the foregoing) filed or required to be filed with any Governmental Authority with respect to Taxes.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has the meaning ascribed thereto in Section 8.10(b).</w:t>
      </w:r>
    </w:p>
    <w:p>
      <w:pPr>
        <w:spacing w:after="0" w:line="117"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all third party fees and expenses incurred by the Company in connection with the Merger and this Agreement and the transactions contemplated hereby as listed on Schedule 7.02(d), as such Schedule may be updated at Closing by written agreement among the Parent, the Company Stockholder and the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Undisputed Amounts</w:t>
      </w:r>
      <w:r>
        <w:rPr>
          <w:rFonts w:ascii="Arial" w:cs="Arial" w:eastAsia="Arial" w:hAnsi="Arial"/>
          <w:sz w:val="18"/>
          <w:szCs w:val="18"/>
          <w:color w:val="auto"/>
        </w:rPr>
        <w:t>” has the meaning ascribed thereto in Section 2.04(c)(iii).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Unilateral Written Direction</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Unresolved Objections</w:t>
      </w:r>
      <w:r>
        <w:rPr>
          <w:rFonts w:ascii="Arial" w:cs="Arial" w:eastAsia="Arial" w:hAnsi="Arial"/>
          <w:sz w:val="18"/>
          <w:szCs w:val="18"/>
          <w:color w:val="auto"/>
        </w:rPr>
        <w:t>” has the meaning ascribed thereto in Section 2.01(g)(v)(D).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 means the Closing Adjustment, as such amount may be adjusted by the Post-Closing Adjustment.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1 Balance</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1 Earnout</w:t>
      </w:r>
      <w:r>
        <w:rPr>
          <w:rFonts w:ascii="Arial" w:cs="Arial" w:eastAsia="Arial" w:hAnsi="Arial"/>
          <w:sz w:val="18"/>
          <w:szCs w:val="18"/>
          <w:color w:val="auto"/>
        </w:rPr>
        <w:t>” has the meaning ascribed thereto in Section 2.01(g)(iii).</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1 Earnout Excess Payment</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 Earnout</w:t>
      </w:r>
      <w:r>
        <w:rPr>
          <w:rFonts w:ascii="Arial" w:cs="Arial" w:eastAsia="Arial" w:hAnsi="Arial"/>
          <w:sz w:val="18"/>
          <w:szCs w:val="18"/>
          <w:color w:val="auto"/>
        </w:rPr>
        <w:t>” has the meaning ascribed thereto in Section 2.01(g)(iii).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2(A) Balance</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2(A) Earnout Excess Payment</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2(A) Priority Claims</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2(B) Balance</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2(B) Earnout Excess Payment</w:t>
      </w:r>
      <w:r>
        <w:rPr>
          <w:rFonts w:ascii="Arial" w:cs="Arial" w:eastAsia="Arial" w:hAnsi="Arial"/>
          <w:sz w:val="18"/>
          <w:szCs w:val="18"/>
          <w:color w:val="auto"/>
        </w:rPr>
        <w:t>” has the meaning ascribed thereto in Section 2.01(g)(iv)(D).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2(B) Priority Claims</w:t>
      </w:r>
      <w:r>
        <w:rPr>
          <w:rFonts w:ascii="Arial" w:cs="Arial" w:eastAsia="Arial" w:hAnsi="Arial"/>
          <w:sz w:val="18"/>
          <w:szCs w:val="18"/>
          <w:color w:val="auto"/>
        </w:rPr>
        <w:t>” has the meaning ascribed thereto in Section 2.01(g)(iv)(D).</w:t>
      </w:r>
    </w:p>
    <w:p>
      <w:pPr>
        <w:spacing w:after="0" w:line="333"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THE MERGER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Merger Consideration; Conversion of the Shares; Earnout Consideration.</w:t>
      </w:r>
    </w:p>
    <w:p>
      <w:pPr>
        <w:spacing w:after="0" w:line="117" w:lineRule="exact"/>
        <w:rPr>
          <w:sz w:val="20"/>
          <w:szCs w:val="20"/>
          <w:color w:val="auto"/>
        </w:rPr>
      </w:pPr>
    </w:p>
    <w:p>
      <w:pPr>
        <w:ind w:left="700" w:hanging="242"/>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Conversion of Merger Sub Common Stock</w:t>
      </w:r>
      <w:r>
        <w:rPr>
          <w:rFonts w:ascii="Arial" w:cs="Arial" w:eastAsia="Arial" w:hAnsi="Arial"/>
          <w:sz w:val="17"/>
          <w:szCs w:val="17"/>
          <w:color w:val="auto"/>
        </w:rPr>
        <w:t>. At the Effective Time, each share of Merger Sub Common Stock that is issued and outstanding</w:t>
      </w:r>
    </w:p>
    <w:p>
      <w:pPr>
        <w:spacing w:after="0" w:line="34"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7"/>
          <w:szCs w:val="17"/>
          <w:color w:val="auto"/>
        </w:rPr>
        <w:t>immediately prior to the Effective Time shall be converted into one validly issued, fully paid and nonassessable share of Common Stock, par value $0.001 per share, of the Surviving Corporation, and the shares of the Surviving Corporation into which the shares of Merger Sub Common Stock are so converted shall be the only shares of Company Capital Stock that are issued and outstanding immediately after the Effective Time.</w:t>
      </w:r>
    </w:p>
    <w:p>
      <w:pPr>
        <w:spacing w:after="0" w:line="65" w:lineRule="exact"/>
        <w:rPr>
          <w:rFonts w:ascii="Arial" w:cs="Arial" w:eastAsia="Arial" w:hAnsi="Arial"/>
          <w:sz w:val="17"/>
          <w:szCs w:val="17"/>
          <w:color w:val="auto"/>
        </w:rPr>
      </w:pPr>
    </w:p>
    <w:p>
      <w:pPr>
        <w:ind w:right="500" w:firstLine="458"/>
        <w:spacing w:after="0" w:line="264"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AV VIII Holdings, Inc. Convertible Promissory Note</w:t>
      </w:r>
      <w:r>
        <w:rPr>
          <w:rFonts w:ascii="Arial" w:cs="Arial" w:eastAsia="Arial" w:hAnsi="Arial"/>
          <w:sz w:val="18"/>
          <w:szCs w:val="18"/>
          <w:color w:val="auto"/>
        </w:rPr>
        <w:t>. At the Effective Time, $250,000 plus interest accrued through the Effective Time (such amount, the “</w:t>
      </w:r>
      <w:r>
        <w:rPr>
          <w:rFonts w:ascii="Arial" w:cs="Arial" w:eastAsia="Arial" w:hAnsi="Arial"/>
          <w:sz w:val="18"/>
          <w:szCs w:val="18"/>
          <w:u w:val="single" w:color="auto"/>
          <w:color w:val="auto"/>
        </w:rPr>
        <w:t>Note Payoff Amount</w:t>
      </w:r>
      <w:r>
        <w:rPr>
          <w:rFonts w:ascii="Arial" w:cs="Arial" w:eastAsia="Arial" w:hAnsi="Arial"/>
          <w:sz w:val="18"/>
          <w:szCs w:val="18"/>
          <w:color w:val="auto"/>
        </w:rPr>
        <w:t>”) of the Closing Cash Consideration shall be payable to AV VIII Holdings, Inc. as payment in full of the AV VIII Holdings, Inc. Convertible Promissory Note.</w:t>
      </w:r>
    </w:p>
    <w:p>
      <w:pPr>
        <w:spacing w:after="0" w:line="73" w:lineRule="exact"/>
        <w:rPr>
          <w:rFonts w:ascii="Arial" w:cs="Arial" w:eastAsia="Arial" w:hAnsi="Arial"/>
          <w:sz w:val="18"/>
          <w:szCs w:val="18"/>
          <w:color w:val="auto"/>
        </w:rPr>
      </w:pPr>
    </w:p>
    <w:p>
      <w:pPr>
        <w:ind w:right="100" w:firstLine="458"/>
        <w:spacing w:after="0" w:line="277"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Company Management Incentive Plan</w:t>
      </w:r>
      <w:r>
        <w:rPr>
          <w:rFonts w:ascii="Arial" w:cs="Arial" w:eastAsia="Arial" w:hAnsi="Arial"/>
          <w:sz w:val="18"/>
          <w:szCs w:val="18"/>
          <w:color w:val="auto"/>
        </w:rPr>
        <w:t>. At the Effective Time, 15% of (1) the Closing Cash Consideration less (2) the Note Payoff Amount shall be payable to the Incentive Plan Participants in accordance with the Merger Consideration Certificate.</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Conversion of Company Capital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0" w:firstLine="683"/>
        <w:spacing w:after="0" w:line="277" w:lineRule="auto"/>
        <w:tabs>
          <w:tab w:leader="none" w:pos="89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Company Non-Participating Stock</w:t>
      </w:r>
      <w:r>
        <w:rPr>
          <w:rFonts w:ascii="Arial" w:cs="Arial" w:eastAsia="Arial" w:hAnsi="Arial"/>
          <w:sz w:val="18"/>
          <w:szCs w:val="18"/>
          <w:color w:val="auto"/>
        </w:rPr>
        <w:t>. Pursuant to the provisions of the Merger Consideration Certificate (as hereinafter defined), each share of Company Non-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80"/>
        <w:spacing w:after="0" w:line="271" w:lineRule="auto"/>
        <w:rPr>
          <w:sz w:val="20"/>
          <w:szCs w:val="20"/>
          <w:color w:val="auto"/>
        </w:rPr>
      </w:pPr>
      <w:r>
        <w:rPr>
          <w:rFonts w:ascii="Arial" w:cs="Arial" w:eastAsia="Arial" w:hAnsi="Arial"/>
          <w:sz w:val="17"/>
          <w:szCs w:val="17"/>
          <w:color w:val="auto"/>
        </w:rPr>
        <w:t>Participating Stock that is issued and outstanding immediately prior to the Effective Time is entitled to receive an amount of cash, without interest, equal to either the Series A Merger Consideration or the Common Merger Consideration, as applicable. However, since both of these amounts will be nil ($0), each share of Company Non-Participating Stock will be, as at the Effective Time, cancelled and extinguished, with no payment or distribution being made with respect thereto. “</w:t>
      </w:r>
      <w:r>
        <w:rPr>
          <w:rFonts w:ascii="Arial" w:cs="Arial" w:eastAsia="Arial" w:hAnsi="Arial"/>
          <w:sz w:val="17"/>
          <w:szCs w:val="17"/>
          <w:u w:val="single" w:color="auto"/>
          <w:color w:val="auto"/>
        </w:rPr>
        <w:t>Merger Consideration Certificate</w:t>
      </w:r>
      <w:r>
        <w:rPr>
          <w:rFonts w:ascii="Arial" w:cs="Arial" w:eastAsia="Arial" w:hAnsi="Arial"/>
          <w:sz w:val="17"/>
          <w:szCs w:val="17"/>
          <w:color w:val="auto"/>
        </w:rPr>
        <w:t xml:space="preserve">” means a certificate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to be prepared by the Company as of the Closing Date and signed by the Secretary of the Company’s Board of Directors and the Company’s Chief Financial Officer and delivered to the Parent at Closing, which certificate will represent and warrant to the Parent that the Merger is treated as a liquidation, dissolution or winding up of the Company under the Certificate of Incorporation and that the distribution provisions set forth in the Merger Consideration Certificate with respect to the Merger Consideration are in accordance with the provisions, including liquidation preferences, of the Certificate of Incorporation.</w:t>
      </w:r>
    </w:p>
    <w:p>
      <w:pPr>
        <w:spacing w:after="0" w:line="71" w:lineRule="exact"/>
        <w:rPr>
          <w:sz w:val="20"/>
          <w:szCs w:val="20"/>
          <w:color w:val="auto"/>
        </w:rPr>
      </w:pPr>
    </w:p>
    <w:p>
      <w:pPr>
        <w:ind w:right="20" w:firstLine="683"/>
        <w:spacing w:after="0" w:line="276" w:lineRule="auto"/>
        <w:tabs>
          <w:tab w:leader="none" w:pos="940"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Company Series B Stock</w:t>
      </w:r>
      <w:r>
        <w:rPr>
          <w:rFonts w:ascii="Arial" w:cs="Arial" w:eastAsia="Arial" w:hAnsi="Arial"/>
          <w:sz w:val="17"/>
          <w:szCs w:val="17"/>
          <w:color w:val="auto"/>
        </w:rPr>
        <w:t>. Pursuant to the provisions of the Merger Consideration Certificate, at the Effective Time, each share of Company Series B Stock that is issued and outstanding immediately prior to the Effective Time shall, by virtue of the Merger and without the need for any further action on the part of the holder thereof (except as expressly provided herein), be converted into and represent the right to receive an amount of cash, without interest, equal to (A) 85% of that amount which is equal to (1) the Closing Cash Consideration, less (2) the Note Payoff Amount divided by (B) the number of then-outstanding shares of the Company’s Series B Stock, all as set forth in the Merger Consideration Certificate.</w:t>
      </w:r>
    </w:p>
    <w:p>
      <w:pPr>
        <w:spacing w:after="0" w:line="64" w:lineRule="exact"/>
        <w:rPr>
          <w:rFonts w:ascii="Arial" w:cs="Arial" w:eastAsia="Arial" w:hAnsi="Arial"/>
          <w:sz w:val="17"/>
          <w:szCs w:val="17"/>
          <w:color w:val="auto"/>
        </w:rPr>
      </w:pPr>
    </w:p>
    <w:p>
      <w:pPr>
        <w:ind w:firstLine="458"/>
        <w:spacing w:after="0" w:line="308" w:lineRule="auto"/>
        <w:tabs>
          <w:tab w:leader="none" w:pos="69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Dissenting Shares</w:t>
      </w:r>
      <w:r>
        <w:rPr>
          <w:rFonts w:ascii="Arial" w:cs="Arial" w:eastAsia="Arial" w:hAnsi="Arial"/>
          <w:sz w:val="17"/>
          <w:szCs w:val="17"/>
          <w:color w:val="auto"/>
        </w:rPr>
        <w:t>. As more fully set forth in Section 7.03, holders of shares of Company Capital Stock who have complied with all requirements for perfecting dissenters’ rights, as set forth in the DGCL, shall be entitled to their rights under the DGCL with respect to such shares.</w:t>
      </w:r>
    </w:p>
    <w:p>
      <w:pPr>
        <w:spacing w:after="0" w:line="38" w:lineRule="exact"/>
        <w:rPr>
          <w:rFonts w:ascii="Arial" w:cs="Arial" w:eastAsia="Arial" w:hAnsi="Arial"/>
          <w:sz w:val="17"/>
          <w:szCs w:val="17"/>
          <w:color w:val="auto"/>
        </w:rPr>
      </w:pPr>
    </w:p>
    <w:p>
      <w:pPr>
        <w:ind w:right="20" w:firstLine="458"/>
        <w:spacing w:after="0" w:line="259"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Cancellation of Certain Shares and Company Options</w:t>
      </w:r>
      <w:r>
        <w:rPr>
          <w:rFonts w:ascii="Arial" w:cs="Arial" w:eastAsia="Arial" w:hAnsi="Arial"/>
          <w:sz w:val="18"/>
          <w:szCs w:val="18"/>
          <w:color w:val="auto"/>
        </w:rPr>
        <w:t>. Notwithstanding Section 2.01(d), (i) each share of Company Capital Stock held by the Company immediately prior to the Effective Time, and (ii) each Company Option that is issued and outstanding immediately prior to the Effective Time, shall in each case, by virtue of the Merger and without the need for any further action on the part of the holder hereof (except as expressly provided herein), be cancelled and extinguished without any conversion thereof or payment therefor.</w:t>
      </w:r>
    </w:p>
    <w:p>
      <w:pPr>
        <w:spacing w:after="0" w:line="78" w:lineRule="exact"/>
        <w:rPr>
          <w:rFonts w:ascii="Arial" w:cs="Arial" w:eastAsia="Arial" w:hAnsi="Arial"/>
          <w:sz w:val="18"/>
          <w:szCs w:val="18"/>
          <w:color w:val="auto"/>
        </w:rPr>
      </w:pPr>
    </w:p>
    <w:p>
      <w:pPr>
        <w:ind w:right="20" w:firstLine="458"/>
        <w:spacing w:after="0" w:line="264"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Earnout Consideration</w:t>
      </w:r>
      <w:r>
        <w:rPr>
          <w:rFonts w:ascii="Arial" w:cs="Arial" w:eastAsia="Arial" w:hAnsi="Arial"/>
          <w:sz w:val="18"/>
          <w:szCs w:val="18"/>
          <w:color w:val="auto"/>
        </w:rPr>
        <w:t>. In accordance with the Merger Consideration Certificate, the Company Stockholder and the Incentive Plan Participants shall together (as such, the “</w:t>
      </w:r>
      <w:r>
        <w:rPr>
          <w:rFonts w:ascii="Arial" w:cs="Arial" w:eastAsia="Arial" w:hAnsi="Arial"/>
          <w:sz w:val="18"/>
          <w:szCs w:val="18"/>
          <w:u w:val="single" w:color="auto"/>
          <w:color w:val="auto"/>
        </w:rPr>
        <w:t>Earnout Participants</w:t>
      </w:r>
      <w:r>
        <w:rPr>
          <w:rFonts w:ascii="Arial" w:cs="Arial" w:eastAsia="Arial" w:hAnsi="Arial"/>
          <w:sz w:val="18"/>
          <w:szCs w:val="18"/>
          <w:color w:val="auto"/>
        </w:rPr>
        <w:t>”) be entitled to the additional earnout amount set forth below as determined by future Company Revenue (as defined below) for the Earnout Periods described below on the following terms:</w:t>
      </w:r>
    </w:p>
    <w:p>
      <w:pPr>
        <w:spacing w:after="0" w:line="73" w:lineRule="exact"/>
        <w:rPr>
          <w:rFonts w:ascii="Arial" w:cs="Arial" w:eastAsia="Arial" w:hAnsi="Arial"/>
          <w:sz w:val="18"/>
          <w:szCs w:val="18"/>
          <w:color w:val="auto"/>
        </w:rPr>
      </w:pPr>
    </w:p>
    <w:p>
      <w:pPr>
        <w:jc w:val="both"/>
        <w:ind w:right="200" w:firstLine="683"/>
        <w:spacing w:after="0" w:line="264" w:lineRule="auto"/>
        <w:tabs>
          <w:tab w:leader="none" w:pos="8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earnout period shall consist of two years (each, an “</w:t>
      </w:r>
      <w:r>
        <w:rPr>
          <w:rFonts w:ascii="Arial" w:cs="Arial" w:eastAsia="Arial" w:hAnsi="Arial"/>
          <w:sz w:val="18"/>
          <w:szCs w:val="18"/>
          <w:u w:val="single" w:color="auto"/>
          <w:color w:val="auto"/>
        </w:rPr>
        <w:t>Earnout Period</w:t>
      </w:r>
      <w:r>
        <w:rPr>
          <w:rFonts w:ascii="Arial" w:cs="Arial" w:eastAsia="Arial" w:hAnsi="Arial"/>
          <w:sz w:val="18"/>
          <w:szCs w:val="18"/>
          <w:color w:val="auto"/>
        </w:rPr>
        <w:t>”), the first beginning on the day following the Closing Date and ending one year thereafter (the “</w:t>
      </w:r>
      <w:r>
        <w:rPr>
          <w:rFonts w:ascii="Arial" w:cs="Arial" w:eastAsia="Arial" w:hAnsi="Arial"/>
          <w:sz w:val="18"/>
          <w:szCs w:val="18"/>
          <w:u w:val="single" w:color="auto"/>
          <w:color w:val="auto"/>
        </w:rPr>
        <w:t>One Year Anniversary Date</w:t>
      </w:r>
      <w:r>
        <w:rPr>
          <w:rFonts w:ascii="Arial" w:cs="Arial" w:eastAsia="Arial" w:hAnsi="Arial"/>
          <w:sz w:val="18"/>
          <w:szCs w:val="18"/>
          <w:color w:val="auto"/>
        </w:rPr>
        <w:t>”), and the second beginning on the day following the One Year Anniversary Date and ending one year thereafter.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left="-40" w:right="180" w:firstLine="6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Earnout Threshold</w:t>
      </w:r>
      <w:r>
        <w:rPr>
          <w:rFonts w:ascii="Arial" w:cs="Arial" w:eastAsia="Arial" w:hAnsi="Arial"/>
          <w:sz w:val="18"/>
          <w:szCs w:val="18"/>
          <w:color w:val="auto"/>
        </w:rPr>
        <w:t>. The threshold amounts (each, an “</w:t>
      </w:r>
      <w:r>
        <w:rPr>
          <w:rFonts w:ascii="Arial" w:cs="Arial" w:eastAsia="Arial" w:hAnsi="Arial"/>
          <w:sz w:val="18"/>
          <w:szCs w:val="18"/>
          <w:u w:val="single" w:color="auto"/>
          <w:color w:val="auto"/>
        </w:rPr>
        <w:t>Earnout Threshold</w:t>
      </w:r>
      <w:r>
        <w:rPr>
          <w:rFonts w:ascii="Arial" w:cs="Arial" w:eastAsia="Arial" w:hAnsi="Arial"/>
          <w:sz w:val="18"/>
          <w:szCs w:val="18"/>
          <w:color w:val="auto"/>
        </w:rPr>
        <w:t>”) shall be $6,000,000 for the first Earnout Period and $9,000,000 for the second Earnout Period.</w:t>
      </w:r>
    </w:p>
    <w:p>
      <w:pPr>
        <w:spacing w:after="0" w:line="62" w:lineRule="exact"/>
        <w:rPr>
          <w:rFonts w:ascii="Arial" w:cs="Arial" w:eastAsia="Arial" w:hAnsi="Arial"/>
          <w:sz w:val="18"/>
          <w:szCs w:val="18"/>
          <w:color w:val="auto"/>
        </w:rPr>
      </w:pPr>
    </w:p>
    <w:p>
      <w:pPr>
        <w:ind w:left="-40" w:firstLine="683"/>
        <w:spacing w:after="0" w:line="255" w:lineRule="auto"/>
        <w:tabs>
          <w:tab w:leader="none" w:pos="95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Earnout Consideration</w:t>
      </w:r>
      <w:r>
        <w:rPr>
          <w:rFonts w:ascii="Arial" w:cs="Arial" w:eastAsia="Arial" w:hAnsi="Arial"/>
          <w:sz w:val="18"/>
          <w:szCs w:val="18"/>
          <w:color w:val="auto"/>
        </w:rPr>
        <w:t>. The earnout amount payable for each Earnout Period (in the aggregate for both such Earnout Periods, the “</w:t>
      </w:r>
      <w:r>
        <w:rPr>
          <w:rFonts w:ascii="Arial" w:cs="Arial" w:eastAsia="Arial" w:hAnsi="Arial"/>
          <w:sz w:val="18"/>
          <w:szCs w:val="18"/>
          <w:u w:val="single" w:color="auto"/>
          <w:color w:val="auto"/>
        </w:rPr>
        <w:t>Earnout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such amount, with respect to the first Earnout Period, “</w:t>
      </w:r>
      <w:r>
        <w:rPr>
          <w:rFonts w:ascii="Arial" w:cs="Arial" w:eastAsia="Arial" w:hAnsi="Arial"/>
          <w:sz w:val="18"/>
          <w:szCs w:val="18"/>
          <w:u w:val="single" w:color="auto"/>
          <w:color w:val="auto"/>
        </w:rPr>
        <w:t>Year 1 Earnout</w:t>
      </w:r>
      <w:r>
        <w:rPr>
          <w:rFonts w:ascii="Arial" w:cs="Arial" w:eastAsia="Arial" w:hAnsi="Arial"/>
          <w:sz w:val="18"/>
          <w:szCs w:val="18"/>
          <w:color w:val="auto"/>
        </w:rPr>
        <w:t>”; such amount with respect to the second Earnout Period, “</w:t>
      </w:r>
      <w:r>
        <w:rPr>
          <w:rFonts w:ascii="Arial" w:cs="Arial" w:eastAsia="Arial" w:hAnsi="Arial"/>
          <w:sz w:val="18"/>
          <w:szCs w:val="18"/>
          <w:u w:val="single" w:color="auto"/>
          <w:color w:val="auto"/>
        </w:rPr>
        <w:t>Year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Earnout</w:t>
      </w:r>
      <w:r>
        <w:rPr>
          <w:rFonts w:ascii="Arial" w:cs="Arial" w:eastAsia="Arial" w:hAnsi="Arial"/>
          <w:sz w:val="18"/>
          <w:szCs w:val="18"/>
          <w:color w:val="auto"/>
        </w:rPr>
        <w:t xml:space="preserve">”) shall be calculated as follows: provided the Earnout Threshold is achieved for a given Earnout Period, the Earnout Consideration for such Earnout Period shall equal the product of (A) the Company Revenue during the Earnout Period, multiplied by (B) seven percent (7.0%);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maximum amount of aggregate Earnout Consideration for the two Earnout Periods shall not exceed $3,000,000. The parties intend that, for tax purposes, the payments (set forth in subsections (i) through (iii) above) shall qualify for installment sale treatment under §453 of the Code. Such payments shall be treated as imputed interest to the extent required by the Code.</w:t>
      </w:r>
    </w:p>
    <w:p>
      <w:pPr>
        <w:spacing w:after="0" w:line="81" w:lineRule="exact"/>
        <w:rPr>
          <w:rFonts w:ascii="Arial" w:cs="Arial" w:eastAsia="Arial" w:hAnsi="Arial"/>
          <w:sz w:val="18"/>
          <w:szCs w:val="18"/>
          <w:color w:val="auto"/>
        </w:rPr>
      </w:pPr>
    </w:p>
    <w:p>
      <w:pPr>
        <w:ind w:left="940" w:hanging="297"/>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Payments; Review of Books and Records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00" w:firstLine="908"/>
        <w:spacing w:after="0" w:line="264" w:lineRule="auto"/>
        <w:tabs>
          <w:tab w:leader="none" w:pos="11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any Earnout Consideration payments due to the Earnout Participants pursuant to clauses (i), (ii) and (iii) of Section 2.01(g), Parent shall pay, in accordance with this Section 2.01(g)(iv), the applicable Earnout Consideration amount to the Escrow Agent, to be dealt with in accordance with the terms and conditions of the Escrow Agreement.</w:t>
      </w:r>
    </w:p>
    <w:p>
      <w:pPr>
        <w:spacing w:after="0" w:line="73" w:lineRule="exact"/>
        <w:rPr>
          <w:rFonts w:ascii="Arial" w:cs="Arial" w:eastAsia="Arial" w:hAnsi="Arial"/>
          <w:sz w:val="18"/>
          <w:szCs w:val="18"/>
          <w:color w:val="auto"/>
        </w:rPr>
      </w:pPr>
    </w:p>
    <w:p>
      <w:pPr>
        <w:ind w:left="-40" w:firstLine="908"/>
        <w:spacing w:after="0" w:line="272" w:lineRule="auto"/>
        <w:tabs>
          <w:tab w:leader="none" w:pos="1145" w:val="left"/>
        </w:tabs>
        <w:numPr>
          <w:ilvl w:val="1"/>
          <w:numId w:val="13"/>
        </w:numPr>
        <w:rPr>
          <w:rFonts w:ascii="Arial" w:cs="Arial" w:eastAsia="Arial" w:hAnsi="Arial"/>
          <w:sz w:val="17"/>
          <w:szCs w:val="17"/>
          <w:color w:val="auto"/>
        </w:rPr>
      </w:pPr>
      <w:r>
        <w:rPr>
          <w:rFonts w:ascii="Arial" w:cs="Arial" w:eastAsia="Arial" w:hAnsi="Arial"/>
          <w:sz w:val="17"/>
          <w:szCs w:val="17"/>
          <w:color w:val="auto"/>
        </w:rPr>
        <w:t>Parent shall deliver, by the Notification Deadline (as hereinafter defined), to each of the Company Stockholder and the Incentive Plan Representative a certificate of the Chief Financial Officer, Treasurer or Controller of Parent certifying on behalf of Parent the amount of Company Revenue for the applicable Earnout Period and the amount of any Earnout Consideration payable in respect of such period (for the purposes of this Section 2.01(g), the “</w:t>
      </w:r>
      <w:r>
        <w:rPr>
          <w:rFonts w:ascii="Arial" w:cs="Arial" w:eastAsia="Arial" w:hAnsi="Arial"/>
          <w:sz w:val="17"/>
          <w:szCs w:val="17"/>
          <w:u w:val="single" w:color="auto"/>
          <w:color w:val="auto"/>
        </w:rPr>
        <w:t>Earnout Payment Amount</w:t>
      </w:r>
      <w:r>
        <w:rPr>
          <w:rFonts w:ascii="Arial" w:cs="Arial" w:eastAsia="Arial" w:hAnsi="Arial"/>
          <w:sz w:val="17"/>
          <w:szCs w:val="17"/>
          <w:color w:val="auto"/>
        </w:rPr>
        <w:t>”). On at least fifteen (15) days prior written notice from the Company Stockholder to Parent given within thirty (30) days after the Company’s Stockholder’s receipt of the foregoing certificate from Parent (with respect to the sale of Earnout Products by the Parent or Parent’s other subsidiaries), the Company Stockholder, on its own behalf and on behalf of the Incentive Plan Representative, shall have a right to audit the books and records of the Company and the Parent to verify Company Revenue for the Earnout Period.</w:t>
      </w:r>
    </w:p>
    <w:p>
      <w:pPr>
        <w:spacing w:after="0" w:line="69" w:lineRule="exact"/>
        <w:rPr>
          <w:rFonts w:ascii="Arial" w:cs="Arial" w:eastAsia="Arial" w:hAnsi="Arial"/>
          <w:sz w:val="17"/>
          <w:szCs w:val="17"/>
          <w:color w:val="auto"/>
        </w:rPr>
      </w:pPr>
    </w:p>
    <w:p>
      <w:pPr>
        <w:ind w:left="-40" w:right="40" w:firstLine="908"/>
        <w:spacing w:after="0" w:line="276" w:lineRule="auto"/>
        <w:tabs>
          <w:tab w:leader="none" w:pos="1145" w:val="left"/>
        </w:tabs>
        <w:numPr>
          <w:ilvl w:val="1"/>
          <w:numId w:val="13"/>
        </w:numPr>
        <w:rPr>
          <w:rFonts w:ascii="Arial" w:cs="Arial" w:eastAsia="Arial" w:hAnsi="Arial"/>
          <w:sz w:val="17"/>
          <w:szCs w:val="17"/>
          <w:color w:val="auto"/>
        </w:rPr>
      </w:pPr>
      <w:r>
        <w:rPr>
          <w:rFonts w:ascii="Arial" w:cs="Arial" w:eastAsia="Arial" w:hAnsi="Arial"/>
          <w:sz w:val="17"/>
          <w:szCs w:val="17"/>
          <w:color w:val="auto"/>
        </w:rPr>
        <w:t>Parent shall pay the Earnout Payment Amount to the Escrow Agent within sixty days after the close of the Applicable Earnout Period (such date, the “</w:t>
      </w:r>
      <w:r>
        <w:rPr>
          <w:rFonts w:ascii="Arial" w:cs="Arial" w:eastAsia="Arial" w:hAnsi="Arial"/>
          <w:sz w:val="17"/>
          <w:szCs w:val="17"/>
          <w:u w:val="single" w:color="auto"/>
          <w:color w:val="auto"/>
        </w:rPr>
        <w:t>Notification Deadline</w:t>
      </w:r>
      <w:r>
        <w:rPr>
          <w:rFonts w:ascii="Arial" w:cs="Arial" w:eastAsia="Arial" w:hAnsi="Arial"/>
          <w:sz w:val="17"/>
          <w:szCs w:val="17"/>
          <w:color w:val="auto"/>
        </w:rPr>
        <w:t>”). If an Earnout Ruling (as hereinafter defined) is subsequently duly delivered by the Arbitrating Accountant (as hereinafter referenced) to the Escrow Agent, then (I) if the Earnout Ruling provides for additional Earnout Consideration to be added to the Earnout Payment Amount, Parent shall promptly pay such amount to the Escrow Agent, and (II) if the Earnout Ruling stipulates that Parent’s original Earnout Payment Amount was too high, the Escrow Agent, pursuant to the Escrow Agreement, shall promptly pay any overage to Parent.</w:t>
      </w:r>
    </w:p>
    <w:p>
      <w:pPr>
        <w:spacing w:after="0" w:line="64" w:lineRule="exact"/>
        <w:rPr>
          <w:rFonts w:ascii="Arial" w:cs="Arial" w:eastAsia="Arial" w:hAnsi="Arial"/>
          <w:sz w:val="17"/>
          <w:szCs w:val="17"/>
          <w:color w:val="auto"/>
        </w:rPr>
      </w:pPr>
    </w:p>
    <w:p>
      <w:pPr>
        <w:ind w:left="1160" w:hanging="292"/>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parties acknowledge and agree that the Escrow Agreement shall provide that: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27" w:name="page28"/>
    <w:bookmarkEnd w:id="27"/>
    <w:p>
      <w:pPr>
        <w:ind w:left="-226" w:firstLine="226"/>
        <w:spacing w:after="0" w:line="287" w:lineRule="auto"/>
        <w:tabs>
          <w:tab w:leader="none" w:pos="2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with respect to funds payable to the Parent pursuant to an Earnout Ruling, no Earnout Consideration with respect an Earnout Period shall be released from escrow until a written direction (“</w:t>
      </w:r>
      <w:r>
        <w:rPr>
          <w:rFonts w:ascii="Arial" w:cs="Arial" w:eastAsia="Arial" w:hAnsi="Arial"/>
          <w:sz w:val="16"/>
          <w:szCs w:val="16"/>
          <w:u w:val="single" w:color="auto"/>
          <w:color w:val="auto"/>
        </w:rPr>
        <w:t>Written Direction</w:t>
      </w:r>
      <w:r>
        <w:rPr>
          <w:rFonts w:ascii="Arial" w:cs="Arial" w:eastAsia="Arial" w:hAnsi="Arial"/>
          <w:sz w:val="16"/>
          <w:szCs w:val="16"/>
          <w:color w:val="auto"/>
        </w:rPr>
        <w:t xml:space="preserve">”), executed by Parent and Company Stockholder has been delivered to the Escrow Agent, confirming either (x) there are no disagreements concerning the amount of such consideration or (y) an Earnout Ruling with respect to such consideration has been delivered; </w:t>
      </w:r>
      <w:r>
        <w:rPr>
          <w:rFonts w:ascii="Arial" w:cs="Arial" w:eastAsia="Arial" w:hAnsi="Arial"/>
          <w:sz w:val="16"/>
          <w:szCs w:val="16"/>
          <w:i w:val="1"/>
          <w:iCs w:val="1"/>
          <w:color w:val="auto"/>
        </w:rPr>
        <w:t>provided, however</w:t>
      </w:r>
      <w:r>
        <w:rPr>
          <w:rFonts w:ascii="Arial" w:cs="Arial" w:eastAsia="Arial" w:hAnsi="Arial"/>
          <w:sz w:val="16"/>
          <w:szCs w:val="16"/>
          <w:color w:val="auto"/>
        </w:rPr>
        <w:t>, if Company Stockholder sends a Written Direction, signed solely by the Company Stockholder (herein, a “</w:t>
      </w:r>
      <w:r>
        <w:rPr>
          <w:rFonts w:ascii="Arial" w:cs="Arial" w:eastAsia="Arial" w:hAnsi="Arial"/>
          <w:sz w:val="16"/>
          <w:szCs w:val="16"/>
          <w:u w:val="single" w:color="auto"/>
          <w:color w:val="auto"/>
        </w:rPr>
        <w:t>Unilateral Written Direction</w:t>
      </w:r>
      <w:r>
        <w:rPr>
          <w:rFonts w:ascii="Arial" w:cs="Arial" w:eastAsia="Arial" w:hAnsi="Arial"/>
          <w:sz w:val="16"/>
          <w:szCs w:val="16"/>
          <w:color w:val="auto"/>
        </w:rPr>
        <w:t>”), to the Escrow Agent that there are no disagreements in any Earnout Payment Amount for a particular Earnout Period, then the Escrow Agent shall immediately pay out to the Earnout Participants any Earnout Amounts not otherwise subject to a replenishment of Escrow Cash, a negative Post-Closing Adjustment, undisputed but unpaid Claims, or outstanding but unresolved Claims as set forth in subsections (2), (3) and (4) below of this Section 2.01(g)(iv)(D). Notwithstanding the foregoing, such Unilateral Written Direction shall not be effective unless a copy of the same has simultaneously been delivered to Parent and its legal counsel pursuant to Section 9.01 herein and seven (7) business days have passed without written objection being conveyed from Parent or its legal counsel to Company Stockholder and Escrow Agent (the “</w:t>
      </w:r>
      <w:r>
        <w:rPr>
          <w:rFonts w:ascii="Arial" w:cs="Arial" w:eastAsia="Arial" w:hAnsi="Arial"/>
          <w:sz w:val="16"/>
          <w:szCs w:val="16"/>
          <w:u w:val="single" w:color="auto"/>
          <w:color w:val="auto"/>
        </w:rPr>
        <w:t>Parent Objection Procedure</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226" w:firstLine="226"/>
        <w:spacing w:after="0" w:line="288" w:lineRule="auto"/>
        <w:tabs>
          <w:tab w:leader="none" w:pos="2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receipt of a Written Direction with respect to the Year 1 Earnout, the Escrow Agent shall immediately pay out to the Earnout Participants any portion of the Year 1 Earnout in excess of $420,000 (such excess, the “</w:t>
      </w:r>
      <w:r>
        <w:rPr>
          <w:rFonts w:ascii="Arial" w:cs="Arial" w:eastAsia="Arial" w:hAnsi="Arial"/>
          <w:sz w:val="16"/>
          <w:szCs w:val="16"/>
          <w:u w:val="single" w:color="auto"/>
          <w:color w:val="auto"/>
        </w:rPr>
        <w:t>Year 1 Earnout Excess Payment</w:t>
      </w:r>
      <w:r>
        <w:rPr>
          <w:rFonts w:ascii="Arial" w:cs="Arial" w:eastAsia="Arial" w:hAnsi="Arial"/>
          <w:sz w:val="16"/>
          <w:szCs w:val="16"/>
          <w:color w:val="auto"/>
        </w:rPr>
        <w:t xml:space="preserve">”) and shall then apply the balance (i.e., $420,000)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replenish any Escrow Cash paid out during the year following Closing in respect of Claims and a Post-Closing Adjustment, to be available for settlement of Claims pursuant to the Escrow Agreement and Article VIII hereof;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payment to Parent of any undisputed but unpaid Claims; </w:t>
      </w:r>
      <w:r>
        <w:rPr>
          <w:rFonts w:ascii="Arial" w:cs="Arial" w:eastAsia="Arial" w:hAnsi="Arial"/>
          <w:sz w:val="16"/>
          <w:szCs w:val="16"/>
          <w:i w:val="1"/>
          <w:iCs w:val="1"/>
          <w:color w:val="auto"/>
        </w:rPr>
        <w:t>third</w:t>
      </w:r>
      <w:r>
        <w:rPr>
          <w:rFonts w:ascii="Arial" w:cs="Arial" w:eastAsia="Arial" w:hAnsi="Arial"/>
          <w:sz w:val="16"/>
          <w:szCs w:val="16"/>
          <w:color w:val="auto"/>
        </w:rPr>
        <w:t>, to a reserve in respect of outstanding but unresolved Claims by Parent, to be paid out upon settlement of such Claims pursuant to the Escrow Agreement and Article VIII hereof (such three applications, collectively, “</w:t>
      </w:r>
      <w:r>
        <w:rPr>
          <w:rFonts w:ascii="Arial" w:cs="Arial" w:eastAsia="Arial" w:hAnsi="Arial"/>
          <w:sz w:val="16"/>
          <w:szCs w:val="16"/>
          <w:u w:val="single" w:color="auto"/>
          <w:color w:val="auto"/>
        </w:rPr>
        <w:t>Priority Claims</w:t>
      </w:r>
      <w:r>
        <w:rPr>
          <w:rFonts w:ascii="Arial" w:cs="Arial" w:eastAsia="Arial" w:hAnsi="Arial"/>
          <w:sz w:val="16"/>
          <w:szCs w:val="16"/>
          <w:color w:val="auto"/>
        </w:rPr>
        <w:t xml:space="preserve">”); and,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disbursement of the balance (“</w:t>
      </w:r>
      <w:r>
        <w:rPr>
          <w:rFonts w:ascii="Arial" w:cs="Arial" w:eastAsia="Arial" w:hAnsi="Arial"/>
          <w:sz w:val="16"/>
          <w:szCs w:val="16"/>
          <w:u w:val="single" w:color="auto"/>
          <w:color w:val="auto"/>
        </w:rPr>
        <w:t>Year 1 Balance</w:t>
      </w:r>
      <w:r>
        <w:rPr>
          <w:rFonts w:ascii="Arial" w:cs="Arial" w:eastAsia="Arial" w:hAnsi="Arial"/>
          <w:sz w:val="16"/>
          <w:szCs w:val="16"/>
          <w:color w:val="auto"/>
        </w:rPr>
        <w:t xml:space="preserve">”), if any, to the Earnout Participants,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amounts set forth in part 1 of Schedule 2.01(g) hereto shall be paid out of such Year 1 Balance to the parties listed in part 1 of Schedule 2.01(g) prior to making any payments to the Earnout Participants; </w:t>
      </w:r>
      <w:r>
        <w:rPr>
          <w:rFonts w:ascii="Arial" w:cs="Arial" w:eastAsia="Arial" w:hAnsi="Arial"/>
          <w:sz w:val="16"/>
          <w:szCs w:val="16"/>
          <w:i w:val="1"/>
          <w:iCs w:val="1"/>
          <w:color w:val="auto"/>
        </w:rPr>
        <w:t>provided further</w:t>
      </w:r>
      <w:r>
        <w:rPr>
          <w:rFonts w:ascii="Arial" w:cs="Arial" w:eastAsia="Arial" w:hAnsi="Arial"/>
          <w:sz w:val="16"/>
          <w:szCs w:val="16"/>
          <w:color w:val="auto"/>
        </w:rPr>
        <w:t>, that to the extent any Escrow Cash was paid out to Parent in respect of a Payable Post-Closing Adjustment, then the Year 1 Balance and — if and to the extent the Year 1 Balance is insufficient for such purpose — the</w:t>
      </w:r>
    </w:p>
    <w:p>
      <w:pPr>
        <w:spacing w:after="0" w:line="142" w:lineRule="exact"/>
        <w:rPr>
          <w:sz w:val="20"/>
          <w:szCs w:val="20"/>
          <w:color w:val="auto"/>
        </w:rPr>
      </w:pPr>
    </w:p>
    <w:p>
      <w:pPr>
        <w:ind w:left="447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54"/>
          </w:cols>
          <w:pgMar w:left="1386" w:top="935" w:right="259" w:bottom="1440" w:gutter="0" w:footer="0" w:header="0"/>
        </w:sectPr>
      </w:pPr>
    </w:p>
    <w:bookmarkStart w:id="28" w:name="page29"/>
    <w:bookmarkEnd w:id="28"/>
    <w:p>
      <w:pPr>
        <w:ind w:left="920"/>
        <w:spacing w:after="0"/>
        <w:rPr>
          <w:sz w:val="20"/>
          <w:szCs w:val="20"/>
          <w:color w:val="auto"/>
        </w:rPr>
      </w:pPr>
      <w:r>
        <w:rPr>
          <w:rFonts w:ascii="Arial" w:cs="Arial" w:eastAsia="Arial" w:hAnsi="Arial"/>
          <w:sz w:val="16"/>
          <w:szCs w:val="16"/>
          <w:color w:val="auto"/>
        </w:rPr>
        <w:t>Year 1 Earnout Excess Payment, shall be reduced by such amount, dollar for dollar, to the extent as may be necessary to satisfy Priority Claims;</w:t>
      </w:r>
    </w:p>
    <w:p>
      <w:pPr>
        <w:spacing w:after="0" w:line="140" w:lineRule="exact"/>
        <w:rPr>
          <w:sz w:val="20"/>
          <w:szCs w:val="20"/>
          <w:color w:val="auto"/>
        </w:rPr>
      </w:pPr>
    </w:p>
    <w:p>
      <w:pPr>
        <w:ind w:left="920" w:right="80" w:firstLine="226"/>
        <w:spacing w:after="0" w:line="288" w:lineRule="auto"/>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no Year 1 Earnout was paid — then, upon receipt of a Written Direction with respect to the Year 2 Earnout, the Escrow Agent shall immediately pay out to the Earnout Participants any portion of the Year 2 Earnout in excess of $630,000 (such excess, the “</w:t>
      </w:r>
      <w:r>
        <w:rPr>
          <w:rFonts w:ascii="Arial" w:cs="Arial" w:eastAsia="Arial" w:hAnsi="Arial"/>
          <w:sz w:val="16"/>
          <w:szCs w:val="16"/>
          <w:u w:val="single" w:color="auto"/>
          <w:color w:val="auto"/>
        </w:rPr>
        <w:t>Year 2(A) Earnout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Excess Payment</w:t>
      </w:r>
      <w:r>
        <w:rPr>
          <w:rFonts w:ascii="Arial" w:cs="Arial" w:eastAsia="Arial" w:hAnsi="Arial"/>
          <w:sz w:val="16"/>
          <w:szCs w:val="16"/>
          <w:color w:val="auto"/>
        </w:rPr>
        <w:t xml:space="preserve">”) and shall then apply the balance (i.e., $630,000)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payment to Parent of any undisputed but unpaid Claims; </w:t>
      </w:r>
      <w:r>
        <w:rPr>
          <w:rFonts w:ascii="Arial" w:cs="Arial" w:eastAsia="Arial" w:hAnsi="Arial"/>
          <w:sz w:val="16"/>
          <w:szCs w:val="16"/>
          <w:i w:val="1"/>
          <w:iCs w:val="1"/>
          <w:color w:val="auto"/>
        </w:rPr>
        <w:t>second</w:t>
      </w:r>
      <w:r>
        <w:rPr>
          <w:rFonts w:ascii="Arial" w:cs="Arial" w:eastAsia="Arial" w:hAnsi="Arial"/>
          <w:sz w:val="16"/>
          <w:szCs w:val="16"/>
          <w:color w:val="auto"/>
        </w:rPr>
        <w:t>, to a reserve in respect of outstanding but unresolved Claims by Parent, to be available for settlement of Claims pursuant to the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Article VIII hereof (such two applications, collectively, “</w:t>
      </w:r>
      <w:r>
        <w:rPr>
          <w:rFonts w:ascii="Arial" w:cs="Arial" w:eastAsia="Arial" w:hAnsi="Arial"/>
          <w:sz w:val="16"/>
          <w:szCs w:val="16"/>
          <w:u w:val="single" w:color="auto"/>
          <w:color w:val="auto"/>
        </w:rPr>
        <w:t>Year 2(A) Priority Claims</w:t>
      </w:r>
      <w:r>
        <w:rPr>
          <w:rFonts w:ascii="Arial" w:cs="Arial" w:eastAsia="Arial" w:hAnsi="Arial"/>
          <w:sz w:val="16"/>
          <w:szCs w:val="16"/>
          <w:color w:val="auto"/>
        </w:rPr>
        <w:t xml:space="preserve">”); and,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disbursement of the balance (“</w:t>
      </w:r>
      <w:r>
        <w:rPr>
          <w:rFonts w:ascii="Arial" w:cs="Arial" w:eastAsia="Arial" w:hAnsi="Arial"/>
          <w:sz w:val="16"/>
          <w:szCs w:val="16"/>
          <w:u w:val="single" w:color="auto"/>
          <w:color w:val="auto"/>
        </w:rPr>
        <w:t>Year 2(A) Balance</w:t>
      </w:r>
      <w:r>
        <w:rPr>
          <w:rFonts w:ascii="Arial" w:cs="Arial" w:eastAsia="Arial" w:hAnsi="Arial"/>
          <w:sz w:val="16"/>
          <w:szCs w:val="16"/>
          <w:color w:val="auto"/>
        </w:rPr>
        <w:t xml:space="preserve">”), if any, to the Earnout Participants,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amounts set forth in part 2 of Schedule 2.01(g) hereto shall be paid out of such Year 2(A) Balance to the parties listed in part 2 of Schedule 2.01(g) prior to making any payments to the Earnout Participants; </w:t>
      </w:r>
      <w:r>
        <w:rPr>
          <w:rFonts w:ascii="Arial" w:cs="Arial" w:eastAsia="Arial" w:hAnsi="Arial"/>
          <w:sz w:val="16"/>
          <w:szCs w:val="16"/>
          <w:i w:val="1"/>
          <w:iCs w:val="1"/>
          <w:color w:val="auto"/>
        </w:rPr>
        <w:t>provided further</w:t>
      </w:r>
      <w:r>
        <w:rPr>
          <w:rFonts w:ascii="Arial" w:cs="Arial" w:eastAsia="Arial" w:hAnsi="Arial"/>
          <w:sz w:val="16"/>
          <w:szCs w:val="16"/>
          <w:color w:val="auto"/>
        </w:rPr>
        <w:t>, that to the extent any Escrow Cash was paid out to Parent in respect of a Payable Post-Closing Adjustment, then the Year 2(A)</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and — if and to the extent the Year 2(A) Balance is insufficient for such purpose — the Year 2(A) Earnout Excess Payment, shall be reduced by such amount, dollar for dollar, to the extent as may be necessary to satisfy Year 2(A) Priority Claims;</w:t>
      </w:r>
    </w:p>
    <w:p>
      <w:pPr>
        <w:spacing w:after="0" w:line="61" w:lineRule="exact"/>
        <w:rPr>
          <w:rFonts w:ascii="Arial" w:cs="Arial" w:eastAsia="Arial" w:hAnsi="Arial"/>
          <w:sz w:val="16"/>
          <w:szCs w:val="16"/>
          <w:color w:val="auto"/>
        </w:rPr>
      </w:pPr>
    </w:p>
    <w:p>
      <w:pPr>
        <w:ind w:left="920" w:firstLine="226"/>
        <w:spacing w:after="0" w:line="255"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the Year 1 Earnout was paid — then, upon receipt of a Written Direction with respect to the Year 2 Earnout, the Escrow Agent shall deal with such Year 2 Earnout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payment to Parent of any undisputed but unpaid Claims; </w:t>
      </w:r>
      <w:r>
        <w:rPr>
          <w:rFonts w:ascii="Arial" w:cs="Arial" w:eastAsia="Arial" w:hAnsi="Arial"/>
          <w:sz w:val="18"/>
          <w:szCs w:val="18"/>
          <w:i w:val="1"/>
          <w:iCs w:val="1"/>
          <w:color w:val="auto"/>
        </w:rPr>
        <w:t>second</w:t>
      </w:r>
      <w:r>
        <w:rPr>
          <w:rFonts w:ascii="Arial" w:cs="Arial" w:eastAsia="Arial" w:hAnsi="Arial"/>
          <w:sz w:val="18"/>
          <w:szCs w:val="18"/>
          <w:color w:val="auto"/>
        </w:rPr>
        <w:t>, to a reserve in respect of outstanding but unresolved Claims by Parent, to be available for settlement of Claims pursuant to the Escrow Agreement and Article VIII hereof (such two applications, both subject to the limitation set forth in Section 8.09(b), collectively, “</w:t>
      </w:r>
      <w:r>
        <w:rPr>
          <w:rFonts w:ascii="Arial" w:cs="Arial" w:eastAsia="Arial" w:hAnsi="Arial"/>
          <w:sz w:val="18"/>
          <w:szCs w:val="18"/>
          <w:u w:val="single" w:color="auto"/>
          <w:color w:val="auto"/>
        </w:rPr>
        <w:t>Year 2(B) Priority Claims</w:t>
      </w:r>
      <w:r>
        <w:rPr>
          <w:rFonts w:ascii="Arial" w:cs="Arial" w:eastAsia="Arial" w:hAnsi="Arial"/>
          <w:sz w:val="18"/>
          <w:szCs w:val="18"/>
          <w:color w:val="auto"/>
        </w:rPr>
        <w:t xml:space="preserve">”); and,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disbursement of the balance (“</w:t>
      </w:r>
      <w:r>
        <w:rPr>
          <w:rFonts w:ascii="Arial" w:cs="Arial" w:eastAsia="Arial" w:hAnsi="Arial"/>
          <w:sz w:val="18"/>
          <w:szCs w:val="18"/>
          <w:u w:val="single" w:color="auto"/>
          <w:color w:val="auto"/>
        </w:rPr>
        <w:t>Year 2(B) Balance</w:t>
      </w:r>
      <w:r>
        <w:rPr>
          <w:rFonts w:ascii="Arial" w:cs="Arial" w:eastAsia="Arial" w:hAnsi="Arial"/>
          <w:sz w:val="18"/>
          <w:szCs w:val="18"/>
          <w:color w:val="auto"/>
        </w:rPr>
        <w:t xml:space="preserve">”), if any, to the Earnout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that the amounts set forth in part 2 of Schedule 2.01(g) hereto shall be paid out of such Year 2(B) Balance to the parties listed in part 2 of Schedule 2.01(g) prior to making any payments to the Earnout Participants.</w:t>
      </w:r>
    </w:p>
    <w:p>
      <w:pPr>
        <w:spacing w:after="0" w:line="81" w:lineRule="exact"/>
        <w:rPr>
          <w:sz w:val="20"/>
          <w:szCs w:val="20"/>
          <w:color w:val="auto"/>
        </w:rPr>
      </w:pPr>
    </w:p>
    <w:p>
      <w:pPr>
        <w:ind w:right="120" w:firstLine="890"/>
        <w:spacing w:after="0" w:line="286" w:lineRule="auto"/>
        <w:rPr>
          <w:sz w:val="20"/>
          <w:szCs w:val="20"/>
          <w:color w:val="auto"/>
        </w:rPr>
      </w:pPr>
      <w:r>
        <w:rPr>
          <w:rFonts w:ascii="Arial" w:cs="Arial" w:eastAsia="Arial" w:hAnsi="Arial"/>
          <w:sz w:val="17"/>
          <w:szCs w:val="17"/>
          <w:color w:val="auto"/>
        </w:rPr>
        <w:t>Any payment made pursuant to this Section 2.01(g)(iv)(D) to persons listed on Schedule 2.01(g) shall be referred to herein, in the Escrow Agreement and in any Written Direction or Unilateral Written Direction as a “Schedule 2.01(g) Payment.” It is specifically acknowledged and agreed by the parties that the amounts set forth on Schedule 2.01(g) comprise Transaction Expenses, the payment of which has been deferred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9" w:name="page30"/>
    <w:bookmarkEnd w:id="29"/>
    <w:p>
      <w:pPr>
        <w:ind w:right="80"/>
        <w:spacing w:after="0" w:line="276" w:lineRule="auto"/>
        <w:rPr>
          <w:sz w:val="20"/>
          <w:szCs w:val="20"/>
          <w:color w:val="auto"/>
        </w:rPr>
      </w:pPr>
      <w:r>
        <w:rPr>
          <w:rFonts w:ascii="Arial" w:cs="Arial" w:eastAsia="Arial" w:hAnsi="Arial"/>
          <w:sz w:val="17"/>
          <w:szCs w:val="17"/>
          <w:color w:val="auto"/>
        </w:rPr>
        <w:t>Notwithstanding anything to the contrary in this Section 2.01(g)(iv)(D), upon receipt of a Written Direction or a Unilateral Written Direction (and compliance, in the case of a Unilateral Written Objection, with the Parent Objection Procedure), all Earnout Amounts which are in escrow which are not held for (1) replenishment of the Escrow Cash, (2) payment of amounts owed due to negative Post-Closing Adjustments, (3) payment of unsettled and unpaid Claims or (4) reservation against outstanding but unresolved Claims, or which are not required to be paid to those persons and in those amounts described in Schedule 2.01(g), shall be immediately disbursed to the Escrow Participants, all pursuant to the Escrow Agreement.</w:t>
      </w:r>
    </w:p>
    <w:p>
      <w:pPr>
        <w:spacing w:after="0" w:line="64" w:lineRule="exact"/>
        <w:rPr>
          <w:sz w:val="20"/>
          <w:szCs w:val="20"/>
          <w:color w:val="auto"/>
        </w:rPr>
      </w:pPr>
    </w:p>
    <w:p>
      <w:pPr>
        <w:ind w:right="80" w:firstLine="683"/>
        <w:spacing w:after="0" w:line="293" w:lineRule="auto"/>
        <w:tabs>
          <w:tab w:leader="none" w:pos="93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Disagreements over Earnout Consideration</w:t>
      </w:r>
      <w:r>
        <w:rPr>
          <w:rFonts w:ascii="Arial" w:cs="Arial" w:eastAsia="Arial" w:hAnsi="Arial"/>
          <w:sz w:val="16"/>
          <w:szCs w:val="16"/>
          <w:color w:val="auto"/>
        </w:rPr>
        <w:t>. If the Company Stockholder disagrees with Parent’s calculation of the Earnout Consideration payable for an Earnout Period, the Company Stockholder shall, on its own behalf and on behalf of the Incentive Plan Representative, deliver to Parent, by the date 45 days after the date on which Parent shall have delivered to the Company Stockholder the certificate indicating the amount of Company Revenue and any applicable Earnout Consideration payable to the Company Stockholder for the Earnout Period (the “</w:t>
      </w:r>
      <w:r>
        <w:rPr>
          <w:rFonts w:ascii="Arial" w:cs="Arial" w:eastAsia="Arial" w:hAnsi="Arial"/>
          <w:sz w:val="16"/>
          <w:szCs w:val="16"/>
          <w:u w:val="single" w:color="auto"/>
          <w:color w:val="auto"/>
        </w:rPr>
        <w:t>Objection Deadline Date</w:t>
      </w:r>
      <w:r>
        <w:rPr>
          <w:rFonts w:ascii="Arial" w:cs="Arial" w:eastAsia="Arial" w:hAnsi="Arial"/>
          <w:sz w:val="16"/>
          <w:szCs w:val="16"/>
          <w:color w:val="auto"/>
        </w:rPr>
        <w:t>”), a reasonably detailed statement describing its objections (if any) to Parent’s calculations and its assertion of the appropriate calculation of Earnout Consideration. If the Company Stockholder timely objects to such calculations from Parent and offers its own calculation, such objections shall be resolved as follows:</w:t>
      </w:r>
    </w:p>
    <w:p>
      <w:pPr>
        <w:spacing w:after="0" w:line="56" w:lineRule="exact"/>
        <w:rPr>
          <w:rFonts w:ascii="Arial" w:cs="Arial" w:eastAsia="Arial" w:hAnsi="Arial"/>
          <w:sz w:val="16"/>
          <w:szCs w:val="16"/>
          <w:color w:val="auto"/>
        </w:rPr>
      </w:pPr>
    </w:p>
    <w:p>
      <w:pPr>
        <w:ind w:left="1200" w:hanging="292"/>
        <w:spacing w:after="0"/>
        <w:tabs>
          <w:tab w:leader="none" w:pos="12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Parent and the Company Stockholder shall first use reasonable efforts to resolve such objections.</w:t>
      </w:r>
    </w:p>
    <w:p>
      <w:pPr>
        <w:spacing w:after="0" w:line="117" w:lineRule="exact"/>
        <w:rPr>
          <w:rFonts w:ascii="Arial" w:cs="Arial" w:eastAsia="Arial" w:hAnsi="Arial"/>
          <w:sz w:val="18"/>
          <w:szCs w:val="18"/>
          <w:color w:val="auto"/>
        </w:rPr>
      </w:pPr>
    </w:p>
    <w:p>
      <w:pPr>
        <w:ind w:right="120" w:firstLine="908"/>
        <w:spacing w:after="0" w:line="273" w:lineRule="auto"/>
        <w:tabs>
          <w:tab w:leader="none" w:pos="1185"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Parent and the Company Stockholder do not reach a resolution of all objections set forth on the Company Stockholder’s statement of objections within 30 days after delivery of such statement of objections, Parent and the Company Stockholder shall, within 30 days following the expiration of such 30-day period, engage an Arbitrating Accountant (as referenced below), pursuant to an engagement agreement executed by Parent, the Company Stockholder and the Arbitrating Accountant, to resolve any remaining objections set forth on such Company Stockholder’s statement of objections and its calculation (the “</w:t>
      </w:r>
      <w:r>
        <w:rPr>
          <w:rFonts w:ascii="Arial" w:cs="Arial" w:eastAsia="Arial" w:hAnsi="Arial"/>
          <w:sz w:val="17"/>
          <w:szCs w:val="17"/>
          <w:u w:val="single" w:color="auto"/>
          <w:color w:val="auto"/>
        </w:rPr>
        <w:t>Unresolved Objections</w:t>
      </w:r>
      <w:r>
        <w:rPr>
          <w:rFonts w:ascii="Arial" w:cs="Arial" w:eastAsia="Arial" w:hAnsi="Arial"/>
          <w:sz w:val="17"/>
          <w:szCs w:val="17"/>
          <w:color w:val="auto"/>
        </w:rPr>
        <w:t>”). “</w:t>
      </w:r>
      <w:r>
        <w:rPr>
          <w:rFonts w:ascii="Arial" w:cs="Arial" w:eastAsia="Arial" w:hAnsi="Arial"/>
          <w:sz w:val="17"/>
          <w:szCs w:val="17"/>
          <w:u w:val="single" w:color="auto"/>
          <w:color w:val="auto"/>
        </w:rPr>
        <w:t>Arbitrating Accountant</w:t>
      </w:r>
      <w:r>
        <w:rPr>
          <w:rFonts w:ascii="Arial" w:cs="Arial" w:eastAsia="Arial" w:hAnsi="Arial"/>
          <w:sz w:val="17"/>
          <w:szCs w:val="17"/>
          <w:color w:val="auto"/>
        </w:rPr>
        <w:t>” shall mean an accountant selected by Parent and reasonably acceptable to the Company Stockholder, which has not performed services for Parent or the Company Stockholder.</w:t>
      </w:r>
    </w:p>
    <w:p>
      <w:pPr>
        <w:spacing w:after="0" w:line="70" w:lineRule="exact"/>
        <w:rPr>
          <w:rFonts w:ascii="Arial" w:cs="Arial" w:eastAsia="Arial" w:hAnsi="Arial"/>
          <w:sz w:val="17"/>
          <w:szCs w:val="17"/>
          <w:color w:val="auto"/>
        </w:rPr>
      </w:pPr>
    </w:p>
    <w:p>
      <w:pPr>
        <w:ind w:firstLine="908"/>
        <w:spacing w:after="0" w:line="290" w:lineRule="auto"/>
        <w:tabs>
          <w:tab w:leader="none" w:pos="1185" w:val="left"/>
        </w:tabs>
        <w:numPr>
          <w:ilvl w:val="1"/>
          <w:numId w:val="16"/>
        </w:numPr>
        <w:rPr>
          <w:rFonts w:ascii="Arial" w:cs="Arial" w:eastAsia="Arial" w:hAnsi="Arial"/>
          <w:sz w:val="16"/>
          <w:szCs w:val="16"/>
          <w:color w:val="auto"/>
        </w:rPr>
      </w:pPr>
      <w:r>
        <w:rPr>
          <w:rFonts w:ascii="Arial" w:cs="Arial" w:eastAsia="Arial" w:hAnsi="Arial"/>
          <w:sz w:val="16"/>
          <w:szCs w:val="16"/>
          <w:color w:val="auto"/>
        </w:rPr>
        <w:t>Parent and the Company Stockholder shall jointly submit to the Arbitrating Accountant, within 10 days after the date of the engagement of the Arbitrating Accountant (as evidenced by the date of the engagement agreement), a copy of such calculations of the Earnout Consideration, a copy of the statement of objections delivered by the Company Stockholder to Parent, and a statement setting forth the resolution of any objections agreed to by Parent and the Company Stockholder. Each of Parent and the Company Stockholder shall submit to the Arbitrating Accountant (with a copy delivered to the other party on the same day), within 45 days after the date of the engagement of the Arbitrating Accountant, a memorandum (which may include supporting exhibits) setting forth their respective positions on the Unresolved Objections. Each of Parent and the Company Stockholder may (but shall not be required to) submit to the Arbitrating Accountant (with a copy delivered to the other party on the same day), within 60 days after the date of the engagement of the Arbitrating Accountant, a memorandum responding to the initial memorandum submitted to the Arbitrating Accountant by the other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320"/>
        <w:spacing w:after="0" w:line="277" w:lineRule="auto"/>
        <w:rPr>
          <w:sz w:val="20"/>
          <w:szCs w:val="20"/>
          <w:color w:val="auto"/>
        </w:rPr>
      </w:pPr>
      <w:r>
        <w:rPr>
          <w:rFonts w:ascii="Arial" w:cs="Arial" w:eastAsia="Arial" w:hAnsi="Arial"/>
          <w:sz w:val="18"/>
          <w:szCs w:val="18"/>
          <w:color w:val="auto"/>
        </w:rPr>
        <w:t>party. Unless expressly requested in writing by the Arbitrating Accountant in a request made known to both Parent and the Company Stockholder, neither party may present any additional information or arguments to the Arbitrating Accountant, either orally or in writing.</w:t>
      </w:r>
    </w:p>
    <w:p>
      <w:pPr>
        <w:spacing w:after="0" w:line="62" w:lineRule="exact"/>
        <w:rPr>
          <w:sz w:val="20"/>
          <w:szCs w:val="20"/>
          <w:color w:val="auto"/>
        </w:rPr>
      </w:pPr>
    </w:p>
    <w:p>
      <w:pPr>
        <w:ind w:firstLine="908"/>
        <w:spacing w:after="0" w:line="272" w:lineRule="auto"/>
        <w:tabs>
          <w:tab w:leader="none" w:pos="1192" w:val="left"/>
        </w:tabs>
        <w:numPr>
          <w:ilvl w:val="1"/>
          <w:numId w:val="17"/>
        </w:numPr>
        <w:rPr>
          <w:rFonts w:ascii="Arial" w:cs="Arial" w:eastAsia="Arial" w:hAnsi="Arial"/>
          <w:sz w:val="17"/>
          <w:szCs w:val="17"/>
          <w:color w:val="auto"/>
        </w:rPr>
      </w:pPr>
      <w:r>
        <w:rPr>
          <w:rFonts w:ascii="Arial" w:cs="Arial" w:eastAsia="Arial" w:hAnsi="Arial"/>
          <w:sz w:val="17"/>
          <w:szCs w:val="17"/>
          <w:color w:val="auto"/>
        </w:rPr>
        <w:t>Within 90 days after the date of its engagement hereunder (the “</w:t>
      </w:r>
      <w:r>
        <w:rPr>
          <w:rFonts w:ascii="Arial" w:cs="Arial" w:eastAsia="Arial" w:hAnsi="Arial"/>
          <w:sz w:val="17"/>
          <w:szCs w:val="17"/>
          <w:u w:val="single" w:color="auto"/>
          <w:color w:val="auto"/>
        </w:rPr>
        <w:t>Determination Deadline</w:t>
      </w:r>
      <w:r>
        <w:rPr>
          <w:rFonts w:ascii="Arial" w:cs="Arial" w:eastAsia="Arial" w:hAnsi="Arial"/>
          <w:sz w:val="17"/>
          <w:szCs w:val="17"/>
          <w:color w:val="auto"/>
        </w:rPr>
        <w:t>”), the Arbitrating Accountant shall determine whether the objections raised by the Company Stockholder are valid in light of the definition of Company Revenue contained herein and the calculation of Earnout Consideration under Section 2.01(g)(iii) and shall issue a ruling (“</w:t>
      </w:r>
      <w:r>
        <w:rPr>
          <w:rFonts w:ascii="Arial" w:cs="Arial" w:eastAsia="Arial" w:hAnsi="Arial"/>
          <w:sz w:val="17"/>
          <w:szCs w:val="17"/>
          <w:u w:val="single" w:color="auto"/>
          <w:color w:val="auto"/>
        </w:rPr>
        <w:t>Earnout Ruling</w:t>
      </w:r>
      <w:r>
        <w:rPr>
          <w:rFonts w:ascii="Arial" w:cs="Arial" w:eastAsia="Arial" w:hAnsi="Arial"/>
          <w:sz w:val="17"/>
          <w:szCs w:val="17"/>
          <w:color w:val="auto"/>
        </w:rPr>
        <w:t>”) which shall include a calculation of the Earnout Consideration for the Earnout Period in accordance with Section 2.01(g), as adjusted pursuant to any resolutions to objections agreed upon by Parent and the Company Stockholder and pursuant to the Arbitrating Accountant’s resolution of the Unresolved Objections. Such calculation of the Earnout Consideration for the Earnout Period shall be deemed to be final. The Arbitrating Accountant shall provide copies, by the Determination Deadline, of any Earnout Ruling to each of the Parent, the Company Stockholder, the Incentive Plan Representative and the Escrow Agent.</w:t>
      </w:r>
    </w:p>
    <w:p>
      <w:pPr>
        <w:spacing w:after="0" w:line="69" w:lineRule="exact"/>
        <w:rPr>
          <w:rFonts w:ascii="Arial" w:cs="Arial" w:eastAsia="Arial" w:hAnsi="Arial"/>
          <w:sz w:val="17"/>
          <w:szCs w:val="17"/>
          <w:color w:val="auto"/>
        </w:rPr>
      </w:pPr>
    </w:p>
    <w:p>
      <w:pPr>
        <w:ind w:right="320" w:firstLine="908"/>
        <w:spacing w:after="0" w:line="302" w:lineRule="auto"/>
        <w:tabs>
          <w:tab w:leader="none" w:pos="117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resolution by the Arbitrating Accountant of the Unresolved Objections shall be conclusive and binding upon Parent, the Company Stockholder and the Incentive Plan Representative. Parent and the Company Stockholder agree that the procedure set forth in this Section 2.01(g)(v) for resolving disputes with respect to the payout of the Earnout Consideration for the Earnout Period shall be the sole and exclusive method for resolving any such disputes; provided that this provision shall not prohibit either party from instituting litigation to enforce the ruling of the Arbitrating Accountant.</w:t>
      </w:r>
    </w:p>
    <w:p>
      <w:pPr>
        <w:spacing w:after="0" w:line="46" w:lineRule="exact"/>
        <w:rPr>
          <w:rFonts w:ascii="Arial" w:cs="Arial" w:eastAsia="Arial" w:hAnsi="Arial"/>
          <w:sz w:val="16"/>
          <w:szCs w:val="16"/>
          <w:color w:val="auto"/>
        </w:rPr>
      </w:pPr>
    </w:p>
    <w:p>
      <w:pPr>
        <w:jc w:val="both"/>
        <w:ind w:right="20" w:firstLine="908"/>
        <w:spacing w:after="0" w:line="302" w:lineRule="auto"/>
        <w:tabs>
          <w:tab w:leader="none" w:pos="116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fees and expenses of the Arbitrating Accountant shall be borne by Parent or the Company Securityholders depending on which party’s calculation of the Earnout Consideration is furthest away from the final Earnout Consideration determined by the Arbitrating Accountant (and to the extent that the Company Stockholder’s calculation of the Earnout Consideration is furthest away from that determined by the Arbitrating Accountant, Parent and the Company Stockholder shall cause the Escrow Agent to deduct such fees and expenses of the Arbitrating Accountant and to pay such amount to Parent).</w:t>
      </w:r>
    </w:p>
    <w:p>
      <w:pPr>
        <w:spacing w:after="0" w:line="46" w:lineRule="exact"/>
        <w:rPr>
          <w:rFonts w:ascii="Arial" w:cs="Arial" w:eastAsia="Arial" w:hAnsi="Arial"/>
          <w:sz w:val="16"/>
          <w:szCs w:val="16"/>
          <w:color w:val="auto"/>
        </w:rPr>
      </w:pPr>
    </w:p>
    <w:p>
      <w:pPr>
        <w:ind w:right="40" w:firstLine="683"/>
        <w:spacing w:after="0" w:line="29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Company Revenue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Company Revenue</w:t>
      </w:r>
      <w:r>
        <w:rPr>
          <w:rFonts w:ascii="Arial" w:cs="Arial" w:eastAsia="Arial" w:hAnsi="Arial"/>
          <w:sz w:val="16"/>
          <w:szCs w:val="16"/>
          <w:color w:val="auto"/>
        </w:rPr>
        <w:t>” for an Earnout Period shall be the aggregate amount of revenue from sales (excluding taxes) in the Earnout Period of the Earnout Products, Integrated Earnout Products and Bundled Earnout Products (as such terms are hereinafter defined) by the Company, the Parent, or the Parent’s other subsidiaries into the Company’s or the Parent’s sales channels, as determined in accordance with GAAP and as consistently applied by the Company in the Company Financial Statements or the Parent in the Parent’s consolidated financial statements, as the case may be. Any subsequent change in the GAAP voluntarily adopted by the Company in its financial statements or the Parent in the Parent’s consolidated financial statements, as the case may be, that would adversely affect Company Revenue shall not be taken into account for purposes of calculating Company Revenue for purposes of this Agreement (regardless of how Company Revenue is accounted for other purposes such as Parent’s reporting or internal accounting). For purposes of determining Company Revenue for an Earnout Period, Parent shall not impose 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Company any adjustment or charge in the nature of a general and administrative, management or similar adjustment or charge.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Revenue from the Bundled Earnout Products shall be computed by the following formula:</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(Sale price of the Bundled Earnout Products) x (Revenue from Bundled SKUs)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(Sale price of the Bundled Earnout Products + Sale Price of Parent Products)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Revenue from the Integrated Earnout Products shall be computed by the following formula:</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(Cost of the Integrated Earnout Product) x (Revenue from the integrated product of the Parent)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Cost of the Integrated Earnout Product of the Parent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Cost for the above purposes would be computed in accordance with GAAP.</w:t>
      </w:r>
    </w:p>
    <w:p>
      <w:pPr>
        <w:spacing w:after="0" w:line="117" w:lineRule="exact"/>
        <w:rPr>
          <w:sz w:val="20"/>
          <w:szCs w:val="20"/>
          <w:color w:val="auto"/>
        </w:rPr>
      </w:pPr>
    </w:p>
    <w:p>
      <w:pPr>
        <w:ind w:firstLine="683"/>
        <w:spacing w:after="0" w:line="264" w:lineRule="auto"/>
        <w:tabs>
          <w:tab w:leader="none" w:pos="103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Earnout Products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Earnout Products</w:t>
      </w:r>
      <w:r>
        <w:rPr>
          <w:rFonts w:ascii="Arial" w:cs="Arial" w:eastAsia="Arial" w:hAnsi="Arial"/>
          <w:sz w:val="18"/>
          <w:szCs w:val="18"/>
          <w:color w:val="auto"/>
        </w:rPr>
        <w:t>” shall mean each of the products currently produced, manufactured, marketed, licensed, sold or distributed by the Company and its Subsidiaries or currently in development by the Company or its Subsidiaries and not yet in the marketplace, including derivatives and updates of all such products.</w:t>
      </w:r>
    </w:p>
    <w:p>
      <w:pPr>
        <w:spacing w:after="0" w:line="73" w:lineRule="exact"/>
        <w:rPr>
          <w:rFonts w:ascii="Arial" w:cs="Arial" w:eastAsia="Arial" w:hAnsi="Arial"/>
          <w:sz w:val="18"/>
          <w:szCs w:val="18"/>
          <w:color w:val="auto"/>
        </w:rPr>
      </w:pPr>
    </w:p>
    <w:p>
      <w:pPr>
        <w:ind w:right="420" w:firstLine="683"/>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Integrated Earnout Products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Integrated Earnout Products</w:t>
      </w:r>
      <w:r>
        <w:rPr>
          <w:rFonts w:ascii="Arial" w:cs="Arial" w:eastAsia="Arial" w:hAnsi="Arial"/>
          <w:sz w:val="18"/>
          <w:szCs w:val="18"/>
          <w:color w:val="auto"/>
        </w:rPr>
        <w:t>” shall mean Earnout Products sold during an Earnout Period which have been integrated into products of the Parent.</w:t>
      </w:r>
    </w:p>
    <w:p>
      <w:pPr>
        <w:spacing w:after="0" w:line="62" w:lineRule="exact"/>
        <w:rPr>
          <w:rFonts w:ascii="Arial" w:cs="Arial" w:eastAsia="Arial" w:hAnsi="Arial"/>
          <w:sz w:val="18"/>
          <w:szCs w:val="18"/>
          <w:color w:val="auto"/>
        </w:rPr>
      </w:pPr>
    </w:p>
    <w:p>
      <w:pPr>
        <w:ind w:right="60" w:firstLine="68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Bundled Earnout Products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Bundled Earnout Products</w:t>
      </w:r>
      <w:r>
        <w:rPr>
          <w:rFonts w:ascii="Arial" w:cs="Arial" w:eastAsia="Arial" w:hAnsi="Arial"/>
          <w:sz w:val="18"/>
          <w:szCs w:val="18"/>
          <w:color w:val="auto"/>
        </w:rPr>
        <w:t>” shall mean an Earnout Product sold during an Earnout Period, where products of the Parent and Earnout Products are sold in combination as a unique and single SKU.</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Company Options.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Parent is not assuming, and shall not assume, any obligations or Liabilities under (a) any option or similar plan of the Company or its Subsidiaries, (b) any outstanding Company Options, or (c) any other direct or indirect rights to acquire shares of Company Capital Stock (other than to make the payments contemplated under Section 2.01(d)). On the Closing Date, any option or similar plan of the Company or its Subsidiaries, the Company Options, and any other direct or indirect rights to acquire shares (or Company Options) of Company Capital Stock from the Company shall be terminated without further obligation or Liability of the Company, Parent or the Surviving Corporation. Parent shall not be required to substitute any equivalent option or right for any such terminated Company Option or right.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Escrow.</w:t>
      </w:r>
    </w:p>
    <w:p>
      <w:pPr>
        <w:spacing w:after="0" w:line="117" w:lineRule="exact"/>
        <w:rPr>
          <w:sz w:val="20"/>
          <w:szCs w:val="20"/>
          <w:color w:val="auto"/>
        </w:rPr>
      </w:pPr>
    </w:p>
    <w:p>
      <w:pPr>
        <w:ind w:right="20" w:firstLine="215"/>
        <w:spacing w:after="0" w:line="277" w:lineRule="auto"/>
        <w:rPr>
          <w:sz w:val="20"/>
          <w:szCs w:val="20"/>
          <w:color w:val="auto"/>
        </w:rPr>
      </w:pPr>
      <w:r>
        <w:rPr>
          <w:rFonts w:ascii="Arial" w:cs="Arial" w:eastAsia="Arial" w:hAnsi="Arial"/>
          <w:sz w:val="18"/>
          <w:szCs w:val="18"/>
          <w:color w:val="auto"/>
        </w:rPr>
        <w:t>At the Effective Time, Parent shall withhold the Escrow Cash from the Closing Cash Consideration payable, in accordance with the Merger Consideration Certificate, to the Incentive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2" w:name="page33"/>
    <w:bookmarkEnd w:id="32"/>
    <w:p>
      <w:pPr>
        <w:ind w:right="40"/>
        <w:spacing w:after="0" w:line="287" w:lineRule="auto"/>
        <w:rPr>
          <w:sz w:val="20"/>
          <w:szCs w:val="20"/>
          <w:color w:val="auto"/>
        </w:rPr>
      </w:pPr>
      <w:r>
        <w:rPr>
          <w:rFonts w:ascii="Arial" w:cs="Arial" w:eastAsia="Arial" w:hAnsi="Arial"/>
          <w:sz w:val="16"/>
          <w:szCs w:val="16"/>
          <w:color w:val="auto"/>
        </w:rPr>
        <w:t>Plan Representative (on behalf of the Incentive Plan Participants), the Company Stockholder and Piper Jaffray &amp; Co. (“</w:t>
      </w:r>
      <w:r>
        <w:rPr>
          <w:rFonts w:ascii="Arial" w:cs="Arial" w:eastAsia="Arial" w:hAnsi="Arial"/>
          <w:sz w:val="16"/>
          <w:szCs w:val="16"/>
          <w:u w:val="single" w:color="auto"/>
          <w:color w:val="auto"/>
        </w:rPr>
        <w:t>Piper Jaffray</w:t>
      </w:r>
      <w:r>
        <w:rPr>
          <w:rFonts w:ascii="Arial" w:cs="Arial" w:eastAsia="Arial" w:hAnsi="Arial"/>
          <w:sz w:val="16"/>
          <w:szCs w:val="16"/>
          <w:color w:val="auto"/>
        </w:rPr>
        <w:t>”). For the purposes of this Section 2.03, the Incentive Plan Representative and the Company Stockholder are together referred to as the “</w:t>
      </w:r>
      <w:r>
        <w:rPr>
          <w:rFonts w:ascii="Arial" w:cs="Arial" w:eastAsia="Arial" w:hAnsi="Arial"/>
          <w:sz w:val="16"/>
          <w:szCs w:val="16"/>
          <w:u w:val="single" w:color="auto"/>
          <w:color w:val="auto"/>
        </w:rPr>
        <w:t>Escrow Participants</w:t>
      </w:r>
      <w:r>
        <w:rPr>
          <w:rFonts w:ascii="Arial" w:cs="Arial" w:eastAsia="Arial" w:hAnsi="Arial"/>
          <w:sz w:val="16"/>
          <w:szCs w:val="16"/>
          <w:color w:val="auto"/>
        </w:rPr>
        <w:t>.” Simultaneously with the execution and delivery of this Agreement, Parent, the Incentive Plan Representative (on behalf of the Incentive Plan Participants) and the Escrow Agent shall enter into an escrow agreement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 which will provide the terms and conditions for the release of the Escrow Cash, along with any other amounts deposited with the Escrow Agent as security for the indemnification obligations of Article VIII pursuant to the terms of this Agreement (such amounts, together with the Escrow Cash, comprising the “</w:t>
      </w:r>
      <w:r>
        <w:rPr>
          <w:rFonts w:ascii="Arial" w:cs="Arial" w:eastAsia="Arial" w:hAnsi="Arial"/>
          <w:sz w:val="16"/>
          <w:szCs w:val="16"/>
          <w:u w:val="single" w:color="auto"/>
          <w:color w:val="auto"/>
        </w:rPr>
        <w:t>Escrow Amount</w:t>
      </w:r>
      <w:r>
        <w:rPr>
          <w:rFonts w:ascii="Arial" w:cs="Arial" w:eastAsia="Arial" w:hAnsi="Arial"/>
          <w:sz w:val="16"/>
          <w:szCs w:val="16"/>
          <w:color w:val="auto"/>
        </w:rPr>
        <w:t>”), after the second anniversary of the Closing Date, subject to the terms of this Agreement and the Escrow Agreement. On the Closing Date, Parent shall cause the Escrow Cash to be deposited with the Escrow Agent. The Escrow Agent shall hold the Escrow Amount as security for the indemnification rights under Article VIII and pursuant to the terms of that certain letter agreement dated as of October 30, 2009 between Piper Jaffray and NetStreams, L.L.C. (the “</w:t>
      </w:r>
      <w:r>
        <w:rPr>
          <w:rFonts w:ascii="Arial" w:cs="Arial" w:eastAsia="Arial" w:hAnsi="Arial"/>
          <w:sz w:val="16"/>
          <w:szCs w:val="16"/>
          <w:u w:val="single" w:color="auto"/>
          <w:color w:val="auto"/>
        </w:rPr>
        <w:t>Piper Jaffray Agreement</w:t>
      </w:r>
      <w:r>
        <w:rPr>
          <w:rFonts w:ascii="Arial" w:cs="Arial" w:eastAsia="Arial" w:hAnsi="Arial"/>
          <w:sz w:val="16"/>
          <w:szCs w:val="16"/>
          <w:color w:val="auto"/>
        </w:rPr>
        <w:t>”), amending that certain engagement letter between Piper Jaffray and NetStreams, L.L.C. dated February 2, 2009. The parties intend that, for tax purposes, the Escrow Cash shall qualify for installment sale treatment under §453 of the Code. A portion of the Escrow Cash will be treated as imputed interest to the extent required under the Code.</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Closing Adjustment.</w:t>
      </w:r>
    </w:p>
    <w:p>
      <w:pPr>
        <w:spacing w:after="0" w:line="113" w:lineRule="exact"/>
        <w:rPr>
          <w:sz w:val="20"/>
          <w:szCs w:val="20"/>
          <w:color w:val="auto"/>
        </w:rPr>
      </w:pPr>
    </w:p>
    <w:p>
      <w:pPr>
        <w:ind w:right="180" w:firstLine="458"/>
        <w:spacing w:after="0" w:line="277" w:lineRule="auto"/>
        <w:tabs>
          <w:tab w:leader="none" w:pos="69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Closing Adjustment</w:t>
      </w:r>
      <w:r>
        <w:rPr>
          <w:rFonts w:ascii="Arial" w:cs="Arial" w:eastAsia="Arial" w:hAnsi="Arial"/>
          <w:sz w:val="17"/>
          <w:szCs w:val="17"/>
          <w:b w:val="1"/>
          <w:bCs w:val="1"/>
          <w:color w:val="auto"/>
        </w:rPr>
        <w:t>.</w:t>
      </w:r>
      <w:r>
        <w:rPr>
          <w:rFonts w:ascii="Arial" w:cs="Arial" w:eastAsia="Arial" w:hAnsi="Arial"/>
          <w:sz w:val="17"/>
          <w:szCs w:val="17"/>
          <w:color w:val="auto"/>
        </w:rPr>
        <w:t xml:space="preserve"> As soon as practicable before the Closing, the Company shall prepare and deliver to Parent a statement setting forth its good faith estimate of Closing Working Capital (the “</w:t>
      </w:r>
      <w:r>
        <w:rPr>
          <w:rFonts w:ascii="Arial" w:cs="Arial" w:eastAsia="Arial" w:hAnsi="Arial"/>
          <w:sz w:val="17"/>
          <w:szCs w:val="17"/>
          <w:u w:val="single" w:color="auto"/>
          <w:color w:val="auto"/>
        </w:rPr>
        <w:t>Estimated Closing Working Capital</w:t>
      </w:r>
      <w:r>
        <w:rPr>
          <w:rFonts w:ascii="Arial" w:cs="Arial" w:eastAsia="Arial" w:hAnsi="Arial"/>
          <w:sz w:val="17"/>
          <w:szCs w:val="17"/>
          <w:color w:val="auto"/>
        </w:rPr>
        <w:t>”), which statement shall contain an estimated balance sheet of the Company as of the Closing Date (without giving effect to the transactions contemplated herein), a calculation of Estimated Closing Working Capital (the “</w:t>
      </w:r>
      <w:r>
        <w:rPr>
          <w:rFonts w:ascii="Arial" w:cs="Arial" w:eastAsia="Arial" w:hAnsi="Arial"/>
          <w:sz w:val="17"/>
          <w:szCs w:val="17"/>
          <w:u w:val="single" w:color="auto"/>
          <w:color w:val="auto"/>
        </w:rPr>
        <w:t>Estimated Closing Working Capital Statement</w:t>
      </w:r>
      <w:r>
        <w:rPr>
          <w:rFonts w:ascii="Arial" w:cs="Arial" w:eastAsia="Arial" w:hAnsi="Arial"/>
          <w:sz w:val="17"/>
          <w:szCs w:val="17"/>
          <w:color w:val="auto"/>
        </w:rPr>
        <w:t>”), and a certificate of the Company’s Chief Financial Officer that the Estimated Closing Working Capital Statement was prepared in accordance with GAAP, consistently applied, subject to the following (the “</w:t>
      </w:r>
      <w:r>
        <w:rPr>
          <w:rFonts w:ascii="Arial" w:cs="Arial" w:eastAsia="Arial" w:hAnsi="Arial"/>
          <w:sz w:val="17"/>
          <w:szCs w:val="17"/>
          <w:u w:val="single" w:color="auto"/>
          <w:color w:val="auto"/>
        </w:rPr>
        <w:t>GAAP Exceptions</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firstLine="683"/>
        <w:spacing w:after="0" w:line="286" w:lineRule="auto"/>
        <w:tabs>
          <w:tab w:leader="none" w:pos="887" w:val="left"/>
        </w:tabs>
        <w:numPr>
          <w:ilvl w:val="1"/>
          <w:numId w:val="20"/>
        </w:numPr>
        <w:rPr>
          <w:rFonts w:ascii="Arial" w:cs="Arial" w:eastAsia="Arial" w:hAnsi="Arial"/>
          <w:sz w:val="17"/>
          <w:szCs w:val="17"/>
          <w:color w:val="auto"/>
        </w:rPr>
      </w:pPr>
      <w:r>
        <w:rPr>
          <w:rFonts w:ascii="Arial" w:cs="Arial" w:eastAsia="Arial" w:hAnsi="Arial"/>
          <w:sz w:val="17"/>
          <w:szCs w:val="17"/>
          <w:color w:val="auto"/>
        </w:rPr>
        <w:t>With respect to accounts receivable, no allowance shall be provided for doubtful accounts. All known bad debts as of the Effective Date would be deducted from accounts receivable. Receivables attributable to products sent as advance replacement to customers shall be valued at 10% of the recorded receivable, and products loaned to customers and manufacturer representatives shall be valued at 42% of their cost.</w:t>
      </w:r>
    </w:p>
    <w:p>
      <w:pPr>
        <w:spacing w:after="0" w:line="57" w:lineRule="exact"/>
        <w:rPr>
          <w:rFonts w:ascii="Arial" w:cs="Arial" w:eastAsia="Arial" w:hAnsi="Arial"/>
          <w:sz w:val="17"/>
          <w:szCs w:val="17"/>
          <w:color w:val="auto"/>
        </w:rPr>
      </w:pPr>
    </w:p>
    <w:p>
      <w:pPr>
        <w:ind w:right="140" w:firstLine="683"/>
        <w:spacing w:after="0" w:line="342" w:lineRule="auto"/>
        <w:tabs>
          <w:tab w:leader="none" w:pos="9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With respect to inventory, refurbished inventory in normal working condition shall be valued at 70% of the average cost. Inventory returned by customers, but not yet refurbished to working condition shall be valued at 35% of the average cost. No other reserves against inventory shall be permitted.</w:t>
      </w:r>
    </w:p>
    <w:p>
      <w:pPr>
        <w:spacing w:after="0" w:line="15" w:lineRule="exact"/>
        <w:rPr>
          <w:rFonts w:ascii="Arial" w:cs="Arial" w:eastAsia="Arial" w:hAnsi="Arial"/>
          <w:sz w:val="16"/>
          <w:szCs w:val="16"/>
          <w:color w:val="auto"/>
        </w:rPr>
      </w:pPr>
    </w:p>
    <w:p>
      <w:pPr>
        <w:ind w:left="1000" w:hanging="317"/>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 respect to accounts payable, all known payables including with respect to inventory received, shall be taken into account.</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With respect to accrued expenses, in calculating accrued expenses, the following amounts shall be disregarded: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ind w:left="1200" w:hanging="292"/>
        <w:spacing w:after="0"/>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expenses for services received but for which amounts due are not known or invoiced, not exceeding $50,000 in aggregate before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102" w:lineRule="exact"/>
        <w:rPr>
          <w:rFonts w:ascii="Arial" w:cs="Arial" w:eastAsia="Arial" w:hAnsi="Arial"/>
          <w:sz w:val="17"/>
          <w:szCs w:val="17"/>
          <w:color w:val="auto"/>
        </w:rPr>
      </w:pPr>
    </w:p>
    <w:p>
      <w:pPr>
        <w:ind w:right="780" w:firstLine="908"/>
        <w:spacing w:after="0" w:line="277" w:lineRule="auto"/>
        <w:tabs>
          <w:tab w:leader="none" w:pos="11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salaries and related employer taxes accrued until the Effective Date in respect of the first payroll to be paid after closing, excluding termination bonuses and other payments;</w:t>
      </w:r>
    </w:p>
    <w:p>
      <w:pPr>
        <w:spacing w:after="0" w:line="62" w:lineRule="exact"/>
        <w:rPr>
          <w:rFonts w:ascii="Arial" w:cs="Arial" w:eastAsia="Arial" w:hAnsi="Arial"/>
          <w:sz w:val="18"/>
          <w:szCs w:val="18"/>
          <w:color w:val="auto"/>
        </w:rPr>
      </w:pPr>
    </w:p>
    <w:p>
      <w:pPr>
        <w:ind w:left="1200" w:hanging="292"/>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vacation accrued for continuing employees; and</w:t>
      </w:r>
    </w:p>
    <w:p>
      <w:pPr>
        <w:spacing w:after="0" w:line="117" w:lineRule="exact"/>
        <w:rPr>
          <w:rFonts w:ascii="Arial" w:cs="Arial" w:eastAsia="Arial" w:hAnsi="Arial"/>
          <w:sz w:val="18"/>
          <w:szCs w:val="18"/>
          <w:color w:val="auto"/>
        </w:rPr>
      </w:pPr>
    </w:p>
    <w:p>
      <w:pPr>
        <w:ind w:left="1200" w:hanging="292"/>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interest and finance charges accrued to the extent of $17,000.</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warranty claims, accrual for warranty claims shall be restricted to $85,000.</w:t>
      </w:r>
    </w:p>
    <w:p>
      <w:pPr>
        <w:spacing w:after="0" w:line="117" w:lineRule="exact"/>
        <w:rPr>
          <w:sz w:val="20"/>
          <w:szCs w:val="20"/>
          <w:color w:val="auto"/>
        </w:rPr>
      </w:pPr>
    </w:p>
    <w:p>
      <w:pPr>
        <w:ind w:right="40" w:firstLine="447"/>
        <w:spacing w:after="0" w:line="28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Closing Adjustment</w:t>
      </w:r>
      <w:r>
        <w:rPr>
          <w:rFonts w:ascii="Arial" w:cs="Arial" w:eastAsia="Arial" w:hAnsi="Arial"/>
          <w:sz w:val="17"/>
          <w:szCs w:val="17"/>
          <w:color w:val="auto"/>
        </w:rPr>
        <w:t>” shall be an amount equal to the Estimated Closing Working Capital minus $1,000,000 (the “</w:t>
      </w:r>
      <w:r>
        <w:rPr>
          <w:rFonts w:ascii="Arial" w:cs="Arial" w:eastAsia="Arial" w:hAnsi="Arial"/>
          <w:sz w:val="17"/>
          <w:szCs w:val="17"/>
          <w:u w:val="single" w:color="auto"/>
          <w:color w:val="auto"/>
        </w:rPr>
        <w:t>Target Working Capital</w:t>
      </w:r>
      <w:r>
        <w:rPr>
          <w:rFonts w:ascii="Arial" w:cs="Arial" w:eastAsia="Arial" w:hAnsi="Arial"/>
          <w:sz w:val="17"/>
          <w:szCs w:val="17"/>
          <w:color w:val="auto"/>
        </w:rPr>
        <w:t>”). If the Closing Adjustment is a positive number, the Closing Cash Consideration shall be increased by the amount of the Closing Adjustment. If the Closing Adjustment is a negative number, the Closing Cash Consideration shall be reduced by the amount of the Closing Adjustment.</w:t>
      </w:r>
    </w:p>
    <w:p>
      <w:pPr>
        <w:spacing w:after="0" w:line="5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Working Capital</w:t>
      </w:r>
      <w:r>
        <w:rPr>
          <w:rFonts w:ascii="Arial" w:cs="Arial" w:eastAsia="Arial" w:hAnsi="Arial"/>
          <w:sz w:val="17"/>
          <w:szCs w:val="17"/>
          <w:color w:val="auto"/>
        </w:rPr>
        <w:t>” shall be defined as the Current Assets of the Company as at the Closing Date less the Current Liabilities of the Company as at the Closing Date. “</w:t>
      </w:r>
      <w:r>
        <w:rPr>
          <w:rFonts w:ascii="Arial" w:cs="Arial" w:eastAsia="Arial" w:hAnsi="Arial"/>
          <w:sz w:val="17"/>
          <w:szCs w:val="17"/>
          <w:u w:val="single" w:color="auto"/>
          <w:color w:val="auto"/>
        </w:rPr>
        <w:t>Current Assets</w:t>
      </w:r>
      <w:r>
        <w:rPr>
          <w:rFonts w:ascii="Arial" w:cs="Arial" w:eastAsia="Arial" w:hAnsi="Arial"/>
          <w:sz w:val="17"/>
          <w:szCs w:val="17"/>
          <w:color w:val="auto"/>
        </w:rPr>
        <w:t>” of the Company shall mean the sum of accounts receivable, prepaid expenses, inventories and all other current assets of the Company, including cash and cash equivalents, all as determined in accordance with GAAP, consistently applied. “</w:t>
      </w:r>
      <w:r>
        <w:rPr>
          <w:rFonts w:ascii="Arial" w:cs="Arial" w:eastAsia="Arial" w:hAnsi="Arial"/>
          <w:sz w:val="17"/>
          <w:szCs w:val="17"/>
          <w:u w:val="single" w:color="auto"/>
          <w:color w:val="auto"/>
        </w:rPr>
        <w:t>Current Liabilities</w:t>
      </w:r>
      <w:r>
        <w:rPr>
          <w:rFonts w:ascii="Arial" w:cs="Arial" w:eastAsia="Arial" w:hAnsi="Arial"/>
          <w:sz w:val="17"/>
          <w:szCs w:val="17"/>
          <w:color w:val="auto"/>
        </w:rPr>
        <w:t>” of the Company shall mean the sum of all accounts payable, accrued expenses, and all other current payables or current accrued liabilities of the Company, but excludes any Indebtedness or Transaction Expenses, all as determined in accordance with GAAP, consistently applied.</w:t>
      </w:r>
    </w:p>
    <w:p>
      <w:pPr>
        <w:spacing w:after="0" w:line="64" w:lineRule="exact"/>
        <w:rPr>
          <w:sz w:val="20"/>
          <w:szCs w:val="20"/>
          <w:color w:val="auto"/>
        </w:rPr>
      </w:pPr>
    </w:p>
    <w:p>
      <w:pPr>
        <w:ind w:left="720" w:hanging="26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Post-Closing Adjustment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683"/>
        <w:spacing w:after="0" w:line="302" w:lineRule="auto"/>
        <w:tabs>
          <w:tab w:leader="none" w:pos="8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Within sixty (60) days after the Closing Date, Parent shall prepare and deliver to Company Stockholder a statement setting forth its calculation of Closing Working Capital, which statement shall contain a balance sheet of the Company as of the Closing Date (without giving effect to the transactions contemplated herein), a calculation of Closing Working Capital (the </w:t>
      </w:r>
      <w:r>
        <w:rPr>
          <w:rFonts w:ascii="Arial" w:cs="Arial" w:eastAsia="Arial" w:hAnsi="Arial"/>
          <w:sz w:val="16"/>
          <w:szCs w:val="16"/>
          <w:u w:val="single" w:color="auto"/>
          <w:color w:val="auto"/>
        </w:rPr>
        <w:t>“Closing Working Capital Statement</w:t>
      </w:r>
      <w:r>
        <w:rPr>
          <w:rFonts w:ascii="Arial" w:cs="Arial" w:eastAsia="Arial" w:hAnsi="Arial"/>
          <w:sz w:val="16"/>
          <w:szCs w:val="16"/>
          <w:color w:val="auto"/>
        </w:rPr>
        <w:t>”) and a certificate of the Chief Financial Officer of Parent that the Closing Working Capital Statement was prepared in accordance with GAAP, consistently applied, subject to the GAAP Exceptions.</w:t>
      </w:r>
    </w:p>
    <w:p>
      <w:pPr>
        <w:spacing w:after="0" w:line="46" w:lineRule="exact"/>
        <w:rPr>
          <w:rFonts w:ascii="Arial" w:cs="Arial" w:eastAsia="Arial" w:hAnsi="Arial"/>
          <w:sz w:val="16"/>
          <w:szCs w:val="16"/>
          <w:color w:val="auto"/>
        </w:rPr>
      </w:pPr>
    </w:p>
    <w:p>
      <w:pPr>
        <w:ind w:firstLine="683"/>
        <w:spacing w:after="0" w:line="276" w:lineRule="auto"/>
        <w:tabs>
          <w:tab w:leader="none" w:pos="937"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Closing Working Capital Statement shall indicate whether a post-closing adjustment is payable with respect to working capital. The post-closing adjustment shall be an amount equal to the Closing Working Capital minus the Estimated Closing Working Capital (the “</w:t>
      </w:r>
      <w:r>
        <w:rPr>
          <w:rFonts w:ascii="Arial" w:cs="Arial" w:eastAsia="Arial" w:hAnsi="Arial"/>
          <w:sz w:val="17"/>
          <w:szCs w:val="17"/>
          <w:u w:val="single" w:color="auto"/>
          <w:color w:val="auto"/>
        </w:rPr>
        <w:t>Post-Closing Adjustment</w:t>
      </w:r>
      <w:r>
        <w:rPr>
          <w:rFonts w:ascii="Arial" w:cs="Arial" w:eastAsia="Arial" w:hAnsi="Arial"/>
          <w:sz w:val="17"/>
          <w:szCs w:val="17"/>
          <w:color w:val="auto"/>
        </w:rPr>
        <w:t>”), provided that no amount shall be payable pursuant to this Section 2.04 with respect to a Post-Closing Adjustment unless the Post-Closing Adjustment exceeds $50,000 (the “</w:t>
      </w:r>
      <w:r>
        <w:rPr>
          <w:rFonts w:ascii="Arial" w:cs="Arial" w:eastAsia="Arial" w:hAnsi="Arial"/>
          <w:sz w:val="17"/>
          <w:szCs w:val="17"/>
          <w:u w:val="single" w:color="auto"/>
          <w:color w:val="auto"/>
        </w:rPr>
        <w:t>Post-Closing Adjsutment Threshold</w:t>
      </w:r>
      <w:r>
        <w:rPr>
          <w:rFonts w:ascii="Arial" w:cs="Arial" w:eastAsia="Arial" w:hAnsi="Arial"/>
          <w:sz w:val="17"/>
          <w:szCs w:val="17"/>
          <w:color w:val="auto"/>
        </w:rPr>
        <w:t>”). If the Post-Closing Adjustment Threshold is met, then only that amount of the Post-Closing Adjustment in excess of $25,000 shall be payable hereunder (such amount, the “</w:t>
      </w:r>
      <w:r>
        <w:rPr>
          <w:rFonts w:ascii="Arial" w:cs="Arial" w:eastAsia="Arial" w:hAnsi="Arial"/>
          <w:sz w:val="17"/>
          <w:szCs w:val="17"/>
          <w:u w:val="single" w:color="auto"/>
          <w:color w:val="auto"/>
        </w:rPr>
        <w:t>Payable Post-Closing Adjustment</w:t>
      </w:r>
      <w:r>
        <w:rPr>
          <w:rFonts w:ascii="Arial" w:cs="Arial" w:eastAsia="Arial" w:hAnsi="Arial"/>
          <w:sz w:val="17"/>
          <w:szCs w:val="17"/>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Examination and Review</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right="20" w:firstLine="683"/>
        <w:spacing w:after="0" w:line="255" w:lineRule="auto"/>
        <w:tabs>
          <w:tab w:leader="none" w:pos="89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Examination.</w:t>
      </w:r>
      <w:r>
        <w:rPr>
          <w:rFonts w:ascii="Arial" w:cs="Arial" w:eastAsia="Arial" w:hAnsi="Arial"/>
          <w:sz w:val="18"/>
          <w:szCs w:val="18"/>
          <w:color w:val="auto"/>
        </w:rPr>
        <w:t xml:space="preserve"> After receipt of the Closing Working Capital Statement, Company Stockholder shall have 30 days (the “</w:t>
      </w:r>
      <w:r>
        <w:rPr>
          <w:rFonts w:ascii="Arial" w:cs="Arial" w:eastAsia="Arial" w:hAnsi="Arial"/>
          <w:sz w:val="18"/>
          <w:szCs w:val="18"/>
          <w:u w:val="single" w:color="auto"/>
          <w:color w:val="auto"/>
        </w:rPr>
        <w:t>Review Period</w:t>
      </w:r>
      <w:r>
        <w:rPr>
          <w:rFonts w:ascii="Arial" w:cs="Arial" w:eastAsia="Arial" w:hAnsi="Arial"/>
          <w:sz w:val="18"/>
          <w:szCs w:val="18"/>
          <w:color w:val="auto"/>
        </w:rPr>
        <w:t xml:space="preserve">”) to review the Closing Working Capital Statement. During the Review Period, Company Stockholder and Company Stockholder’s Accountants shall have full access to the books and records of the Company, the personnel of, and working papers prepared by, Parent and/or Parent’s Accountants to the extent that they relate to the Closing Working Capital Statement and to such historical financial information (to the extent in Parent’s possession) relating to the Closing Working Capital Statement as Company Stockholder may reasonably request for the purpose of reviewing the Closing Working Capital Statement and to prepare a Statement of Objections (defined below),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access shall be in a manner that does not interfere with the normal business operations of Parent or the Company.</w:t>
      </w:r>
    </w:p>
    <w:p>
      <w:pPr>
        <w:spacing w:after="0" w:line="81" w:lineRule="exact"/>
        <w:rPr>
          <w:rFonts w:ascii="Arial" w:cs="Arial" w:eastAsia="Arial" w:hAnsi="Arial"/>
          <w:sz w:val="18"/>
          <w:szCs w:val="18"/>
          <w:color w:val="auto"/>
        </w:rPr>
      </w:pPr>
    </w:p>
    <w:p>
      <w:pPr>
        <w:ind w:firstLine="683"/>
        <w:spacing w:after="0" w:line="284" w:lineRule="auto"/>
        <w:tabs>
          <w:tab w:leader="none" w:pos="94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Objection.</w:t>
      </w:r>
      <w:r>
        <w:rPr>
          <w:rFonts w:ascii="Arial" w:cs="Arial" w:eastAsia="Arial" w:hAnsi="Arial"/>
          <w:sz w:val="16"/>
          <w:szCs w:val="16"/>
          <w:color w:val="auto"/>
        </w:rPr>
        <w:t xml:space="preserve"> On or prior to the last day of the Review Period, Company Stockholder may object to the Closing Working Capital Statement by delivering to Parent a written statement setting forth Company Stockholder’s objections in reasonable detail, indicating each disputed item or amount and the basis for Company Stockholder’s disagreement therewith (the “</w:t>
      </w:r>
      <w:r>
        <w:rPr>
          <w:rFonts w:ascii="Arial" w:cs="Arial" w:eastAsia="Arial" w:hAnsi="Arial"/>
          <w:sz w:val="16"/>
          <w:szCs w:val="16"/>
          <w:u w:val="single" w:color="auto"/>
          <w:color w:val="auto"/>
        </w:rPr>
        <w:t>Statement of Objections</w:t>
      </w:r>
      <w:r>
        <w:rPr>
          <w:rFonts w:ascii="Arial" w:cs="Arial" w:eastAsia="Arial" w:hAnsi="Arial"/>
          <w:sz w:val="16"/>
          <w:szCs w:val="16"/>
          <w:color w:val="auto"/>
        </w:rPr>
        <w:t>”). If Company Stockholder fails to deliver the Statement of Objections before the expiration of the Review Period, the Closing Working Capital Statement and the Post-Closing Adjustment, as the case may be, reflected in the Closing Working Capital Statement shall be deemed to have been accepted by Company Stockholder. If Company Stockholder delivers the Statement of Objections before the expiration of the Review Period, Parent and Company Stockholder shall negotiate in good faith to resolve such objections within</w:t>
      </w:r>
    </w:p>
    <w:p>
      <w:pPr>
        <w:spacing w:after="0" w:line="4" w:lineRule="exact"/>
        <w:rPr>
          <w:rFonts w:ascii="Arial" w:cs="Arial" w:eastAsia="Arial" w:hAnsi="Arial"/>
          <w:sz w:val="16"/>
          <w:szCs w:val="16"/>
          <w:color w:val="auto"/>
        </w:rPr>
      </w:pPr>
    </w:p>
    <w:p>
      <w:pPr>
        <w:jc w:val="both"/>
        <w:ind w:right="200"/>
        <w:spacing w:after="0" w:line="255" w:lineRule="auto"/>
        <w:rPr>
          <w:rFonts w:ascii="Arial" w:cs="Arial" w:eastAsia="Arial" w:hAnsi="Arial"/>
          <w:sz w:val="16"/>
          <w:szCs w:val="16"/>
          <w:color w:val="auto"/>
        </w:rPr>
      </w:pPr>
      <w:r>
        <w:rPr>
          <w:rFonts w:ascii="Arial" w:cs="Arial" w:eastAsia="Arial" w:hAnsi="Arial"/>
          <w:sz w:val="18"/>
          <w:szCs w:val="18"/>
          <w:color w:val="auto"/>
        </w:rPr>
        <w:t>30 days after the delivery of the Statement of Objections (the “</w:t>
      </w:r>
      <w:r>
        <w:rPr>
          <w:rFonts w:ascii="Arial" w:cs="Arial" w:eastAsia="Arial" w:hAnsi="Arial"/>
          <w:sz w:val="18"/>
          <w:szCs w:val="18"/>
          <w:u w:val="single" w:color="auto"/>
          <w:color w:val="auto"/>
        </w:rPr>
        <w:t>Resolution Period</w:t>
      </w:r>
      <w:r>
        <w:rPr>
          <w:rFonts w:ascii="Arial" w:cs="Arial" w:eastAsia="Arial" w:hAnsi="Arial"/>
          <w:sz w:val="18"/>
          <w:szCs w:val="18"/>
          <w:color w:val="auto"/>
        </w:rPr>
        <w:t>”), and, if the same are so resolved within the Resolution Period, the Post-Closing Adjustment and the Closing Working Capital Statement with such changes as may have been previously agreed in writing by Parent and Company Stockholder, shall be final and binding.</w:t>
      </w:r>
    </w:p>
    <w:p>
      <w:pPr>
        <w:spacing w:after="0" w:line="82" w:lineRule="exact"/>
        <w:rPr>
          <w:rFonts w:ascii="Arial" w:cs="Arial" w:eastAsia="Arial" w:hAnsi="Arial"/>
          <w:sz w:val="16"/>
          <w:szCs w:val="16"/>
          <w:color w:val="auto"/>
        </w:rPr>
      </w:pPr>
    </w:p>
    <w:p>
      <w:pPr>
        <w:ind w:right="20" w:firstLine="683"/>
        <w:spacing w:after="0" w:line="270" w:lineRule="auto"/>
        <w:tabs>
          <w:tab w:leader="none" w:pos="99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Resolution of Disputes.</w:t>
      </w:r>
      <w:r>
        <w:rPr>
          <w:rFonts w:ascii="Arial" w:cs="Arial" w:eastAsia="Arial" w:hAnsi="Arial"/>
          <w:sz w:val="17"/>
          <w:szCs w:val="17"/>
          <w:color w:val="auto"/>
        </w:rPr>
        <w:t xml:space="preserve"> If Company Stockholder and Parent fail to reach an agreement with respect to all of the matters set forth in the Statement of Objections before expiration of the Resolution Period, then any amounts remaining in dispute (“</w:t>
      </w:r>
      <w:r>
        <w:rPr>
          <w:rFonts w:ascii="Arial" w:cs="Arial" w:eastAsia="Arial" w:hAnsi="Arial"/>
          <w:sz w:val="17"/>
          <w:szCs w:val="17"/>
          <w:u w:val="single" w:color="auto"/>
          <w:color w:val="auto"/>
        </w:rPr>
        <w:t>Disputed Amounts</w:t>
      </w:r>
      <w:r>
        <w:rPr>
          <w:rFonts w:ascii="Arial" w:cs="Arial" w:eastAsia="Arial" w:hAnsi="Arial"/>
          <w:sz w:val="17"/>
          <w:szCs w:val="17"/>
          <w:color w:val="auto"/>
        </w:rPr>
        <w:t>” and any amounts not so disputed, the “</w:t>
      </w:r>
      <w:r>
        <w:rPr>
          <w:rFonts w:ascii="Arial" w:cs="Arial" w:eastAsia="Arial" w:hAnsi="Arial"/>
          <w:sz w:val="17"/>
          <w:szCs w:val="17"/>
          <w:u w:val="single" w:color="auto"/>
          <w:color w:val="auto"/>
        </w:rPr>
        <w:t>Undisputed Amounts</w:t>
      </w:r>
      <w:r>
        <w:rPr>
          <w:rFonts w:ascii="Arial" w:cs="Arial" w:eastAsia="Arial" w:hAnsi="Arial"/>
          <w:sz w:val="17"/>
          <w:szCs w:val="17"/>
          <w:color w:val="auto"/>
        </w:rPr>
        <w:t>”) shall be submitted for resolution to the office of PMB Helin Donovan, LLP or, if PMB Helin Donovan, LLP is unable to serve, Parent and Company Stockholder shall appoint by mutual agreement the office of an impartial nationally recognized firm of independent certified public accountants other than Company Stockholder’s Accountants or Parent’s Accountants (the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who, acting as experts and not arbitrators, shall resolve the Disputed Amounts only and make any adjustments to the Post-Closing Adjustment, as the case may be, and the Closing Working Capital Statement. The parties hereto agree that all adjustments shall be made without regard to materiality. The Independent Accountants shall only decide the specific items under dispute by the parties and their decision for each Disputed Amount must be within the range of values assigned to each such item in the Closing Working Capital Statement and the Statement of Objections, respectively.</w:t>
      </w:r>
    </w:p>
    <w:p>
      <w:pPr>
        <w:spacing w:after="0" w:line="73" w:lineRule="exact"/>
        <w:rPr>
          <w:rFonts w:ascii="Arial" w:cs="Arial" w:eastAsia="Arial" w:hAnsi="Arial"/>
          <w:sz w:val="17"/>
          <w:szCs w:val="17"/>
          <w:color w:val="auto"/>
        </w:rPr>
      </w:pPr>
    </w:p>
    <w:p>
      <w:pPr>
        <w:ind w:right="80" w:firstLine="683"/>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Fees of the Independent Accountants.</w:t>
      </w:r>
      <w:r>
        <w:rPr>
          <w:rFonts w:ascii="Arial" w:cs="Arial" w:eastAsia="Arial" w:hAnsi="Arial"/>
          <w:sz w:val="18"/>
          <w:szCs w:val="18"/>
          <w:color w:val="auto"/>
        </w:rPr>
        <w:t xml:space="preserve"> Company Stockholder shall pay a portion of the fees and expenses of the Independent Accountants equal to 100% multiplied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t>by a fraction, the numerator of which is the amount of Disputed Amounts submitted to the Independent Accountants that are resolved in favor of Parent (that being the difference between the Independent Accountants’ determination and Company Stockholder’s determination) and the denominator of which is the total amount of Disputed Amounts submitted to the Independent Accountants (that being the sum total by which Parent’s determination and Company Stockholder’s determination differ from the determination of the Independent Accountants). Parent shall be entitled, at its option, to request the Escrow Agent to pay any such amount payable by the Company Stockholder, as such amount shall be noted by the Independent Accountants in the Payable Post-Closing Adjustment Determination, out of the Escrow Amount. Parent shall pay that portion of the fees and expenses of the Independent Accountants that Company Stockholder is not required to pay hereunder.</w:t>
      </w:r>
    </w:p>
    <w:p>
      <w:pPr>
        <w:spacing w:after="0" w:line="81" w:lineRule="exact"/>
        <w:rPr>
          <w:sz w:val="20"/>
          <w:szCs w:val="20"/>
          <w:color w:val="auto"/>
        </w:rPr>
      </w:pPr>
    </w:p>
    <w:p>
      <w:pPr>
        <w:ind w:right="20" w:firstLine="683"/>
        <w:spacing w:after="0" w:line="257"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Determination by Independent Accountants.</w:t>
      </w:r>
      <w:r>
        <w:rPr>
          <w:rFonts w:ascii="Arial" w:cs="Arial" w:eastAsia="Arial" w:hAnsi="Arial"/>
          <w:sz w:val="18"/>
          <w:szCs w:val="18"/>
          <w:color w:val="auto"/>
        </w:rPr>
        <w:t xml:space="preserve"> The Independent Accountants shall make a determination (“</w:t>
      </w:r>
      <w:r>
        <w:rPr>
          <w:rFonts w:ascii="Arial" w:cs="Arial" w:eastAsia="Arial" w:hAnsi="Arial"/>
          <w:sz w:val="18"/>
          <w:szCs w:val="18"/>
          <w:u w:val="single" w:color="auto"/>
          <w:color w:val="auto"/>
        </w:rPr>
        <w:t>Payable Post-Closing Adjustment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w:t>
      </w:r>
      <w:r>
        <w:rPr>
          <w:rFonts w:ascii="Arial" w:cs="Arial" w:eastAsia="Arial" w:hAnsi="Arial"/>
          <w:sz w:val="18"/>
          <w:szCs w:val="18"/>
          <w:color w:val="auto"/>
        </w:rPr>
        <w:t>”) as soon as practicable within 30 days (or such other time as the parties hereto shall agree in writing) after their engagement, and shall deliver copies of such Determination to Parent, Company Stockholder, Incentive Plan Representative and Escrow Agent. The Independent Accountants’ resolution of the Disputed Amounts and their adjustments to the Closing Working Capital Statement and/or the Post-Closing Adjustment, if any, shall be conclusive and binding upon the parties hereto.</w:t>
      </w:r>
    </w:p>
    <w:p>
      <w:pPr>
        <w:spacing w:after="0" w:line="80" w:lineRule="exact"/>
        <w:rPr>
          <w:rFonts w:ascii="Arial" w:cs="Arial" w:eastAsia="Arial" w:hAnsi="Arial"/>
          <w:sz w:val="18"/>
          <w:szCs w:val="18"/>
          <w:color w:val="auto"/>
        </w:rPr>
      </w:pPr>
    </w:p>
    <w:p>
      <w:pPr>
        <w:ind w:firstLine="683"/>
        <w:spacing w:after="0" w:line="270"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Payments of Post-Closing Adjustment.</w:t>
      </w:r>
      <w:r>
        <w:rPr>
          <w:rFonts w:ascii="Arial" w:cs="Arial" w:eastAsia="Arial" w:hAnsi="Arial"/>
          <w:sz w:val="17"/>
          <w:szCs w:val="17"/>
          <w:color w:val="auto"/>
        </w:rPr>
        <w:t xml:space="preserve"> Except as otherwise provided herein, any payment of the Payable Post-Closing Adjustment, together with interest calculated as set forth below, shall be due within ten (10) Business Days of acceptance of the applicable Closing Working Capital Statement or, if there are Disputed Amounts, then within ten (10) Business Days of the delivery of the Payable Post-Closing Adjustment Determination. Any Payable Post-Closing Adjustment payable to Parent shall be paid out of the Escrow Cash, pursuant to the terms of the Escrow Agreement. Any Payable Post-Closing Adjustment payable to Company Stockholder and Incentive Plan Participants shall paid by Parent to the Escrow Agent, and shall thereafter be immediately disbursed by the Escrow Agent. The amount of any Payable Post-Closing Adjustment shall bear interest from and including the Closing Date to but excluding the date of payment at a rate per annum equal to six percent (6%). Such interest shall be calculated daily on the basis of a 365 day year and the actual number of days elapsed, without compounding, and shall be included in the total amount of any Payable Post-Closing Adjustment reflected in a Payable Post-Closing Adjustment Determination.</w:t>
      </w:r>
    </w:p>
    <w:p>
      <w:pPr>
        <w:spacing w:after="0" w:line="74" w:lineRule="exact"/>
        <w:rPr>
          <w:sz w:val="20"/>
          <w:szCs w:val="20"/>
          <w:color w:val="auto"/>
        </w:rPr>
      </w:pPr>
    </w:p>
    <w:p>
      <w:pPr>
        <w:ind w:right="60" w:firstLine="458"/>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Adjustments for Tax Purposes</w:t>
      </w:r>
      <w:r>
        <w:rPr>
          <w:rFonts w:ascii="Arial" w:cs="Arial" w:eastAsia="Arial" w:hAnsi="Arial"/>
          <w:sz w:val="18"/>
          <w:szCs w:val="18"/>
          <w:color w:val="auto"/>
        </w:rPr>
        <w:t>. Any payments made pursuant to this Section 2.04 shall be treated as adjustments to the Merger Consideration by the parties for Tax purposes, unless otherwise required by Law.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xml:space="preserve"> At and upon the Effective Time:</w:t>
      </w:r>
    </w:p>
    <w:p>
      <w:pPr>
        <w:spacing w:after="0" w:line="117" w:lineRule="exact"/>
        <w:rPr>
          <w:sz w:val="20"/>
          <w:szCs w:val="20"/>
          <w:color w:val="auto"/>
        </w:rPr>
      </w:pPr>
    </w:p>
    <w:p>
      <w:pPr>
        <w:ind w:right="160" w:firstLine="458"/>
        <w:spacing w:after="0" w:line="286" w:lineRule="auto"/>
        <w:tabs>
          <w:tab w:leader="none" w:pos="6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separate existence of Merger Sub shall cease and Merger Sub shall be merged with and into the Company, and the Company shall be the surviving corporation of the Merger pursuant to the terms of this Agreement and a certificate of merger in the form attached hereto as Exhibit B (as required by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which shall have been filed with the Secretary of State of the State of Delaware;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left="720" w:hanging="262"/>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certificate of incorporation of the Surviving Corporation shall be amended in its entirety to read as set forth in the Certificate of Merger;</w:t>
      </w:r>
    </w:p>
    <w:p>
      <w:pPr>
        <w:spacing w:after="0" w:line="128" w:lineRule="exact"/>
        <w:rPr>
          <w:rFonts w:ascii="Arial" w:cs="Arial" w:eastAsia="Arial" w:hAnsi="Arial"/>
          <w:sz w:val="17"/>
          <w:szCs w:val="17"/>
          <w:color w:val="auto"/>
        </w:rPr>
      </w:pPr>
    </w:p>
    <w:p>
      <w:pPr>
        <w:ind w:left="700" w:hanging="24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bylaws of the Surviving Corporation shall be amended in its entirety to read as the bylaws of Merger Sub;</w:t>
      </w:r>
    </w:p>
    <w:p>
      <w:pPr>
        <w:spacing w:after="0" w:line="117" w:lineRule="exact"/>
        <w:rPr>
          <w:rFonts w:ascii="Arial" w:cs="Arial" w:eastAsia="Arial" w:hAnsi="Arial"/>
          <w:sz w:val="18"/>
          <w:szCs w:val="18"/>
          <w:color w:val="auto"/>
        </w:rPr>
      </w:pPr>
    </w:p>
    <w:p>
      <w:pPr>
        <w:ind w:right="20" w:firstLine="458"/>
        <w:spacing w:after="0" w:line="277"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officers of Merger Sub immediately prior to the Effective Time shall be appointed as the officers of the Surviving Corporation immediately after the Effective Time until their respective successors are duly appointed;</w:t>
      </w:r>
    </w:p>
    <w:p>
      <w:pPr>
        <w:spacing w:after="0" w:line="62" w:lineRule="exact"/>
        <w:rPr>
          <w:rFonts w:ascii="Arial" w:cs="Arial" w:eastAsia="Arial" w:hAnsi="Arial"/>
          <w:sz w:val="18"/>
          <w:szCs w:val="18"/>
          <w:color w:val="auto"/>
        </w:rPr>
      </w:pPr>
    </w:p>
    <w:p>
      <w:pPr>
        <w:ind w:right="80" w:firstLine="458"/>
        <w:spacing w:after="0" w:line="342"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members of the Board of Directors of Merger Sub immediately prior to the Effective Time shall be elected as the members of the Board of Directors of the Surviving Corporation immediately after the Effective Time until their respective successors are duly elected or appointed and qualified; and</w:t>
      </w:r>
    </w:p>
    <w:p>
      <w:pPr>
        <w:spacing w:after="0" w:line="15" w:lineRule="exact"/>
        <w:rPr>
          <w:rFonts w:ascii="Arial" w:cs="Arial" w:eastAsia="Arial" w:hAnsi="Arial"/>
          <w:sz w:val="16"/>
          <w:szCs w:val="16"/>
          <w:color w:val="auto"/>
        </w:rPr>
      </w:pPr>
    </w:p>
    <w:p>
      <w:pPr>
        <w:ind w:left="680" w:hanging="22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Merger shall, from and after the Effective Time, have all of the effects provided by the DGCL.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Tax Consequences and Withholding.</w:t>
      </w:r>
    </w:p>
    <w:p>
      <w:pPr>
        <w:spacing w:after="0" w:line="117" w:lineRule="exact"/>
        <w:rPr>
          <w:sz w:val="20"/>
          <w:szCs w:val="20"/>
          <w:color w:val="auto"/>
        </w:rPr>
      </w:pPr>
    </w:p>
    <w:p>
      <w:pPr>
        <w:ind w:right="160" w:firstLine="458"/>
        <w:spacing w:after="0" w:line="264"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parties intend that the Merger shall be treated as a taxable purchase of securities of the Company pursuant to the Code and each party shall report the transactions contemplated hereby consistently with such intent. However, no party hereto makes any representation or warranty regarding the Tax consequences of any transaction contemplated by this Agreement.</w:t>
      </w:r>
    </w:p>
    <w:p>
      <w:pPr>
        <w:spacing w:after="0" w:line="73" w:lineRule="exact"/>
        <w:rPr>
          <w:rFonts w:ascii="Arial" w:cs="Arial" w:eastAsia="Arial" w:hAnsi="Arial"/>
          <w:sz w:val="18"/>
          <w:szCs w:val="18"/>
          <w:color w:val="auto"/>
        </w:rPr>
      </w:pPr>
    </w:p>
    <w:p>
      <w:pPr>
        <w:ind w:firstLine="458"/>
        <w:spacing w:after="0" w:line="257"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Parent or Parent’s agent shall be entitled to deduct and withhold from the Merger Consideration any amounts required to be deducted and withheld under the Code, or any applicable provision of state, local or foreign tax law, with respect to the making of such payment. To the extent that amounts are so withheld and properly remitted to the appropriate Governmental Authority, such withheld amounts shall be (i) treated for all purposes of this Agreement as having been paid to the Company Stockholder or the Incentive Plan Participants, as applicable, and (ii) deposited on such person’s behalf with the appropriate taxing authorities.</w:t>
      </w:r>
    </w:p>
    <w:p>
      <w:pPr>
        <w:spacing w:after="0" w:line="80" w:lineRule="exact"/>
        <w:rPr>
          <w:rFonts w:ascii="Arial" w:cs="Arial" w:eastAsia="Arial" w:hAnsi="Arial"/>
          <w:sz w:val="18"/>
          <w:szCs w:val="18"/>
          <w:color w:val="auto"/>
        </w:rPr>
      </w:pPr>
    </w:p>
    <w:p>
      <w:pPr>
        <w:ind w:right="120" w:firstLine="458"/>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each party (and its representatives, agents and employees) may consult any tax advisor regarding the U.S. federal tax treatment and U.S. federal tax structure of the transactions contemplated hereby and may disclose to any person, without limitation of any kind, the U.S. federal tax treatment and U.S. federal tax structure of the transactions contemplated hereby and all materials (including opinions or other tax analyses) that are provided relating to such treatment or structure.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If at any time before or after the Effective Time Parent reasonably believes or is advised that any further instruments, deeds, assignments or assurances are reasonably necessary or desirable to consummate the Merger or to carry out the purposes and intent of this Agreement at or after the Effective Time, then the Company, Parent, the Surviving Corporation and their respective officers or directors shall execute and deliver all such proper deeds, assignments,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ind w:right="240"/>
        <w:spacing w:after="0" w:line="277" w:lineRule="auto"/>
        <w:rPr>
          <w:sz w:val="20"/>
          <w:szCs w:val="20"/>
          <w:color w:val="auto"/>
        </w:rPr>
      </w:pPr>
      <w:r>
        <w:rPr>
          <w:rFonts w:ascii="Arial" w:cs="Arial" w:eastAsia="Arial" w:hAnsi="Arial"/>
          <w:sz w:val="18"/>
          <w:szCs w:val="18"/>
          <w:color w:val="auto"/>
        </w:rPr>
        <w:t>instruments and assurances and do all other things reasonably necessary or desirable to consummate the Merger and to carry out the purposes and intent of this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Dissenting Shares.</w:t>
      </w:r>
    </w:p>
    <w:p>
      <w:pPr>
        <w:spacing w:after="0" w:line="117" w:lineRule="exact"/>
        <w:rPr>
          <w:sz w:val="20"/>
          <w:szCs w:val="20"/>
          <w:color w:val="auto"/>
        </w:rPr>
      </w:pPr>
    </w:p>
    <w:p>
      <w:pPr>
        <w:ind w:right="20" w:firstLine="458"/>
        <w:spacing w:after="0" w:line="290"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shares of Company Capital Stock that are outstanding immediately prior to the Effective Time and that are held by a stockholder of the Company who shall have neither voted in favor of the Merger nor consented thereto in writing and who shall have demanded properly in writing appraisal for such shares in accordance with Section 262 of the DGCL (collectively,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shall not be converted into, or represent the right to receive, any Merger Consideration. Such stockholder shall be entitled to receive payment of the appraised value of such Company Capital Stock held by them in accordance with the provisions of such Section 262, except that all Dissenting Shares held by stockholders of the Company who shall have failed to perfect or who effectively shall have withdrawn or lost their rights to appraisal of such shares under such Section 262 shall thereupon be deemed to have been converted into, and to have become exchangeable for, as of the Effective Time, the right to receive any Merger Consideration, without any interest thereon, upon surrender of the certificate or certificates, if any, that formerly evidenced such shares.</w:t>
      </w:r>
    </w:p>
    <w:p>
      <w:pPr>
        <w:spacing w:after="0" w:line="58" w:lineRule="exact"/>
        <w:rPr>
          <w:rFonts w:ascii="Arial" w:cs="Arial" w:eastAsia="Arial" w:hAnsi="Arial"/>
          <w:sz w:val="16"/>
          <w:szCs w:val="16"/>
          <w:color w:val="auto"/>
        </w:rPr>
      </w:pPr>
    </w:p>
    <w:p>
      <w:pPr>
        <w:ind w:right="120" w:firstLine="458"/>
        <w:spacing w:after="0" w:line="264" w:lineRule="auto"/>
        <w:tabs>
          <w:tab w:leader="none" w:pos="7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give Parent (i) prompt notice of any demands for appraisal received by the Company, withdrawals of such demands, and any other instruments served pursuant to the DGCL and received by the Company and (ii) the opportunity to participate in all negotiations and proceedings with respect to demands for appraisal under the DGCL.</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Austin Ventures VIII, L.P. Convertible Notes.</w:t>
      </w:r>
    </w:p>
    <w:p>
      <w:pPr>
        <w:spacing w:after="0" w:line="117" w:lineRule="exact"/>
        <w:rPr>
          <w:sz w:val="20"/>
          <w:szCs w:val="20"/>
          <w:color w:val="auto"/>
        </w:rPr>
      </w:pPr>
    </w:p>
    <w:p>
      <w:pPr>
        <w:ind w:right="560" w:firstLine="222"/>
        <w:spacing w:after="0" w:line="308" w:lineRule="auto"/>
        <w:rPr>
          <w:sz w:val="20"/>
          <w:szCs w:val="20"/>
          <w:color w:val="auto"/>
        </w:rPr>
      </w:pPr>
      <w:r>
        <w:rPr>
          <w:rFonts w:ascii="Arial" w:cs="Arial" w:eastAsia="Arial" w:hAnsi="Arial"/>
          <w:sz w:val="17"/>
          <w:szCs w:val="17"/>
          <w:color w:val="auto"/>
        </w:rPr>
        <w:t>The Company and the Company Stockholder will cause any principal and interest due under the Austin Ventures VIII, L.P. Convertible Notes to be converted, in accordance with the terms thereof and immediately prior to Closing, into shares of Company Series B Stock.</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Transaction Fees</w:t>
      </w:r>
      <w:r>
        <w:rPr>
          <w:rFonts w:ascii="Arial" w:cs="Arial" w:eastAsia="Arial" w:hAnsi="Arial"/>
          <w:sz w:val="18"/>
          <w:szCs w:val="18"/>
          <w:color w:val="auto"/>
        </w:rPr>
        <w:t>.</w:t>
      </w:r>
    </w:p>
    <w:p>
      <w:pPr>
        <w:spacing w:after="0" w:line="117"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Each of Parent and the Company shall bear and pay all of its respective fees, costs and expenses (including all legal fees and expenses) that have been incurred or that may in the future be incurred in connection with the transactions contemplated hereby, whether or not the Merger is consummated.</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Incentive Plan Representative.</w:t>
      </w:r>
    </w:p>
    <w:p>
      <w:pPr>
        <w:spacing w:after="0" w:line="117" w:lineRule="exact"/>
        <w:rPr>
          <w:sz w:val="20"/>
          <w:szCs w:val="20"/>
          <w:color w:val="auto"/>
        </w:rPr>
      </w:pPr>
    </w:p>
    <w:p>
      <w:pPr>
        <w:jc w:val="both"/>
        <w:ind w:firstLine="458"/>
        <w:spacing w:after="0" w:line="257" w:lineRule="auto"/>
        <w:tabs>
          <w:tab w:leader="none" w:pos="6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Incentive Plan Participants shall appoint Kevin A. Reinis as Incentive Plan Representative, to act as agent and attorney-in-fact for and on behalf of the Incentive Plan Participants and to authorize distribution of the Escrow Cash in satisfaction of claims by such Parent Indemnified Parties, and to take all actions necessary or appropriate in the judgment of Incentive Plan Representative for the accomplishment of the foregoing. No bond shall be required of the Incentive Plan Representative, and the Incentive Plan Representative shall not receive compensation for his or her services. Notices or communications to or from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t>Incentive Plan Representative shall constitute notice to or from each Incentive Plan Participant. The Incentive Plan Representative shall not have any duty to ascertain or to inquire as to the performance or observance of any of the terms, covenants or conditions of this Agreement. As to any matters not expressly provided for in this Agreement, the Incentive Plan Representative shall not exercise any discretion or take any action. The Incentive Plan Representative shall have no ability to consent to the amendment of the terms of this Agreement, except with respect to matters which do not have or are not reasonably expected to have, a material adverse effect upon the Incentive Plan Participants, but shall be entitled to waive or agree to a delay of performance by Parent or Merger Sub of their covenants hereunder.</w:t>
      </w:r>
    </w:p>
    <w:p>
      <w:pPr>
        <w:spacing w:after="0" w:line="85" w:lineRule="exact"/>
        <w:rPr>
          <w:sz w:val="20"/>
          <w:szCs w:val="20"/>
          <w:color w:val="auto"/>
        </w:rPr>
      </w:pPr>
    </w:p>
    <w:p>
      <w:pPr>
        <w:ind w:right="20" w:firstLine="458"/>
        <w:spacing w:after="0" w:line="255" w:lineRule="auto"/>
        <w:tabs>
          <w:tab w:leader="none" w:pos="7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Incentive Plan Representative shall delegate the Company Stockholder to act as agent for the Incentive Plan Representative and the Incentive Plan Participants with respect to the Post-Closing Adjustment, the Earnout Payment Amounts and Claims under Article VIII and any disputes or disagreements thereto; </w:t>
      </w:r>
      <w:r>
        <w:rPr>
          <w:rFonts w:ascii="Arial" w:cs="Arial" w:eastAsia="Arial" w:hAnsi="Arial"/>
          <w:sz w:val="18"/>
          <w:szCs w:val="18"/>
          <w:i w:val="1"/>
          <w:iCs w:val="1"/>
          <w:color w:val="auto"/>
        </w:rPr>
        <w:t>provided, however</w:t>
      </w:r>
      <w:r>
        <w:rPr>
          <w:rFonts w:ascii="Arial" w:cs="Arial" w:eastAsia="Arial" w:hAnsi="Arial"/>
          <w:sz w:val="18"/>
          <w:szCs w:val="18"/>
          <w:color w:val="auto"/>
        </w:rPr>
        <w:t>, the Incentive Plan Representative shall be copied on all notices regarding the Earnout Payment Amounts, the Post-Closing Adjustments and any Claims under Article VIII, and the Company Stockholder shall keep the Incentive Plan Representative reasonably informed as to the status of any such disputes or Claims and shall take into consideration the reasonable recommendations of the Incentive Plan Representative with respect to such disputes or Claims.</w:t>
      </w:r>
    </w:p>
    <w:p>
      <w:pPr>
        <w:spacing w:after="0" w:line="85" w:lineRule="exact"/>
        <w:rPr>
          <w:rFonts w:ascii="Arial" w:cs="Arial" w:eastAsia="Arial" w:hAnsi="Arial"/>
          <w:sz w:val="18"/>
          <w:szCs w:val="18"/>
          <w:color w:val="auto"/>
        </w:rPr>
      </w:pPr>
    </w:p>
    <w:p>
      <w:pPr>
        <w:ind w:right="60" w:firstLine="458"/>
        <w:spacing w:after="0" w:line="312"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Incentive Plan Representative resigns or becomes legally incapacitated, or is otherwise similarly unable to carry out its duties hereunder, then Peter Radekevich shall be designated as the Incentive Plan Representative, and if that person resigns or becomes legally incapacitated, or is otherwise similarly unable to carry out its duties hereunder, then the Company Stockholder shall become the Incentive Plan Representative.</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 OF THE COMPANY</w:t>
      </w:r>
    </w:p>
    <w:p>
      <w:pPr>
        <w:spacing w:after="0" w:line="117" w:lineRule="exact"/>
        <w:rPr>
          <w:sz w:val="20"/>
          <w:szCs w:val="20"/>
          <w:color w:val="auto"/>
        </w:rPr>
      </w:pPr>
    </w:p>
    <w:p>
      <w:pPr>
        <w:jc w:val="both"/>
        <w:ind w:right="220" w:firstLine="215"/>
        <w:spacing w:after="0" w:line="264" w:lineRule="auto"/>
        <w:rPr>
          <w:sz w:val="20"/>
          <w:szCs w:val="20"/>
          <w:color w:val="auto"/>
        </w:rPr>
      </w:pPr>
      <w:r>
        <w:rPr>
          <w:rFonts w:ascii="Arial" w:cs="Arial" w:eastAsia="Arial" w:hAnsi="Arial"/>
          <w:sz w:val="18"/>
          <w:szCs w:val="18"/>
          <w:color w:val="auto"/>
        </w:rPr>
        <w:t>As an inducement to Parent and Merger Sub to enter into this Agreement, and except as disclosed in or qualified by the disclosure schedule prepared by the Company and delivered by the Company to Parent and Merger Sub simultaneously with the execution and delivery of this Agreement (the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the Company hereby represents and warrants to Parent and Merger Sub that: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Organization and Qualification; Subsidiaries.</w:t>
      </w:r>
    </w:p>
    <w:p>
      <w:pPr>
        <w:spacing w:after="0" w:line="117" w:lineRule="exact"/>
        <w:rPr>
          <w:sz w:val="20"/>
          <w:szCs w:val="20"/>
          <w:color w:val="auto"/>
        </w:rPr>
      </w:pPr>
    </w:p>
    <w:p>
      <w:pPr>
        <w:ind w:firstLine="458"/>
        <w:spacing w:after="0" w:line="297"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xml:space="preserve"> The Company is a corporation duly incorporated and validly existing and in good standing under the laws of the State of Delaware and has the requisite corporate power and authority and all necessary governmental approvals to own, lease and operate its properties and to carry on its business as it is now being conducted, except where the failure to have such power, authority and governmental approvals would not prevent or materially delay consummation of the Merger and would not reasonably be expected to have a Material Adverse Effect. The Company is duly qualified or licensed as a foreign legal entity to do business, and is in good standing, in each jurisdiction where the character of the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properties owned, leased or operated by it or the nature of its business makes such qualification or licensing necessary.</w:t>
      </w:r>
    </w:p>
    <w:p>
      <w:pPr>
        <w:spacing w:after="0" w:line="117" w:lineRule="exact"/>
        <w:rPr>
          <w:sz w:val="20"/>
          <w:szCs w:val="20"/>
          <w:color w:val="auto"/>
        </w:rPr>
      </w:pPr>
    </w:p>
    <w:p>
      <w:pPr>
        <w:ind w:left="720" w:hanging="26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683"/>
        <w:spacing w:after="0" w:line="259" w:lineRule="auto"/>
        <w:tabs>
          <w:tab w:leader="none" w:pos="8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Section 3.01(b)(i) of the Disclosure Schedule sets forth a true, correct and complete list of each Subsidiary of the Company. Each Subsidiary of the Company is a corporation or other business entity duly organized and validly existing under the laws of its jurisdiction of organization and has the requisite corporate or other organizational power and authority and all necessary governmental approvals to own, lease and operate its properties and to carry on its business as it is now being conducted.</w:t>
      </w:r>
    </w:p>
    <w:p>
      <w:pPr>
        <w:spacing w:after="0" w:line="78" w:lineRule="exact"/>
        <w:rPr>
          <w:rFonts w:ascii="Arial" w:cs="Arial" w:eastAsia="Arial" w:hAnsi="Arial"/>
          <w:sz w:val="18"/>
          <w:szCs w:val="18"/>
          <w:color w:val="auto"/>
        </w:rPr>
      </w:pPr>
    </w:p>
    <w:p>
      <w:pPr>
        <w:ind w:firstLine="683"/>
        <w:spacing w:after="0" w:line="342" w:lineRule="auto"/>
        <w:tabs>
          <w:tab w:leader="none" w:pos="9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Subsidiary of the Company is duly qualified or licensed as a foreign legal entity to do business, and is in good standing, in each jurisdiction where the character of the properties owned, leased or operated by it or the nature of its business makes such qualification or licensing necessary.</w:t>
      </w:r>
    </w:p>
    <w:p>
      <w:pPr>
        <w:spacing w:after="0" w:line="15" w:lineRule="exact"/>
        <w:rPr>
          <w:rFonts w:ascii="Arial" w:cs="Arial" w:eastAsia="Arial" w:hAnsi="Arial"/>
          <w:sz w:val="16"/>
          <w:szCs w:val="16"/>
          <w:color w:val="auto"/>
        </w:rPr>
      </w:pPr>
    </w:p>
    <w:p>
      <w:pPr>
        <w:ind w:firstLine="683"/>
        <w:spacing w:after="0" w:line="290" w:lineRule="auto"/>
        <w:tabs>
          <w:tab w:leader="none" w:pos="99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Except as otherwise set forth on Section 3.01(b)(iii) of the Disclosure Schedule, the Company is the direct or indirect owner of all of the issued and outstanding shares of capital stock or other equity ownership interests of each Subsidiary, free and clear of all Encumbrances, and all such shares or interests are duly authorized, validly issued, fully paid and nonassessable and are not subject to any preemptive right or right of first refusal created by statute, the certificate or articles of incorporation and bylaws or other equivalent organizational or governing documents, as applicable, of such Subsidiary or any contract to which such Subsidiary is a party or by which it is bound. For those Subsidiaries, if any, where the Company does not directly or indirectly own all of the issued and outstanding shares of capital stock or other equity ownership interests of such Subsidiary, Section 3.01(b)(iii) of the Disclosure Schedule sets forth an accurate list of all outstanding shares of capital stock or other units of equity ownership and the number of shares or other units owned by the Company and each Subsidiary of the Company and by each other person owning capital stock or other units of such entity.</w:t>
      </w:r>
    </w:p>
    <w:p>
      <w:pPr>
        <w:spacing w:after="0" w:line="58" w:lineRule="exact"/>
        <w:rPr>
          <w:rFonts w:ascii="Arial" w:cs="Arial" w:eastAsia="Arial" w:hAnsi="Arial"/>
          <w:sz w:val="16"/>
          <w:szCs w:val="16"/>
          <w:color w:val="auto"/>
        </w:rPr>
      </w:pPr>
    </w:p>
    <w:p>
      <w:pPr>
        <w:ind w:right="20" w:firstLine="683"/>
        <w:spacing w:after="0" w:line="293"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Except as set forth on Section 3.01(b)(iv) of the Disclosure Schedule, there are no outstanding subscriptions, options, warrants, “put” or “call” rights, exchangeable or convertible securities or other contracts of any character relating to the issued or unissued capital stock, membership interests or other securities of any Subsidiary of the Company or otherwise obligating the Company or any Subsidiary of the Company to issue, transfer, sell, purchase, redeem or otherwise acquire or sell any such securities. Except with respect to the Subsidiaries of the Company set forth in Section 3.01(b)(iv) of the Disclosure Schedule, the Company does not directly or indirectly own any equity or similar interest in, or any interest convertible into or exchangeable or exercisable for any equity or similar interest in, any corporation, company, partnership, joint venture or other business association or entity.</w:t>
      </w:r>
    </w:p>
    <w:p>
      <w:pPr>
        <w:spacing w:after="0" w:line="56" w:lineRule="exact"/>
        <w:rPr>
          <w:rFonts w:ascii="Arial" w:cs="Arial" w:eastAsia="Arial" w:hAnsi="Arial"/>
          <w:sz w:val="16"/>
          <w:szCs w:val="16"/>
          <w:color w:val="auto"/>
        </w:rPr>
      </w:pPr>
    </w:p>
    <w:p>
      <w:pPr>
        <w:ind w:left="920" w:hanging="237"/>
        <w:spacing w:after="0"/>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of the time of its dissolution, NetStreams International, Inc. will not hold any assets or have any outstanding liabilities.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left="232"/>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Charter Documents.</w:t>
      </w:r>
    </w:p>
    <w:p>
      <w:pPr>
        <w:spacing w:after="0" w:line="117" w:lineRule="exact"/>
        <w:rPr>
          <w:sz w:val="20"/>
          <w:szCs w:val="20"/>
          <w:color w:val="auto"/>
        </w:rPr>
      </w:pPr>
    </w:p>
    <w:p>
      <w:pPr>
        <w:ind w:left="-8" w:firstLine="233"/>
        <w:spacing w:after="0" w:line="287" w:lineRule="auto"/>
        <w:tabs>
          <w:tab w:leader="none" w:pos="4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has delivered to Parent accurate and complete copies of: (i) the certificate of incorporation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bylaws (“</w:t>
      </w:r>
      <w:r>
        <w:rPr>
          <w:rFonts w:ascii="Arial" w:cs="Arial" w:eastAsia="Arial" w:hAnsi="Arial"/>
          <w:sz w:val="16"/>
          <w:szCs w:val="16"/>
          <w:u w:val="single" w:color="auto"/>
          <w:color w:val="auto"/>
        </w:rPr>
        <w:t>Bylaws</w:t>
      </w:r>
      <w:r>
        <w:rPr>
          <w:rFonts w:ascii="Arial" w:cs="Arial" w:eastAsia="Arial" w:hAnsi="Arial"/>
          <w:sz w:val="16"/>
          <w:szCs w:val="16"/>
          <w:color w:val="auto"/>
        </w:rPr>
        <w:t>”), including all amendments thereto, of the Company (the “</w:t>
      </w:r>
      <w:r>
        <w:rPr>
          <w:rFonts w:ascii="Arial" w:cs="Arial" w:eastAsia="Arial" w:hAnsi="Arial"/>
          <w:sz w:val="16"/>
          <w:szCs w:val="16"/>
          <w:u w:val="single" w:color="auto"/>
          <w:color w:val="auto"/>
        </w:rPr>
        <w:t>Charter Documents</w:t>
      </w:r>
      <w:r>
        <w:rPr>
          <w:rFonts w:ascii="Arial" w:cs="Arial" w:eastAsia="Arial" w:hAnsi="Arial"/>
          <w:sz w:val="16"/>
          <w:szCs w:val="16"/>
          <w:color w:val="auto"/>
        </w:rPr>
        <w:t>”); and (ii) the minutes and other records of the meetings and other proceedings (including any actions taken by written consent or otherwise without a meeting) of the stockholders, the Board and all committees of the Board since January 1, 2006, which minutes or other records contain a complete, in all material respects, summary of all meetings of directors, stockholders and members, and all actions taken thereat or by written consent, since January 1, 2006. All actions taken and all transactions entered into by the Company requiring approval under applicable Law, Material Contracts or Charter Documents have been duly approved by all necessary action of the Board and stockholders of the Company. There has been no violation of any of the provisions of the Charter Documents of the Company, and the Company has not taken any action that is inconsistent in any material respect with any resolution adopted by the Company’s stockholders, the Board or any committee of the Board. The books of account, stock records, minute books and other records of the Company are accurate, up-to-date and complete in all material respects. The Company has also delivered to Parent a true, correct and complete copy of the organizational and governing instrument or document of each Subsidiary of the Company, in each case as amended to date, and each such organizational and governing instrument or document is in full force and effect. No Subsidiary of the Company is in violation of any of the provisions of its organizational and governing instrument or document, as the case may be.</w:t>
      </w:r>
    </w:p>
    <w:p>
      <w:pPr>
        <w:spacing w:after="0" w:line="61"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Capitalization.</w:t>
      </w:r>
    </w:p>
    <w:p>
      <w:pPr>
        <w:spacing w:after="0" w:line="117" w:lineRule="exact"/>
        <w:rPr>
          <w:sz w:val="20"/>
          <w:szCs w:val="20"/>
          <w:color w:val="auto"/>
        </w:rPr>
      </w:pPr>
    </w:p>
    <w:p>
      <w:pPr>
        <w:jc w:val="both"/>
        <w:ind w:left="-8" w:firstLine="458"/>
        <w:spacing w:after="0" w:line="288" w:lineRule="auto"/>
        <w:tabs>
          <w:tab w:leader="none" w:pos="687" w:val="left"/>
        </w:tabs>
        <w:numPr>
          <w:ilvl w:val="1"/>
          <w:numId w:val="36"/>
        </w:numPr>
        <w:rPr>
          <w:rFonts w:ascii="Arial" w:cs="Arial" w:eastAsia="Arial" w:hAnsi="Arial"/>
          <w:sz w:val="16"/>
          <w:szCs w:val="16"/>
          <w:color w:val="auto"/>
        </w:rPr>
      </w:pPr>
      <w:r>
        <w:rPr>
          <w:rFonts w:ascii="Arial" w:cs="Arial" w:eastAsia="Arial" w:hAnsi="Arial"/>
          <w:sz w:val="16"/>
          <w:szCs w:val="16"/>
          <w:color w:val="auto"/>
        </w:rPr>
        <w:t>Immediately before the Effective Time, the authorized Company Capital Stock shall consist of 45,264,535 shares: (i) 25,900,000 shares of Company Common Stock, par value $0.001 per share, of which 1,965,101 are issued and outstanding, and (ii) 19,364,535 shares of Company Preferred Stock, par value $0.001 per share, comprised of (A) 6,300,000 shares designated as “Series A Convertible Preferred Stock,” of which 4,550,000 are issued and outstanding,</w:t>
      </w:r>
    </w:p>
    <w:p>
      <w:pPr>
        <w:jc w:val="both"/>
        <w:ind w:left="-8" w:right="20" w:firstLine="8"/>
        <w:spacing w:after="0" w:line="295" w:lineRule="auto"/>
        <w:tabs>
          <w:tab w:leader="none" w:pos="257" w:val="left"/>
        </w:tabs>
        <w:numPr>
          <w:ilvl w:val="0"/>
          <w:numId w:val="37"/>
        </w:numPr>
        <w:rPr>
          <w:rFonts w:ascii="Arial" w:cs="Arial" w:eastAsia="Arial" w:hAnsi="Arial"/>
          <w:sz w:val="16"/>
          <w:szCs w:val="16"/>
          <w:color w:val="auto"/>
        </w:rPr>
      </w:pPr>
      <w:r>
        <w:rPr>
          <w:rFonts w:ascii="Arial" w:cs="Arial" w:eastAsia="Arial" w:hAnsi="Arial"/>
          <w:sz w:val="16"/>
          <w:szCs w:val="16"/>
          <w:color w:val="auto"/>
        </w:rPr>
        <w:t>1,879,999 shares designated as “Series A-1 Convertible Preferred Stock,” of which 1,866,666 are issued and outstanding, (iii) 1,184,536 shares designated as “Series A-2 Preferred Stock, of which 1,091,203 are issued and outstanding, and (iv) 10,000,000 are designated as “Series B Redeemable Preferred Stock,” of which 9,128,558 are issued and outstanding. All issued and outstanding shares of Company Capital Stock have been duly authorized and validly issued and are fully paid, nonassessable and free of preemptive rights, with no personal liability attaching to the ownership thereof.</w:t>
      </w:r>
    </w:p>
    <w:p>
      <w:pPr>
        <w:spacing w:after="0" w:line="53" w:lineRule="exact"/>
        <w:rPr>
          <w:rFonts w:ascii="Arial" w:cs="Arial" w:eastAsia="Arial" w:hAnsi="Arial"/>
          <w:sz w:val="16"/>
          <w:szCs w:val="16"/>
          <w:color w:val="auto"/>
        </w:rPr>
      </w:pPr>
    </w:p>
    <w:p>
      <w:pPr>
        <w:ind w:left="-8" w:right="20" w:firstLine="458"/>
        <w:spacing w:after="0" w:line="255"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aggregate of 4,285,379 shares of Company Common Stock are reserved for issuance under the Company’s 2004 Stock Plan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Plan</w:t>
      </w:r>
      <w:r>
        <w:rPr>
          <w:rFonts w:ascii="Arial" w:cs="Arial" w:eastAsia="Arial" w:hAnsi="Arial"/>
          <w:sz w:val="18"/>
          <w:szCs w:val="18"/>
          <w:color w:val="auto"/>
        </w:rPr>
        <w:t>”), 3,348,131 shares of Company Common Stock are reserved for future issuance pursuant to outstanding Company Options issued under the Company Option Plan, and 1,676,728 shares of Company Preferred Stock are reserved for future issuance pursuant to outstanding warrants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All outstanding Company Options (other than the Company Warrants) have been granted pursuant to the Company Option Plan. Except for the Company Options, there are no options, warrants, convertible securities or other rights, agreements, arrangements or commitments of any character relating to the issued or unissued Company Capital Stock, or</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41" w:name="page42"/>
    <w:bookmarkEnd w:id="41"/>
    <w:p>
      <w:pPr>
        <w:ind w:right="20"/>
        <w:spacing w:after="0" w:line="288" w:lineRule="auto"/>
        <w:rPr>
          <w:sz w:val="20"/>
          <w:szCs w:val="20"/>
          <w:color w:val="auto"/>
        </w:rPr>
      </w:pPr>
      <w:r>
        <w:rPr>
          <w:rFonts w:ascii="Arial" w:cs="Arial" w:eastAsia="Arial" w:hAnsi="Arial"/>
          <w:sz w:val="16"/>
          <w:szCs w:val="16"/>
          <w:color w:val="auto"/>
        </w:rPr>
        <w:t>obligating the Company to issue or sell any shares of such capital stock, or other equity interests in, the Company. Section 3.03 of the Disclosure Schedule sets forth the following information with respect to each Company Option outstanding on the date of this Agreement: (i) the name of the Company Option recipient; (ii) the number of shares of Company Capital Stock subject to such Company Option; (iii) the exercise or purchase price of such Company Option;</w:t>
      </w:r>
    </w:p>
    <w:p>
      <w:pPr>
        <w:ind w:firstLine="8"/>
        <w:spacing w:after="0" w:line="292"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on which such Company Option expires; (vii) the tax status of each such Company Option; and (viii) whether the exercisability of, or right to repurchase, such Company Option will be accelerated in any way by the transactions contemplated by this Agreement. The Company has made available to Parent accurate and complete copies of the Company Option Plan and the form of all stock option agreements evidencing such Company Options, along with copies of each of the Company Warrants. All shares of Company Capital Stock subject to issuance as aforesaid, upon issuance on the terms and conditions specified in the instruments pursuant to which they are issuable, will be duly authorized, validly issued, fully paid and nonassessable.</w:t>
      </w:r>
    </w:p>
    <w:p>
      <w:pPr>
        <w:spacing w:after="0" w:line="54" w:lineRule="exact"/>
        <w:rPr>
          <w:rFonts w:ascii="Arial" w:cs="Arial" w:eastAsia="Arial" w:hAnsi="Arial"/>
          <w:sz w:val="16"/>
          <w:szCs w:val="16"/>
          <w:color w:val="auto"/>
        </w:rPr>
      </w:pPr>
    </w:p>
    <w:p>
      <w:pPr>
        <w:ind w:right="40" w:firstLine="458"/>
        <w:spacing w:after="0" w:line="293" w:lineRule="auto"/>
        <w:tabs>
          <w:tab w:leader="none" w:pos="69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There are no outstanding contractual obligations of the Company to repurchase, redeem or otherwise acquire any shares of Company Capital Stock or to provide funds to, or make any investment (in the form of a loan, capital contribution or otherwise) in, any other person. Except as set forth on Section 3.03(a) of the Disclosure Schedule, there are no commitments or agreements of any character to which the Company is bound obligating the Company to accelerate the vesting of any Company Stock Option as a result of the Merger. All outstanding shares of Company Capital Stock and all outstanding Company Options have been issued and granted in compliance in all material respects with all requirements set forth in any applicable contract, agreement or instrument to which the Company is party. The Company Stockholder is the only holder of outstanding shares of Company Series B Stock.</w:t>
      </w:r>
    </w:p>
    <w:p>
      <w:pPr>
        <w:spacing w:after="0" w:line="56" w:lineRule="exact"/>
        <w:rPr>
          <w:rFonts w:ascii="Arial" w:cs="Arial" w:eastAsia="Arial" w:hAnsi="Arial"/>
          <w:sz w:val="16"/>
          <w:szCs w:val="16"/>
          <w:color w:val="auto"/>
        </w:rPr>
      </w:pPr>
    </w:p>
    <w:p>
      <w:pPr>
        <w:ind w:right="460" w:firstLine="458"/>
        <w:spacing w:after="0" w:line="264" w:lineRule="auto"/>
        <w:tabs>
          <w:tab w:leader="none" w:pos="70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Options that are cancelled and terminated by virtue of the Merger as contemplated by Section 2.01(d) may be cancelled and terminated without the consent of the holders of such Company Options and without the payment of any consideration to the holders of such Company Options.</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has not, since the date of its incorporation, made any repurchases of its own stock in violation of Section 160 of the DGCL.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Authority Relative to this Agreement.</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Company has all necessary corporate power and authority to execute and deliver this Agreement, to perform its obligations hereunder and to consummate the Merger. The execution and delivery of this Agreement by the Company and the consummation by the Company of the Merger have been duly and validly authorized by all necessary corporate action on the part of the Company, and no other corporate proceedings on the part of the Company are necessary to authorize this Agreement or to consummate the Merger (other than, with respect to the Merger, the adoption of this Agreement by the holders of a majority of the outstanding shares of Company Capital Stock at a properly convened meeting of stockholders at which a quorum is present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Securityholder Approval</w:t>
      </w:r>
      <w:r>
        <w:rPr>
          <w:rFonts w:ascii="Arial" w:cs="Arial" w:eastAsia="Arial" w:hAnsi="Arial"/>
          <w:sz w:val="17"/>
          <w:szCs w:val="17"/>
          <w:color w:val="auto"/>
        </w:rPr>
        <w:t>”) and the filing and recordation of appropriate merger documents as required by DGCL). This Agreement has been duly and validly executed and delivered by the Company and, assuming the due authorization, execution and delivery by Parent and Merger Sub, constitutes the legal, valid and binding obligation of the Company,</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2" w:name="page43"/>
    <w:bookmarkEnd w:id="42"/>
    <w:p>
      <w:pPr>
        <w:jc w:val="both"/>
        <w:ind w:right="20"/>
        <w:spacing w:after="0" w:line="264" w:lineRule="auto"/>
        <w:rPr>
          <w:sz w:val="20"/>
          <w:szCs w:val="20"/>
          <w:color w:val="auto"/>
        </w:rPr>
      </w:pPr>
      <w:r>
        <w:rPr>
          <w:rFonts w:ascii="Arial" w:cs="Arial" w:eastAsia="Arial" w:hAnsi="Arial"/>
          <w:sz w:val="18"/>
          <w:szCs w:val="18"/>
          <w:color w:val="auto"/>
        </w:rPr>
        <w:t>enforceable against the Company in accordance with its terms, subject to laws of general application relating to the public policy, bankruptcy, insolvency and relief of debtors and rules of law governing specific performance, injunctive relief and other equitable remedies. The Board of the Company has approved this Agreement and the Merger.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No Conflict; Required Filings and Consents.</w:t>
      </w:r>
    </w:p>
    <w:p>
      <w:pPr>
        <w:spacing w:after="0" w:line="117" w:lineRule="exact"/>
        <w:rPr>
          <w:sz w:val="20"/>
          <w:szCs w:val="20"/>
          <w:color w:val="auto"/>
        </w:rPr>
      </w:pPr>
    </w:p>
    <w:p>
      <w:pPr>
        <w:ind w:right="40" w:firstLine="458"/>
        <w:spacing w:after="0" w:line="270" w:lineRule="auto"/>
        <w:tabs>
          <w:tab w:leader="none" w:pos="6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Except as set forth on Section 3.05(a) of the Disclosure Schedule, the execution and delivery of this Agreement, and the performance of this Agreement, by the Company, and the consummation of the Merger, shall not, (i) conflict with or violate the Certificate of Incorporation, Bylaws or any resolution, currently in effect, adopted by the Board (or any committee thereof), (ii) assuming that all consents, approvals and other authorizations described in Section 3.05(b) have been obtained and that all filings and other actions described in Section 3.05(b) have been made or taken, violate any United States or non-United States national, state, provincial, municipal or local statute, law, ordinance, regulation, rule, code, executive order, injunction, judgment, decree or other order (“</w:t>
      </w:r>
      <w:r>
        <w:rPr>
          <w:rFonts w:ascii="Arial" w:cs="Arial" w:eastAsia="Arial" w:hAnsi="Arial"/>
          <w:sz w:val="17"/>
          <w:szCs w:val="17"/>
          <w:u w:val="single" w:color="auto"/>
          <w:color w:val="auto"/>
        </w:rPr>
        <w:t>Law</w:t>
      </w:r>
      <w:r>
        <w:rPr>
          <w:rFonts w:ascii="Arial" w:cs="Arial" w:eastAsia="Arial" w:hAnsi="Arial"/>
          <w:sz w:val="17"/>
          <w:szCs w:val="17"/>
          <w:color w:val="auto"/>
        </w:rPr>
        <w:t>”) applicable to the Company or its Subsidiaries or by which any property or asset of the Company or its Subsidiaries is bound or affected, or (iii) result in any breach of, or constitute a default (or an event which, with notice or lapse of time or both, would become a default) under, or give to others any right of termination, amendment, acceleration or cancellation of, or result in the creation of a lien or other encumbrance on any material property or asset of the Company or its Subsidiaries pursuant to, any Material Contract.</w:t>
      </w:r>
    </w:p>
    <w:p>
      <w:pPr>
        <w:spacing w:after="0" w:line="73" w:lineRule="exact"/>
        <w:rPr>
          <w:rFonts w:ascii="Arial" w:cs="Arial" w:eastAsia="Arial" w:hAnsi="Arial"/>
          <w:sz w:val="17"/>
          <w:szCs w:val="17"/>
          <w:color w:val="auto"/>
        </w:rPr>
      </w:pPr>
    </w:p>
    <w:p>
      <w:pPr>
        <w:ind w:right="20" w:firstLine="458"/>
        <w:spacing w:after="0" w:line="257" w:lineRule="auto"/>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Company do not, and the performance of this Agreement by the Company will not, require any consent, approval, authorization or permit of, or filing with or notification to, any United States or non-United States national, state, provincial, municipal or local government, governmental, regulatory or administrative authority, agency, instrumentality or commission or any court, tribunal, or judicial or arbitral body (a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that shall not have been obtained or filed as of the Closing, except for the filing and recordation of appropriate merger documents and as required by the DGCL.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Permits; Compliance.</w:t>
      </w:r>
    </w:p>
    <w:p>
      <w:pPr>
        <w:spacing w:after="0" w:line="117" w:lineRule="exact"/>
        <w:rPr>
          <w:sz w:val="20"/>
          <w:szCs w:val="20"/>
          <w:color w:val="auto"/>
        </w:rPr>
      </w:pPr>
    </w:p>
    <w:p>
      <w:pPr>
        <w:ind w:firstLine="458"/>
        <w:spacing w:after="0" w:line="254" w:lineRule="auto"/>
        <w:tabs>
          <w:tab w:leader="none" w:pos="6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all material franchises, grants, authorizations, licenses, permits, easements, variances, exceptions, consents, certificates, approvals and orders of any Governmental Authority necessary for the Company and its Subsidiaries to own, lease and operate its properties or to carry on its business as it is now being conducted (the “</w:t>
      </w:r>
      <w:r>
        <w:rPr>
          <w:rFonts w:ascii="Arial" w:cs="Arial" w:eastAsia="Arial" w:hAnsi="Arial"/>
          <w:sz w:val="18"/>
          <w:szCs w:val="18"/>
          <w:u w:val="single" w:color="auto"/>
          <w:color w:val="auto"/>
        </w:rPr>
        <w:t>Permits</w:t>
      </w:r>
      <w:r>
        <w:rPr>
          <w:rFonts w:ascii="Arial" w:cs="Arial" w:eastAsia="Arial" w:hAnsi="Arial"/>
          <w:sz w:val="18"/>
          <w:szCs w:val="18"/>
          <w:color w:val="auto"/>
        </w:rPr>
        <w:t>”). Section 3.06 of the Disclosure Schedule lists all Permits of the Company and its Subsidiaries. No suspension or cancellation of any of the Permits is pending or, to the knowledge of the Company, threatened. Neither the Company nor any of its Subsidiaries is, in any material respect, in default, breach or violation of, (i) any Law applicable to the Company or a Subsidiary or by which any property or asset of the Company or a Subsidiary is bound or affected, or (ii) any material note, bond, mortgage, indenture, contract, agreement, lease, license, Permit, franchise or other instrument or obligation to which the Company or a Subsidiary is a party or by which the Company or a Subsidiary or any property or asset of the Company or a Subsidiary is bound.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left="-20" w:right="20" w:firstLine="458"/>
        <w:spacing w:after="0" w:line="255"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set forth in Section 3.06 of the Disclosure Schedule, neither the Company nor any of its Subsidiaries has received, at any time since March 31, 2009, any formal written notice or other formal written communication from any Governmental Authority or any other person regarding (i) any actual, alleged, possible, or potential violation of or failure to comply with any term or requirement of any Permit, or (ii) any actual, proposed, possible, or potential revocation, withdrawal, suspension, cancellation, termination of, or modification to any Permit. To the knowledge of the Company, after due inquiry, all applications required to have been filed for the renewal of any Permit have been duly filed on a timely basis with the appropriate Governmental Authority, and all other filings required to have been made with respect to any such Permit have been duly made on a timely basis with the appropriate Governmental Authority.</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ind w:left="-20" w:firstLine="458"/>
        <w:spacing w:after="0" w:line="287" w:lineRule="auto"/>
        <w:tabs>
          <w:tab w:leader="none" w:pos="6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Section 3.07 of the Disclosure Schedule includes the Company Financial Statements. The Company Financial Statements (i) are derived from and in accordance with the books and records of the Company and its Subsidiaries, (ii) complied as to form in all material respects with applicable accounting requirements with respect thereto as of their respective dates, (iii) have been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indicated and consistent with each other, and (iv) fairly present in all material respects the financial position of the Company and its Subsidiaries at the dates therein indicated and the results of operations and cash flows of the Company and its Subsidiaries for the periods therein specified. Without limiting the generality of the foregoing, the Company (including its Subsidiaries) did not have at March 31, 2009, nor has it incurred since that date, any liabilities or obligations (whether absolute, accrued, contingent or otherwise) of any nature, except, as disclosed in Section 3.07 of the Disclosure Schedule, (1) those that are accrued or reserved against in the Company Financial Statements or reflected in the notes thereto or were incurred in the Ordinary Course of Business, (2) those that would not, individually or in the aggregate, have a Material Adverse Effect on the Company and its Subsidiaries or have been discharged or paid in full prior to the date hereof, and (3) those which are not required to be reflected in the Company Financial Statements prepared in accordance with GAAP consistently applied.</w:t>
      </w:r>
    </w:p>
    <w:p>
      <w:pPr>
        <w:spacing w:after="0" w:line="64" w:lineRule="exact"/>
        <w:rPr>
          <w:rFonts w:ascii="Arial" w:cs="Arial" w:eastAsia="Arial" w:hAnsi="Arial"/>
          <w:sz w:val="16"/>
          <w:szCs w:val="16"/>
          <w:color w:val="auto"/>
        </w:rPr>
      </w:pPr>
    </w:p>
    <w:p>
      <w:pPr>
        <w:ind w:left="-20" w:right="100" w:firstLine="458"/>
        <w:spacing w:after="0" w:line="264"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set forth in Schedule 3.07(b) of the Disclosure Schedule, the Company Unaudited Financial Statements (i) are consistent with and were derived from the books and records of the Company, (ii) present fairly the financial position and results of operations of the Company at the dates and for the periods indicated, and (iii) were prepared in accordance with GAAP, consistently applied.</w:t>
      </w:r>
    </w:p>
    <w:p>
      <w:pPr>
        <w:spacing w:after="0" w:line="73" w:lineRule="exact"/>
        <w:rPr>
          <w:rFonts w:ascii="Arial" w:cs="Arial" w:eastAsia="Arial" w:hAnsi="Arial"/>
          <w:sz w:val="18"/>
          <w:szCs w:val="18"/>
          <w:color w:val="auto"/>
        </w:rPr>
      </w:pPr>
    </w:p>
    <w:p>
      <w:pPr>
        <w:ind w:left="-20" w:right="20" w:firstLine="458"/>
        <w:spacing w:after="0" w:line="259" w:lineRule="auto"/>
        <w:tabs>
          <w:tab w:leader="none" w:pos="6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and to the extent set forth in the Company Unaudited Financial Statements, including any notes thereto, or as otherwise reflected in Section 3.07(c) of the Disclosure Schedule, neither the Company nor any Subsidiary has any Liability, other than those incurred after September 30, 2009 in the Ordinary Course of Business and that do not result from any breach of contract, tort or violation of law. Section 3.07(c) of the Disclosure Schedule lists all persons who hold outstanding credit cards issued to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44" w:name="page45"/>
    <w:bookmarkEnd w:id="44"/>
    <w:p>
      <w:pPr>
        <w:ind w:left="-60" w:firstLine="458"/>
        <w:spacing w:after="0" w:line="291" w:lineRule="auto"/>
        <w:tabs>
          <w:tab w:leader="none" w:pos="6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and its Subsidiaries maintain a standard system of accounting established and administered in accordance with GAAP. The Company maintains a system of internal accounting controls for the Company and its Subsidiaries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Section 3.07(d) of the Disclosure Schedule lists, and the Company has made available to Parent complete and correct copies of, all written descriptions of, and all policies, manuals and other documents promulgating, such internal accounting controls.</w:t>
      </w:r>
    </w:p>
    <w:p>
      <w:pPr>
        <w:spacing w:after="0" w:line="59" w:lineRule="exact"/>
        <w:rPr>
          <w:rFonts w:ascii="Arial" w:cs="Arial" w:eastAsia="Arial" w:hAnsi="Arial"/>
          <w:sz w:val="16"/>
          <w:szCs w:val="16"/>
          <w:color w:val="auto"/>
        </w:rPr>
      </w:pPr>
    </w:p>
    <w:p>
      <w:pPr>
        <w:ind w:left="-60" w:right="280" w:firstLine="458"/>
        <w:spacing w:after="0" w:line="277" w:lineRule="auto"/>
        <w:tabs>
          <w:tab w:leader="none" w:pos="6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accounts receivable of the Company and its Subsidiaries reflected in the Company Unaudited Financial Statements, or those that have arisen after the date thereof, have arisen from bona fide transactions in the Ordinary Course of Business.</w:t>
      </w:r>
    </w:p>
    <w:p>
      <w:pPr>
        <w:spacing w:after="0" w:line="62" w:lineRule="exact"/>
        <w:rPr>
          <w:rFonts w:ascii="Arial" w:cs="Arial" w:eastAsia="Arial" w:hAnsi="Arial"/>
          <w:sz w:val="18"/>
          <w:szCs w:val="18"/>
          <w:color w:val="auto"/>
        </w:rPr>
      </w:pPr>
    </w:p>
    <w:p>
      <w:pPr>
        <w:ind w:left="-60" w:right="180" w:firstLine="458"/>
        <w:spacing w:after="0" w:line="259" w:lineRule="auto"/>
        <w:tabs>
          <w:tab w:leader="none" w:pos="6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3.07(f)(i) of the Disclosure Schedule sets forth the names and locations of all banks, trust companies, savings and loan associations and other financial institutions at which the Company and its Subsidiaries maintain accounts of any nature and the names of all persons authorized to draw thereon or make withdrawals therefrom. Section 3.07(f)(ii) of the Disclosure Schedule further lists those deposits or other amounts of cash of the Company and its Subsidiaries as of the Closing Date that are restricted cash.</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3.08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Except as set forth in Section 3.08 of the Disclosure Schedule, since March 31, 2009 there has not been:</w:t>
      </w:r>
    </w:p>
    <w:p>
      <w:pPr>
        <w:spacing w:after="0" w:line="140" w:lineRule="exact"/>
        <w:rPr>
          <w:sz w:val="20"/>
          <w:szCs w:val="20"/>
          <w:color w:val="auto"/>
        </w:rPr>
      </w:pPr>
    </w:p>
    <w:p>
      <w:pPr>
        <w:ind w:left="-60" w:right="840" w:firstLine="458"/>
        <w:spacing w:after="0" w:line="277"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event, change, effect or development that, individually or in the aggregate, has had a Material Adverse Effect on the Company or its Subsidiaries;</w:t>
      </w:r>
    </w:p>
    <w:p>
      <w:pPr>
        <w:spacing w:after="0" w:line="62" w:lineRule="exact"/>
        <w:rPr>
          <w:rFonts w:ascii="Arial" w:cs="Arial" w:eastAsia="Arial" w:hAnsi="Arial"/>
          <w:sz w:val="18"/>
          <w:szCs w:val="18"/>
          <w:color w:val="auto"/>
        </w:rPr>
      </w:pPr>
    </w:p>
    <w:p>
      <w:pPr>
        <w:ind w:left="-60" w:right="200" w:firstLine="458"/>
        <w:spacing w:after="0" w:line="342" w:lineRule="auto"/>
        <w:tabs>
          <w:tab w:leader="none" w:pos="6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declaration, setting aside or payment of any dividend or other distribution (whether in cash, shares or property) with respect to any Company Capital Stock or any repurchase for value by the Company of any Company Capital Stock, or with respect to the equity interest of any Subsidiary;</w:t>
      </w:r>
    </w:p>
    <w:p>
      <w:pPr>
        <w:spacing w:after="0" w:line="15" w:lineRule="exact"/>
        <w:rPr>
          <w:rFonts w:ascii="Arial" w:cs="Arial" w:eastAsia="Arial" w:hAnsi="Arial"/>
          <w:sz w:val="16"/>
          <w:szCs w:val="16"/>
          <w:color w:val="auto"/>
        </w:rPr>
      </w:pPr>
    </w:p>
    <w:p>
      <w:pPr>
        <w:ind w:left="-60" w:right="60" w:firstLine="458"/>
        <w:spacing w:after="0" w:line="286"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split, combination or reclassification of any Company Capital Stock or any issuance or the authorization of any issuance of any other securities in respect of, in lieu of or in substitution for shares of the Company Capital Stock, or any combination or reclassification of any equity interest of any Subsidiary, or any issuance of any other equity interests in respect of, in lieu of, or in substitution for equity interests of any Subsidiary;</w:t>
      </w:r>
    </w:p>
    <w:p>
      <w:pPr>
        <w:spacing w:after="0" w:line="57" w:lineRule="exact"/>
        <w:rPr>
          <w:rFonts w:ascii="Arial" w:cs="Arial" w:eastAsia="Arial" w:hAnsi="Arial"/>
          <w:sz w:val="17"/>
          <w:szCs w:val="17"/>
          <w:color w:val="auto"/>
        </w:rPr>
      </w:pPr>
    </w:p>
    <w:p>
      <w:pPr>
        <w:ind w:left="-60" w:right="100" w:firstLine="458"/>
        <w:spacing w:after="0" w:line="259" w:lineRule="auto"/>
        <w:tabs>
          <w:tab w:leader="none" w:pos="6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any granting by the Company or any Subsidiary to any director or executive officer of the Company or any Subsidiary of any increase in compensation, (B) any granting by the Company or any Subsidiary to any such director or executive officer of any increase in severance or termination pay, or (C) any entry by the Company or any Subsidiary into, or any amendment of, any employment, severance or termination agreement with any such director or executive officer;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45" w:name="page46"/>
    <w:bookmarkEnd w:id="45"/>
    <w:p>
      <w:pPr>
        <w:ind w:right="320" w:firstLine="458"/>
        <w:spacing w:after="0" w:line="264"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 in financial accounting methods, principles or practices by the Company (including any Subsidiary) materially affecting the assets, liabilities or results of operations of the Company and its Subsidiaries, except insofar as may have been required by a change in GAAP, provided that any such change required by GAAP is specifically identified in Section 3.08 of the Disclosure Schedule.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Absence of Litigation.</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There is no litigation, suit, claim, charge, action, proceeding or investigation (an “</w:t>
      </w:r>
      <w:r>
        <w:rPr>
          <w:rFonts w:ascii="Arial" w:cs="Arial" w:eastAsia="Arial" w:hAnsi="Arial"/>
          <w:sz w:val="18"/>
          <w:szCs w:val="18"/>
          <w:u w:val="single" w:color="auto"/>
          <w:color w:val="auto"/>
        </w:rPr>
        <w:t>Action</w:t>
      </w:r>
      <w:r>
        <w:rPr>
          <w:rFonts w:ascii="Arial" w:cs="Arial" w:eastAsia="Arial" w:hAnsi="Arial"/>
          <w:sz w:val="18"/>
          <w:szCs w:val="18"/>
          <w:color w:val="auto"/>
        </w:rPr>
        <w:t>”) pending or, to the knowledge of the Company, threatened in writing by or against the Company or any Subsidiary, or against any property or asset of the Company or any Subsidiary, before any Governmental Authority nor is there any Action pending that seeks to materially delay or prevent the consummation of the Merger. Neither the Company nor any Subsidiary nor any property or asset of the Company or any Subsidiary is subject to any continuing order of, consent decree, settlement agreement or similar written agreement with, or, to the knowledge of the Company, continuing investigation by, any Governmental Authority, or any order, writ, judgment, injunction, decree, determination or award of any Governmental Authority.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Employee Benefit Plans.</w:t>
      </w:r>
    </w:p>
    <w:p>
      <w:pPr>
        <w:spacing w:after="0" w:line="117" w:lineRule="exact"/>
        <w:rPr>
          <w:sz w:val="20"/>
          <w:szCs w:val="20"/>
          <w:color w:val="auto"/>
        </w:rPr>
      </w:pPr>
    </w:p>
    <w:p>
      <w:pPr>
        <w:ind w:firstLine="458"/>
        <w:spacing w:after="0" w:line="267"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Section 3.10(a) of the Disclosure Schedule lists (i) all employee benefit plans (as defined in Section 3(3)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all bonus, stock option, stock purchase, restricted stock, incentive, deferred compensation, retiree medical or life insurance, supplemental retirement, severance or other material benefit plans, programs or arrangements, and all employment, termination, severance or other material contracts or agreements (other than offer letters or agreements, forms of which have been furnished to Parent (including by posting such documents on Parent’s FTP website), that are terminable at the will of the Company and do not provide for severance or termination payments), to which the Company or any of its Subsidiaries is a party, with respect to which the Company or any of its Subsidiaries has any current obligation or which are currently maintained, contributed to or sponsored by the Company or any of its Subsidiaries for the benefit of any current or former employee, officer or director of, or any current or former consultant to, the Company or any of its Subsidiaries, (ii) each employee benefit plan for which the Company or any of its Subsidiaries could incur liability under Section 4069 of ERISA in the event such plan has been or were to be terminated, (iii) any plan in respect of which the Company or any of its Subsidiaries could incur liability under Section 4212(c) of ERISA, and (iv) any other contracts (including loan agreements) or arrangements between the Company and/or any of its Subsidiaries and any employee of the Company and/or such Subsidiary relating to the provision of services by such employee for the Company and/or such Subsidiary (collectively, the “</w:t>
      </w:r>
      <w:r>
        <w:rPr>
          <w:rFonts w:ascii="Arial" w:cs="Arial" w:eastAsia="Arial" w:hAnsi="Arial"/>
          <w:sz w:val="17"/>
          <w:szCs w:val="17"/>
          <w:u w:val="single" w:color="auto"/>
          <w:color w:val="auto"/>
        </w:rPr>
        <w:t>Plans</w:t>
      </w:r>
      <w:r>
        <w:rPr>
          <w:rFonts w:ascii="Arial" w:cs="Arial" w:eastAsia="Arial" w:hAnsi="Arial"/>
          <w:sz w:val="17"/>
          <w:szCs w:val="17"/>
          <w:color w:val="auto"/>
        </w:rPr>
        <w:t>”). Each Plan is in writing and the Company has furnished to Parent (including by posting such documents on Parent’s FTP website) a true and complete copy of each Plan (and all amendments and restatements thereto), including any welfare benefit plan (as defined in Section 3(1) of ERISA) that is self-insured, clearly identified as such, and any stop-loss insurance policies pertaining to such plan, and has delivered to Parent a true and complete copy of each material document, if any, prepared in connection with each such Plan, including, without limitation, (i) a copy of each trust or other funding arrangement, (ii) each summary plan description, summary of material modifications, and material employee communications, (iii)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ind w:right="60"/>
        <w:spacing w:after="0" w:line="255" w:lineRule="auto"/>
        <w:rPr>
          <w:sz w:val="20"/>
          <w:szCs w:val="20"/>
          <w:color w:val="auto"/>
        </w:rPr>
      </w:pPr>
      <w:r>
        <w:rPr>
          <w:rFonts w:ascii="Arial" w:cs="Arial" w:eastAsia="Arial" w:hAnsi="Arial"/>
          <w:sz w:val="18"/>
          <w:szCs w:val="18"/>
          <w:color w:val="auto"/>
        </w:rPr>
        <w:t>three most recently filed IRS Forms 5500, including all Forms 5558 (extension of time to file), attachments, schedules, financial statements, and accountants’ opinions prepared in connection with such Forms 5500, (iv) the most recently received opinion, advisory, notification and/or determination letter, as applicable, from the IRS for each such Plan, and (v) the most recently prepared actuarial report and financial statement in connection with each such Plan. The Company does not have any commitment (i) to create, incur liability with respect to or cause to exist any other employee benefit plan, program or arrangement, (ii) to enter into any contract or agreement to provide compensation or benefits to any individual, or (iii) to modify, change or terminate any Plan, other than with respect to a modification, change or termination required by ERISA or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other applicable Law.</w:t>
      </w:r>
    </w:p>
    <w:p>
      <w:pPr>
        <w:spacing w:after="0" w:line="81" w:lineRule="exact"/>
        <w:rPr>
          <w:sz w:val="20"/>
          <w:szCs w:val="20"/>
          <w:color w:val="auto"/>
        </w:rPr>
      </w:pPr>
    </w:p>
    <w:p>
      <w:pPr>
        <w:ind w:firstLine="458"/>
        <w:spacing w:after="0" w:line="302" w:lineRule="auto"/>
        <w:tabs>
          <w:tab w:leader="none" w:pos="7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Except as set forth in Section 3.10(b)(i) of the Disclosure Schedule, none of the Plans (A) provides for the payment of any material separation, severance or termination benefits to any person, (B) obligates the Company or any of its Subsidiaries to pay separation, severance or termination benefits solely or partially as a result of any transaction contemplated by this Agreement, or (C) obligates the Company or any of its Subsidiaries to make any payment or provide any benefit as a result of a “change in control,” within the meaning of such term under Section 280G of the Code.</w:t>
      </w:r>
    </w:p>
    <w:p>
      <w:pPr>
        <w:spacing w:after="0" w:line="46" w:lineRule="exact"/>
        <w:rPr>
          <w:sz w:val="20"/>
          <w:szCs w:val="20"/>
          <w:color w:val="auto"/>
        </w:rPr>
      </w:pPr>
    </w:p>
    <w:p>
      <w:pPr>
        <w:ind w:right="420" w:firstLine="458"/>
        <w:spacing w:after="0" w:line="342" w:lineRule="auto"/>
        <w:tabs>
          <w:tab w:leader="none" w:pos="712"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Without limiting the generality of the foregoing, Section 3.10(b)(ii) sets forth all severance, termination, separation or “employee incentive” obligations that will be payable by Company in connection with the effectiveness of the Merger, either through termination of employment or otherwise.</w:t>
      </w:r>
    </w:p>
    <w:p>
      <w:pPr>
        <w:spacing w:after="0" w:line="15" w:lineRule="exact"/>
        <w:rPr>
          <w:rFonts w:ascii="Arial" w:cs="Arial" w:eastAsia="Arial" w:hAnsi="Arial"/>
          <w:sz w:val="16"/>
          <w:szCs w:val="16"/>
          <w:color w:val="auto"/>
        </w:rPr>
      </w:pPr>
    </w:p>
    <w:p>
      <w:pPr>
        <w:ind w:right="220" w:firstLine="458"/>
        <w:spacing w:after="0" w:line="264" w:lineRule="auto"/>
        <w:tabs>
          <w:tab w:leader="none" w:pos="7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 of the Plans provides for or promises retiree medical, disability or life insurance benefits to any current or former employee, officer or director of the Company or any of its Subsidiaries. Except as set forth in Section 3.10(b)(iii) of the Disclosure Schedule, each of the Plans is subject only to the Laws of the United States or a political subdivision thereof.</w:t>
      </w:r>
    </w:p>
    <w:p>
      <w:pPr>
        <w:spacing w:after="0" w:line="73" w:lineRule="exact"/>
        <w:rPr>
          <w:sz w:val="20"/>
          <w:szCs w:val="20"/>
          <w:color w:val="auto"/>
        </w:rPr>
      </w:pPr>
    </w:p>
    <w:p>
      <w:pPr>
        <w:ind w:right="80" w:firstLine="458"/>
        <w:spacing w:after="0" w:line="255" w:lineRule="auto"/>
        <w:tabs>
          <w:tab w:leader="none" w:pos="6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knowledge of the Company, after due inquiry, each Plan is now and always has been operated in all material respects in accordance with its terms and the requirements of all applicable Laws including, without limitation, ERISA and the Code. The Company and each of its Subsidiaries has performed all obligations required to be performed by it under, is not in any material respect in default under or in violation of, and has no knowledge of any default or violation by any party to, any Plan. No Action is pending or, to the knowledge of the Company, threatened with respect to any Plan (other than claims for benefits in the ordinary course) and, to the knowledge of the Company, no fact or event exists that could reasonably be expected to give rise to any such Action.</w:t>
      </w:r>
    </w:p>
    <w:p>
      <w:pPr>
        <w:spacing w:after="0" w:line="85" w:lineRule="exact"/>
        <w:rPr>
          <w:rFonts w:ascii="Arial" w:cs="Arial" w:eastAsia="Arial" w:hAnsi="Arial"/>
          <w:sz w:val="18"/>
          <w:szCs w:val="18"/>
          <w:color w:val="auto"/>
        </w:rPr>
      </w:pPr>
    </w:p>
    <w:p>
      <w:pPr>
        <w:ind w:right="40" w:firstLine="458"/>
        <w:spacing w:after="0" w:line="257"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each Plan that is intended to be qualified under Section 401(a) of the Code, (i) each of the Company and each of its Subsidiaries, as applicable, has timely received a favorable opinion, advisory, notification and/or determination letter, as applicable, that such Plan satisfies the requirement of the Code and is so qualified, and nothing has occurred since issuance of such opinion, advisory, notification and/or determination letter, as applicable, which would reasonably be expected to cause the loss or the tax-qualified status of such Plan; (ii) each of the Company and each of its Subsidiaries, as applicable, has applied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right="120"/>
        <w:spacing w:after="0" w:line="255" w:lineRule="auto"/>
        <w:rPr>
          <w:sz w:val="20"/>
          <w:szCs w:val="20"/>
          <w:color w:val="auto"/>
        </w:rPr>
      </w:pPr>
      <w:r>
        <w:rPr>
          <w:rFonts w:ascii="Arial" w:cs="Arial" w:eastAsia="Arial" w:hAnsi="Arial"/>
          <w:sz w:val="18"/>
          <w:szCs w:val="18"/>
          <w:color w:val="auto"/>
        </w:rPr>
        <w:t>timely to the Internal Revenue Service for such letter or has a remaining period of time to apply for such letter, or (iii) the Company relies on a favorable Internal Revenue Service opinion letter or advisory letter issued to the master and prototype or volume submitter plan sponsor of such Plan. Each trust established in connection with any Plan which is intended to be exempt from federal income taxation under Section 501(a) of the Code has received a determination or opinion letter from the IRS that it is so exempt. To the knowledge of the Company, after due inquiry, no fact or event has occurred since the date of such determination or opinion letter or letters from the IRS which could reasonably be expected to adversely affect the qualified status of any such Plan or the exempt status of any such trust.</w:t>
      </w:r>
    </w:p>
    <w:p>
      <w:pPr>
        <w:spacing w:after="0" w:line="85" w:lineRule="exact"/>
        <w:rPr>
          <w:sz w:val="20"/>
          <w:szCs w:val="20"/>
          <w:color w:val="auto"/>
        </w:rPr>
      </w:pPr>
    </w:p>
    <w:p>
      <w:pPr>
        <w:ind w:right="200" w:firstLine="458"/>
        <w:spacing w:after="0" w:line="277" w:lineRule="auto"/>
        <w:tabs>
          <w:tab w:leader="none" w:pos="6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knowledge of the Company, no Action has been brought, or is threatened in writing, against or with respect to any such Plan, including any audit or inquiry by the IRS or United States Department of Labor.</w:t>
      </w:r>
    </w:p>
    <w:p>
      <w:pPr>
        <w:spacing w:after="0" w:line="62" w:lineRule="exact"/>
        <w:rPr>
          <w:rFonts w:ascii="Arial" w:cs="Arial" w:eastAsia="Arial" w:hAnsi="Arial"/>
          <w:sz w:val="18"/>
          <w:szCs w:val="18"/>
          <w:color w:val="auto"/>
        </w:rPr>
      </w:pPr>
    </w:p>
    <w:p>
      <w:pPr>
        <w:ind w:right="280" w:firstLine="458"/>
        <w:spacing w:after="0" w:line="277" w:lineRule="auto"/>
        <w:tabs>
          <w:tab w:leader="none" w:pos="6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Plan can be terminated following the Effective Time in accordance with its terms without material liability to the Company or Parent (other than ordinary administration expenses).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self-insured Plans.</w:t>
      </w:r>
    </w:p>
    <w:p>
      <w:pPr>
        <w:spacing w:after="0" w:line="117" w:lineRule="exact"/>
        <w:rPr>
          <w:rFonts w:ascii="Arial" w:cs="Arial" w:eastAsia="Arial" w:hAnsi="Arial"/>
          <w:sz w:val="18"/>
          <w:szCs w:val="18"/>
          <w:color w:val="auto"/>
        </w:rPr>
      </w:pPr>
    </w:p>
    <w:p>
      <w:pPr>
        <w:ind w:right="200" w:firstLine="458"/>
        <w:spacing w:after="0" w:line="277" w:lineRule="auto"/>
        <w:tabs>
          <w:tab w:leader="none" w:pos="7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knowledge of the Company, after due inquiry, all individuals who, pursuant to the terms of any Plan, are entitled to participate in such Plan are currently participating in such Plan or have been offered an opportunity to do so and have declined.</w:t>
      </w:r>
    </w:p>
    <w:p>
      <w:pPr>
        <w:spacing w:after="0" w:line="62" w:lineRule="exact"/>
        <w:rPr>
          <w:rFonts w:ascii="Arial" w:cs="Arial" w:eastAsia="Arial" w:hAnsi="Arial"/>
          <w:sz w:val="18"/>
          <w:szCs w:val="18"/>
          <w:color w:val="auto"/>
        </w:rPr>
      </w:pPr>
    </w:p>
    <w:p>
      <w:pPr>
        <w:ind w:right="220" w:firstLine="458"/>
        <w:spacing w:after="0" w:line="264" w:lineRule="auto"/>
        <w:tabs>
          <w:tab w:leader="none" w:pos="6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has not been any prohibited transaction (within the meaning of Section 406 of ERISA or Section 4975 of the Code) with respect to any Plan for which the Company has any Liability. None of the Plans is subject to Title IV of ERISA and neither the Company nor any Subsidiary has incurred, or could reasonably be expected to incur, any liability under, arising out of or by operation of Title IV of ERISA.</w:t>
      </w:r>
    </w:p>
    <w:p>
      <w:pPr>
        <w:spacing w:after="0" w:line="73" w:lineRule="exact"/>
        <w:rPr>
          <w:rFonts w:ascii="Arial" w:cs="Arial" w:eastAsia="Arial" w:hAnsi="Arial"/>
          <w:sz w:val="18"/>
          <w:szCs w:val="18"/>
          <w:color w:val="auto"/>
        </w:rPr>
      </w:pPr>
    </w:p>
    <w:p>
      <w:pPr>
        <w:ind w:firstLine="45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contributions, premiums or payments required to be made with respect to any Plan have been timely made under the terms of the applicable Plan, ERISA, the Code, and any other applicable law. All such contributions have been fully deducted for income tax purposes and no such deduction has been challenged or disallowed by any Governmental Authority and no fact or event exists which could reasonably be expected to give rise to any such challenge or disallowance.</w:t>
      </w:r>
    </w:p>
    <w:p>
      <w:pPr>
        <w:spacing w:after="0" w:line="78" w:lineRule="exact"/>
        <w:rPr>
          <w:rFonts w:ascii="Arial" w:cs="Arial" w:eastAsia="Arial" w:hAnsi="Arial"/>
          <w:sz w:val="18"/>
          <w:szCs w:val="18"/>
          <w:color w:val="auto"/>
        </w:rPr>
      </w:pPr>
    </w:p>
    <w:p>
      <w:pPr>
        <w:ind w:left="700" w:hanging="242"/>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has been no termination or partial termination of any Plan within the meaning of Section 411(d)(3) of the Code.</w:t>
      </w:r>
    </w:p>
    <w:p>
      <w:pPr>
        <w:spacing w:after="0" w:line="117" w:lineRule="exact"/>
        <w:rPr>
          <w:rFonts w:ascii="Arial" w:cs="Arial" w:eastAsia="Arial" w:hAnsi="Arial"/>
          <w:sz w:val="18"/>
          <w:szCs w:val="18"/>
          <w:color w:val="auto"/>
        </w:rPr>
      </w:pPr>
    </w:p>
    <w:p>
      <w:pPr>
        <w:ind w:right="100" w:firstLine="458"/>
        <w:spacing w:after="0" w:line="257" w:lineRule="auto"/>
        <w:tabs>
          <w:tab w:leader="none" w:pos="6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set forth in Section 3.10(l) of the Disclosure Schedule, no benefit payable or that may become payable by the Company or any of its Subsidiaries pursuant to any agreement or arrangement, including the Company Management Incentive Plan, or as a result of, in connection with or arising under this Agreement or the Certificate of Merger shall constitute a “parachute payment” (as defined in Section 280G(b)(2) of the Code) that is subject to the imposition of an excise tax under Section 4999 of the Code or that would not be deductible by reason of Section 280G of the Code. Except as set forth in Section 3.10(l) of the Disclosure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line="290" w:lineRule="auto"/>
        <w:rPr>
          <w:sz w:val="20"/>
          <w:szCs w:val="20"/>
          <w:color w:val="auto"/>
        </w:rPr>
      </w:pPr>
      <w:r>
        <w:rPr>
          <w:rFonts w:ascii="Arial" w:cs="Arial" w:eastAsia="Arial" w:hAnsi="Arial"/>
          <w:sz w:val="16"/>
          <w:szCs w:val="16"/>
          <w:color w:val="auto"/>
        </w:rPr>
        <w:t>Schedule, the Company is not a party to any: (i) contract agreement or arrangement with any person (A) the benefits of which are contingent, or the terms of which are materially altered, upon the occurrence of a transaction involving the Company in the nature of the Merger or any of the other transactions contemplated by this Agreement, (B) providing any material term of employment or compensation guarantee, or (C) providing severance benefits or other benefits after the termination of employment of such employee regardless of the reason for such termination of employment; or (ii) benefit plan or arrangement, any of the benefits of which shall be increased, or the vesting of benefits of which shall be accelerated, by the occurrence of the Merger or any of the other transactions contemplated by this Agreement, or any event subsequent to the Merger such as the termination of employment of any person, or the value of any of the benefits of which shall be calculated on the basis of any of the transactions contemplated by this Agreement. Neither the Company nor any of its Subsidiaries has any obligation to pay any material amount or provide any material benefit to any former employee or officer.</w:t>
      </w:r>
    </w:p>
    <w:p>
      <w:pPr>
        <w:spacing w:after="0" w:line="58" w:lineRule="exact"/>
        <w:rPr>
          <w:sz w:val="20"/>
          <w:szCs w:val="20"/>
          <w:color w:val="auto"/>
        </w:rPr>
      </w:pPr>
    </w:p>
    <w:p>
      <w:pPr>
        <w:ind w:right="200" w:firstLine="458"/>
        <w:spacing w:after="0" w:line="312" w:lineRule="auto"/>
        <w:tabs>
          <w:tab w:leader="none" w:pos="7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benefit plan which constitutes, or has since the enactment of ERISA, constituted, (i) a “multiemployer plan” as defined in Section 3(37) of ERISA, (ii) a “multiple employer plan” as defined in ERISA or Code Section 413(c), or (iii) a “funded welfare plan” within the meaning of Code Section 419. No pension plan of the Company or any of its Subsidiaries is subject to Title IV of ERISA.</w:t>
      </w:r>
    </w:p>
    <w:p>
      <w:pPr>
        <w:spacing w:after="0" w:line="38" w:lineRule="exact"/>
        <w:rPr>
          <w:rFonts w:ascii="Arial" w:cs="Arial" w:eastAsia="Arial" w:hAnsi="Arial"/>
          <w:sz w:val="16"/>
          <w:szCs w:val="16"/>
          <w:color w:val="auto"/>
        </w:rPr>
      </w:pPr>
    </w:p>
    <w:p>
      <w:pPr>
        <w:ind w:right="460" w:firstLine="458"/>
        <w:spacing w:after="0" w:line="264"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set forth in Section 3.10(n) of the Disclosure Schedule, neither the Company nor any of its Subsidiaries has any benefit plan or arrangement that has been established or maintained, or that is required to be maintained or contributed to by the law or applicable custom or rule of the relevant jurisdiction, outside of the United States.</w:t>
      </w:r>
    </w:p>
    <w:p>
      <w:pPr>
        <w:spacing w:after="0" w:line="73" w:lineRule="exact"/>
        <w:rPr>
          <w:rFonts w:ascii="Arial" w:cs="Arial" w:eastAsia="Arial" w:hAnsi="Arial"/>
          <w:sz w:val="18"/>
          <w:szCs w:val="18"/>
          <w:color w:val="auto"/>
        </w:rPr>
      </w:pPr>
    </w:p>
    <w:p>
      <w:pPr>
        <w:ind w:right="80" w:firstLine="458"/>
        <w:spacing w:after="0" w:line="270" w:lineRule="auto"/>
        <w:tabs>
          <w:tab w:leader="none" w:pos="7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Plan, to the extent applicable, is in compliance in all material respects with the continuation coverage requirements of Section 4980B of the Code, Sections 601 through 608 of ERISA, the Age Discrimination in Employment Act of 1967, as amended, the Americans with Disabilities Act of 1990, the Health Insurance Portability and Accountability Act of 1996, the Women’s Health and Cancer Rights Act of 1998, and the Family Medical Leave Act of 1993, and the Newborns’ and Mothers’ Health Protection Act of 1996 (including any amendments to or regulations or other guidance promulgated under any of the foregoing acts), or any similar provisions of state law, as such requirements affect the Company, any of its Subsidiaries and their employees. The Company and each applicable Subsidiary of the Company is in compliance in all material respects with the applicable health care continuation and notice provisions of the Consolidation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and the regulations (including any proposed regulations) thereunder, or any similar state statute. No Plan (other than life insurance arrangements) provides post-termination or retiree welfare benefits to any person for any reason, except as may be required by COBRA or other applicable law.</w:t>
      </w:r>
    </w:p>
    <w:p>
      <w:pPr>
        <w:spacing w:after="0" w:line="73" w:lineRule="exact"/>
        <w:rPr>
          <w:rFonts w:ascii="Arial" w:cs="Arial" w:eastAsia="Arial" w:hAnsi="Arial"/>
          <w:sz w:val="17"/>
          <w:szCs w:val="17"/>
          <w:color w:val="auto"/>
        </w:rPr>
      </w:pPr>
    </w:p>
    <w:p>
      <w:pPr>
        <w:ind w:right="520" w:firstLine="458"/>
        <w:spacing w:after="0" w:line="264"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has been no amendment to, written interpretation or announcement (whether or not written) by the Company relating to, or change in employee participation or coverage under, any Plan that would increase materially the expense of maintaining such Plan above the level of the expense incurred in respect thereof during the most recent fiscal year.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right="80" w:firstLine="458"/>
        <w:spacing w:after="0" w:line="288"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Section 3.10(q)</w:t>
      </w:r>
      <w:r>
        <w:rPr>
          <w:rFonts w:ascii="Arial" w:cs="Arial" w:eastAsia="Arial" w:hAnsi="Arial"/>
          <w:sz w:val="16"/>
          <w:szCs w:val="16"/>
          <w:color w:val="auto"/>
        </w:rPr>
        <w:t xml:space="preserve"> of the Disclosure Schedule lists all “nonqualified deferred compensation plans” (within the meaning of Section 409A of the Code and any regulations promulgated pursuant thereto) to which the Company or any of its Subsidiaries is a party. Each such nonqualified deferred compensation plan to which the Company or such Subsidiary is a party complies in all material respects with the requirements of paragraphs (2), (3) and (4) of</w:t>
      </w: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Section 409A(a) of the Code by its terms and has been operated in accordance with such requirements. No event has occurred that would be treated by Section 409A(b) as a transfer of property for purposes of Section 83 of the Code. The exercise price of all Company Options is at least equal to the fair market value of the Company Common Stock on the date such Company Options were granted and neither the Company nor Parent has incurred or will incur any liability under Section 409A of the Code upon the vesting of any such Company Options.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Labor and Employment Matters.</w:t>
      </w:r>
    </w:p>
    <w:p>
      <w:pPr>
        <w:spacing w:after="0" w:line="117" w:lineRule="exact"/>
        <w:rPr>
          <w:sz w:val="20"/>
          <w:szCs w:val="20"/>
          <w:color w:val="auto"/>
        </w:rPr>
      </w:pPr>
    </w:p>
    <w:p>
      <w:pPr>
        <w:ind w:firstLine="458"/>
        <w:spacing w:after="0" w:line="288"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Section 3.11(a) of the Disclosure Schedule lists the following information with respect to each current employee (“</w:t>
      </w:r>
      <w:r>
        <w:rPr>
          <w:rFonts w:ascii="Arial" w:cs="Arial" w:eastAsia="Arial" w:hAnsi="Arial"/>
          <w:sz w:val="16"/>
          <w:szCs w:val="16"/>
          <w:u w:val="single" w:color="auto"/>
          <w:color w:val="auto"/>
        </w:rPr>
        <w:t>Current Employee</w:t>
      </w:r>
      <w:r>
        <w:rPr>
          <w:rFonts w:ascii="Arial" w:cs="Arial" w:eastAsia="Arial" w:hAnsi="Arial"/>
          <w:sz w:val="16"/>
          <w:szCs w:val="16"/>
          <w:color w:val="auto"/>
        </w:rPr>
        <w:t>”) of the Company and all Subsidiaries of the Company: (i) job title; (ii) whether such person is employed on a full-time or part-time basis; and (iii) the entity by which the person is employed. The Company has previously furnished to Parent a schedule which accurately sets forth the names of all Current Employees and, with respect to each such Current Employee, information as to current salary, bonus, and rights with respect to other employee benefits. Such employees of the Company and/or Subsidiaries are sufficient to staff the operations of the Company and its Subsidiaries as currently defined by the Company’s management. Except as set forth in Section 3.11(a) of the Disclosure Schedule, (i) to the knowledge of the Company each Current Employee is legally entitled to work in the United States, (ii) the employment of each Current Employee is terminable by the Company at will, (iii) there are no pending or, to the knowledge of the Company, threatened Actions between the Company or any of its Subsidiaries, on one hand, and any of the Current Employees, on the other hand, and (iv) neither the Company nor any Subsidiary is a party to any collective bargaining agreement or similar labor union contract applicable to Current Employees, nor, to the knowledge of the Company, are there any activities or proceedings of any labor union to organize any such employees.</w:t>
      </w:r>
    </w:p>
    <w:p>
      <w:pPr>
        <w:spacing w:after="0" w:line="61" w:lineRule="exact"/>
        <w:rPr>
          <w:rFonts w:ascii="Arial" w:cs="Arial" w:eastAsia="Arial" w:hAnsi="Arial"/>
          <w:sz w:val="16"/>
          <w:szCs w:val="16"/>
          <w:color w:val="auto"/>
        </w:rPr>
      </w:pPr>
    </w:p>
    <w:p>
      <w:pPr>
        <w:ind w:right="20" w:firstLine="458"/>
        <w:spacing w:after="0" w:line="289"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Company and each of its Subsidiaries is in compliance in all material respects with all applicable laws relating to the employment of labor, including those related to wages, hours, immigration and naturalization, collective bargaining and the payment and withholding of taxes and other sums as required by the appropriate Governmental Authority and have withheld and paid to the appropriate Governmental Authority or are holding for payment not yet due to such Governmental Authority all amounts required to be withheld from employees of the Company or such Subsidiary, as the case may be, and is not liable for any material arrears of wages, taxes, penalties or other sums for failure to comply with any of the foregoing. Each of the Company and each of its Subsidiaries has paid in full to all employees all wages, salaries, commissions, bonuses, benefits and other compensation due to or on behalf of such employees as of the date of this Agreement, and there is no claim with respect to payment of wages, salary or overtime pay that has been asserted or is now pending or, to the knowledge of the Company, threatened against the Company or any Subsidiary before any Governmental Authority with respect to any persons currently or formerly employed by the Company or such Subsidiary, as the case may be. Neither the Company nor any Subsidiary is a party to, or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right="140"/>
        <w:spacing w:after="0" w:line="271" w:lineRule="auto"/>
        <w:rPr>
          <w:sz w:val="20"/>
          <w:szCs w:val="20"/>
          <w:color w:val="auto"/>
        </w:rPr>
      </w:pPr>
      <w:r>
        <w:rPr>
          <w:rFonts w:ascii="Arial" w:cs="Arial" w:eastAsia="Arial" w:hAnsi="Arial"/>
          <w:sz w:val="17"/>
          <w:szCs w:val="17"/>
          <w:color w:val="auto"/>
        </w:rPr>
        <w:t>otherwise bound by, any consent decree with, or citation by, any Governmental Authority relating to employees or employment practices. There is no charge or proceeding with respect to a violation of any occupational safety or health standards that has been asserted in writing or is now pending or, to the knowledge of the Company, threatened with respect to the Company or any of its Subsidiaries. Except as set forth in Section 3.11(a) of the Disclosure Schedule, there is no charge of discrimination in employment or employment practices, for any reason, including, without limitation, age, gender, race, religion or other legally protected category, which has been asserted or is now pending or, to the Company’s knowledge, threatened in writing to be filed before the United States Equal Employment Opportunity Commission, or any other Governmental Authority in any jurisdiction in which the Company has employed, employs or has been alleged to employ any person, and there is no such charge that, if adversely determined, would individually or in the aggregate, result in any material Liability to the Company or its Subsidiaries.</w:t>
      </w:r>
    </w:p>
    <w:p>
      <w:pPr>
        <w:spacing w:after="0" w:line="71" w:lineRule="exact"/>
        <w:rPr>
          <w:sz w:val="20"/>
          <w:szCs w:val="20"/>
          <w:color w:val="auto"/>
        </w:rPr>
      </w:pPr>
    </w:p>
    <w:p>
      <w:pPr>
        <w:jc w:val="both"/>
        <w:ind w:firstLine="458"/>
        <w:spacing w:after="0" w:line="264" w:lineRule="auto"/>
        <w:tabs>
          <w:tab w:leader="none" w:pos="6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knowledge of the Company, no employee or consultant of the Company or any of its Subsidiaries is in material violation of (i) any contract or agreement with the Company or such Subsidiary, as the case may be, or (ii) any restrictive covenant relating to the right of any such employee or consultant to be employed by the Company or such Subsidiary or to use trade secrets or proprietary information of others.</w:t>
      </w:r>
    </w:p>
    <w:p>
      <w:pPr>
        <w:spacing w:after="0" w:line="73" w:lineRule="exact"/>
        <w:rPr>
          <w:rFonts w:ascii="Arial" w:cs="Arial" w:eastAsia="Arial" w:hAnsi="Arial"/>
          <w:sz w:val="18"/>
          <w:szCs w:val="18"/>
          <w:color w:val="auto"/>
        </w:rPr>
      </w:pPr>
    </w:p>
    <w:p>
      <w:pPr>
        <w:ind w:right="140" w:firstLine="458"/>
        <w:spacing w:after="0" w:line="277" w:lineRule="auto"/>
        <w:tabs>
          <w:tab w:leader="none" w:pos="7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is not, nor has it ever been, a “covered employer” as that term is currently defined by the federal Worker Adjustment and Retraining Notification Act.</w:t>
      </w:r>
    </w:p>
    <w:p>
      <w:pPr>
        <w:spacing w:after="0" w:line="62" w:lineRule="exact"/>
        <w:rPr>
          <w:rFonts w:ascii="Arial" w:cs="Arial" w:eastAsia="Arial" w:hAnsi="Arial"/>
          <w:sz w:val="18"/>
          <w:szCs w:val="18"/>
          <w:color w:val="auto"/>
        </w:rPr>
      </w:pPr>
    </w:p>
    <w:p>
      <w:pPr>
        <w:ind w:right="20" w:firstLine="458"/>
        <w:spacing w:after="0" w:line="259"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directors, officers, management employees and technical and professional employees of the Company and its Subsidiaries are under written obligation to the Company or such Subsidiary, as the case may be, to maintain in confidence all confidential or proprietary information acquired by them in the course of their employment and to assign to the Company all inventions made by them within scope of their employment during such employment and for a reasonable period thereafter.</w:t>
      </w:r>
    </w:p>
    <w:p>
      <w:pPr>
        <w:spacing w:after="0" w:line="78" w:lineRule="exact"/>
        <w:rPr>
          <w:rFonts w:ascii="Arial" w:cs="Arial" w:eastAsia="Arial" w:hAnsi="Arial"/>
          <w:sz w:val="18"/>
          <w:szCs w:val="18"/>
          <w:color w:val="auto"/>
        </w:rPr>
      </w:pPr>
    </w:p>
    <w:p>
      <w:pPr>
        <w:ind w:right="160" w:firstLine="458"/>
        <w:spacing w:after="0" w:line="277" w:lineRule="auto"/>
        <w:tabs>
          <w:tab w:leader="none" w:pos="6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delivered to Parent copies of all current employee manuals and handbooks and other written policies relating to the employment of the Current Employees.</w:t>
      </w:r>
    </w:p>
    <w:p>
      <w:pPr>
        <w:spacing w:after="0" w:line="62" w:lineRule="exact"/>
        <w:rPr>
          <w:rFonts w:ascii="Arial" w:cs="Arial" w:eastAsia="Arial" w:hAnsi="Arial"/>
          <w:sz w:val="18"/>
          <w:szCs w:val="18"/>
          <w:color w:val="auto"/>
        </w:rPr>
      </w:pPr>
    </w:p>
    <w:p>
      <w:pPr>
        <w:ind w:right="20" w:firstLine="458"/>
        <w:spacing w:after="0" w:line="297" w:lineRule="auto"/>
        <w:tabs>
          <w:tab w:leader="none" w:pos="7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the knowledge of the Company, no Current Employee at the level of senior manager or above (i) has given the Company written or formal notice of his intention to terminate his employment with the Company (or its Subsidiaries), (ii) has notified in writing the Company that he has received an offer to join a business that may be competitive with the Company’s business, or (iii) is a party to or is bound by any confidentiality agreement, noncompetition agreement or other agreement (with any person) that may have a materially adverse affect on (A) the performance of such employee of any of his or her duties or responsibilities as an employee of the Company (or its Subsidiaries), or (B) the business or operations of the Company and its Subsidiaries.</w:t>
      </w:r>
    </w:p>
    <w:p>
      <w:pPr>
        <w:spacing w:after="0" w:line="50" w:lineRule="exact"/>
        <w:rPr>
          <w:rFonts w:ascii="Arial" w:cs="Arial" w:eastAsia="Arial" w:hAnsi="Arial"/>
          <w:sz w:val="16"/>
          <w:szCs w:val="16"/>
          <w:color w:val="auto"/>
        </w:rPr>
      </w:pPr>
    </w:p>
    <w:p>
      <w:pPr>
        <w:ind w:right="640" w:firstLine="458"/>
        <w:spacing w:after="0" w:line="277"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labor organization or group of employees has filed any representation petition or made any written or oral demand for recognition to the Company or any of its Subsidiaries; to the knowledge of the Company, no union organizing efforts are underway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t>threatened and no other question concerning representation exists; and no labor strike, work stoppage, slowdown, or other material labor dispute has occurred, and none is underway or, to the knowledge of the Company, threatened.</w:t>
      </w:r>
    </w:p>
    <w:p>
      <w:pPr>
        <w:spacing w:after="0" w:line="62" w:lineRule="exact"/>
        <w:rPr>
          <w:sz w:val="20"/>
          <w:szCs w:val="20"/>
          <w:color w:val="auto"/>
        </w:rPr>
      </w:pPr>
    </w:p>
    <w:p>
      <w:pPr>
        <w:ind w:right="560" w:firstLine="458"/>
        <w:spacing w:after="0" w:line="277" w:lineRule="auto"/>
        <w:tabs>
          <w:tab w:leader="none" w:pos="6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workers compensation liability, experience or matter outside the Ordinary Course of Business.</w:t>
      </w:r>
    </w:p>
    <w:p>
      <w:pPr>
        <w:spacing w:after="0" w:line="62" w:lineRule="exact"/>
        <w:rPr>
          <w:rFonts w:ascii="Arial" w:cs="Arial" w:eastAsia="Arial" w:hAnsi="Arial"/>
          <w:sz w:val="18"/>
          <w:szCs w:val="18"/>
          <w:color w:val="auto"/>
        </w:rPr>
      </w:pPr>
    </w:p>
    <w:p>
      <w:pPr>
        <w:ind w:right="200" w:firstLine="458"/>
        <w:spacing w:after="0" w:line="277" w:lineRule="auto"/>
        <w:tabs>
          <w:tab w:leader="none" w:pos="6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current employee has entered into the Company’s form Employee Proprietary Information Agreement or similar agreement which contains a restrictive non-competition provision.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3.12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Absence of Real Property; Title to Assets.</w:t>
      </w:r>
    </w:p>
    <w:p>
      <w:pPr>
        <w:spacing w:after="0" w:line="117" w:lineRule="exact"/>
        <w:rPr>
          <w:sz w:val="20"/>
          <w:szCs w:val="20"/>
          <w:color w:val="auto"/>
        </w:rPr>
      </w:pPr>
    </w:p>
    <w:p>
      <w:pPr>
        <w:ind w:left="700" w:hanging="242"/>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the Company nor any Subsidiary owns or has ever owned real property.</w:t>
      </w:r>
    </w:p>
    <w:p>
      <w:pPr>
        <w:spacing w:after="0" w:line="117" w:lineRule="exact"/>
        <w:rPr>
          <w:rFonts w:ascii="Arial" w:cs="Arial" w:eastAsia="Arial" w:hAnsi="Arial"/>
          <w:sz w:val="18"/>
          <w:szCs w:val="18"/>
          <w:color w:val="auto"/>
        </w:rPr>
      </w:pPr>
    </w:p>
    <w:p>
      <w:pPr>
        <w:ind w:firstLine="458"/>
        <w:spacing w:after="0" w:line="290"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Section 3.13(b) of the Disclosure Schedule lists each parcel of real property currently leased or subleased by the Company or any of its Subsidiaries, with the name of the lessor and the date of the lease, sublease, assignment of the lease, any guaranty given or leasing commissions payable by the Company or any of its Subsidiaries in connection therewith and each amendment to any of the foregoing (collectively, the “</w:t>
      </w:r>
      <w:r>
        <w:rPr>
          <w:rFonts w:ascii="Arial" w:cs="Arial" w:eastAsia="Arial" w:hAnsi="Arial"/>
          <w:sz w:val="16"/>
          <w:szCs w:val="16"/>
          <w:u w:val="single" w:color="auto"/>
          <w:color w:val="auto"/>
        </w:rPr>
        <w:t>Lease Documents</w:t>
      </w:r>
      <w:r>
        <w:rPr>
          <w:rFonts w:ascii="Arial" w:cs="Arial" w:eastAsia="Arial" w:hAnsi="Arial"/>
          <w:sz w:val="16"/>
          <w:szCs w:val="16"/>
          <w:color w:val="auto"/>
        </w:rPr>
        <w:t>”). True and complete copies of all Lease Documents have been delivered to Parent. All such current leases and subleases are in full force and effect, are valid and effective in accordance with their respective terms, and there is not, under any of such leases, any existing material default or event of default (or event which, with notice or lapse of time, or both, would constitute a default) by the Company or any of its Subsidiaries or, to the Company’s knowledge, by the other party to such lease or sublease, or person in the chain of title to such leased premises. The premises and facilities subject to the leases and subleases comprising the Lease Documents are sufficient for the conduct of the operations of the Company and its Subsidiaries.</w:t>
      </w:r>
    </w:p>
    <w:p>
      <w:pPr>
        <w:spacing w:after="0" w:line="58" w:lineRule="exact"/>
        <w:rPr>
          <w:rFonts w:ascii="Arial" w:cs="Arial" w:eastAsia="Arial" w:hAnsi="Arial"/>
          <w:sz w:val="16"/>
          <w:szCs w:val="16"/>
          <w:color w:val="auto"/>
        </w:rPr>
      </w:pPr>
    </w:p>
    <w:p>
      <w:pPr>
        <w:jc w:val="both"/>
        <w:ind w:firstLine="458"/>
        <w:spacing w:after="0" w:line="286" w:lineRule="auto"/>
        <w:tabs>
          <w:tab w:leader="none" w:pos="6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knowledge of the Company, there are no contractual or legal restrictions that preclude or restrict the ability to use any real property leased by the Company or any Subsidiary for the purposes for which it is currently being used. To the knowledge of the Company, there are no material latent defects or material adverse physical conditions affecting the real property, and improvements thereon, leased by the Company or any Subsidiary.</w:t>
      </w:r>
    </w:p>
    <w:p>
      <w:pPr>
        <w:spacing w:after="0" w:line="57" w:lineRule="exact"/>
        <w:rPr>
          <w:rFonts w:ascii="Arial" w:cs="Arial" w:eastAsia="Arial" w:hAnsi="Arial"/>
          <w:sz w:val="17"/>
          <w:szCs w:val="17"/>
          <w:color w:val="auto"/>
        </w:rPr>
      </w:pPr>
    </w:p>
    <w:p>
      <w:pPr>
        <w:jc w:val="both"/>
        <w:ind w:right="80" w:firstLine="458"/>
        <w:spacing w:after="0" w:line="259" w:lineRule="auto"/>
        <w:tabs>
          <w:tab w:leader="none" w:pos="7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either directly or through a Subsidiary, has good and valid title to, or, in the case of leased properties and assets, valid leasehold or subleasehold interests in, all of its material properties and assets, tangible and intangible, real, personal and mixed, used or held for use in its business, free and clear of any liens, except for such imperfections of title, if any, that do not materially interfere with the present value of the subject property and liens for taxes not yet due and payable.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left="232"/>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8" w:right="60" w:firstLine="458"/>
        <w:spacing w:after="0" w:line="284" w:lineRule="auto"/>
        <w:tabs>
          <w:tab w:leader="none" w:pos="687" w:val="left"/>
        </w:tabs>
        <w:numPr>
          <w:ilvl w:val="1"/>
          <w:numId w:val="57"/>
        </w:numPr>
        <w:rPr>
          <w:rFonts w:ascii="Arial" w:cs="Arial" w:eastAsia="Arial" w:hAnsi="Arial"/>
          <w:sz w:val="16"/>
          <w:szCs w:val="16"/>
          <w:color w:val="auto"/>
        </w:rPr>
      </w:pPr>
      <w:r>
        <w:rPr>
          <w:rFonts w:ascii="Arial" w:cs="Arial" w:eastAsia="Arial" w:hAnsi="Arial"/>
          <w:sz w:val="16"/>
          <w:szCs w:val="16"/>
          <w:color w:val="auto"/>
        </w:rPr>
        <w:t>Section 3.14(a) of the Disclosure Schedule sets forth a true and complete list of (i) all Registered Intellectual Property, including the owner(s) of each such item of Registered Intellectual Property and the jurisdictions in which each such item of Registered Intellectual Property has been issued or registered or in which any application for such issuance and registration has been filed, (ii) all (A) actions that are required to be taken by the Company or its Subsidiaries within ninety (90) days of the date of this Agreement with respect to any of the Registered Intellectual Property in order to avoid loss of such Registered Intellectual Property, and (B) proceedings or actions before any governmental body (including the United States Patent and Trademark Office or equivalent authority anywhere else in the world) with respect to any of the Registered Intellectual Property, including without limitation any (x) interference, reissue, reexamination or similar proceedings pertaining to the scope, validity and/or ownership of any patents comprising Registered Intellectual Property,</w:t>
      </w:r>
    </w:p>
    <w:p>
      <w:pPr>
        <w:spacing w:after="0" w:line="2" w:lineRule="exact"/>
        <w:rPr>
          <w:rFonts w:ascii="Arial" w:cs="Arial" w:eastAsia="Arial" w:hAnsi="Arial"/>
          <w:sz w:val="16"/>
          <w:szCs w:val="16"/>
          <w:color w:val="auto"/>
        </w:rPr>
      </w:pPr>
    </w:p>
    <w:p>
      <w:pPr>
        <w:ind w:left="-8" w:right="60" w:firstLine="8"/>
        <w:spacing w:after="0" w:line="302" w:lineRule="auto"/>
        <w:tabs>
          <w:tab w:leader="none" w:pos="2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trademark opposition or cancellation proceedings pertaining to trademarks comprising Registered Intellectual Property, or (z) proceedings relating to Internet domain names comprising Registered Intellectual Property, (iii) any unregistered trademarks that are material to the business of the Company and its Subsidiaries, and (iv) all Licenses (other than Licenses in respect of Shrink Wrap Software that have an acquisition cost of less than $20,000).</w:t>
      </w:r>
    </w:p>
    <w:p>
      <w:pPr>
        <w:spacing w:after="0" w:line="47" w:lineRule="exact"/>
        <w:rPr>
          <w:rFonts w:ascii="Arial" w:cs="Arial" w:eastAsia="Arial" w:hAnsi="Arial"/>
          <w:sz w:val="16"/>
          <w:szCs w:val="16"/>
          <w:color w:val="auto"/>
        </w:rPr>
      </w:pPr>
    </w:p>
    <w:p>
      <w:pPr>
        <w:ind w:left="-8" w:right="200" w:firstLine="458"/>
        <w:spacing w:after="0" w:line="255" w:lineRule="auto"/>
        <w:tabs>
          <w:tab w:leader="none" w:pos="6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the knowledge of the Company the conduct of the business of the Company and its Subsidiaries as currently conducted does not conflict with, infringe upon, misappropriate or otherwise violate the Intellectual Property rights of any third party. To the knowledge of the Company, no Actions are pending or threatened in writing against the Company or any of its Subsidiaries alleging any of the foregoing, nor has the Company or any Subsidiary received any opinion of counsel that the operation of the business of the Company or any Subsidiary, as previously or currently conducted, infringes or misappropriates any Intellectual Property rights of any third party. To the knowledge of the Company, no person is engaging in any activity that infringes upon, misappropriates or otherwise violates the Owned Intellectual Property.</w:t>
      </w:r>
    </w:p>
    <w:p>
      <w:pPr>
        <w:spacing w:after="0" w:line="85" w:lineRule="exact"/>
        <w:rPr>
          <w:rFonts w:ascii="Arial" w:cs="Arial" w:eastAsia="Arial" w:hAnsi="Arial"/>
          <w:sz w:val="18"/>
          <w:szCs w:val="18"/>
          <w:color w:val="auto"/>
        </w:rPr>
      </w:pPr>
    </w:p>
    <w:p>
      <w:pPr>
        <w:jc w:val="both"/>
        <w:ind w:left="-8" w:right="60" w:firstLine="458"/>
        <w:spacing w:after="0" w:line="279" w:lineRule="auto"/>
        <w:tabs>
          <w:tab w:leader="none" w:pos="684"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Company and its Subsidiaries own and have good and exclusive title to each item of Owned Intellectual Property, which are, to the Company’s knowledge after due inquiry, free and clear of any liens and encumbrances, and subject to the licenses listed on Section 3.18(a)(x) of the Disclosure Schedule or carved out of the representation made in Section 3.18(a)(xi) each of the Company and each of its Subsidiaries has the valid right to use the Owned Intellectual Property and Licensed Intellectual Property in the continued operation of its business as presently conducted.</w:t>
      </w:r>
    </w:p>
    <w:p>
      <w:pPr>
        <w:spacing w:after="0" w:line="63" w:lineRule="exact"/>
        <w:rPr>
          <w:rFonts w:ascii="Arial" w:cs="Arial" w:eastAsia="Arial" w:hAnsi="Arial"/>
          <w:sz w:val="17"/>
          <w:szCs w:val="17"/>
          <w:color w:val="auto"/>
        </w:rPr>
      </w:pPr>
    </w:p>
    <w:p>
      <w:pPr>
        <w:jc w:val="both"/>
        <w:ind w:left="-8" w:firstLine="458"/>
        <w:spacing w:after="0" w:line="276" w:lineRule="auto"/>
        <w:tabs>
          <w:tab w:leader="none" w:pos="687"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necessary registration, maintenance and renewal fees currently due in connection with Registered Intellectual Property owned by the Company or any of its Subsidiaries have been made and all necessary documents, recordations and certificates in connection with such Registered Intellectual Property have been filed with the relevant governmental bodies in the United States or those foreign jurisdictions in which applications for such Registered Intellectual Property have been filed, as the case may be, for the purposes of maintaining such Registered Intellectual Property. No Owned Intellectual Property or, to the knowledge of the Company, no Licensed Intellectual Property, is subject to any outstanding</w:t>
      </w:r>
    </w:p>
    <w:p>
      <w:pPr>
        <w:spacing w:after="0" w:line="14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53" w:name="page54"/>
    <w:bookmarkEnd w:id="53"/>
    <w:p>
      <w:pPr>
        <w:ind w:right="360"/>
        <w:spacing w:after="0" w:line="264" w:lineRule="auto"/>
        <w:rPr>
          <w:sz w:val="20"/>
          <w:szCs w:val="20"/>
          <w:color w:val="auto"/>
        </w:rPr>
      </w:pPr>
      <w:r>
        <w:rPr>
          <w:rFonts w:ascii="Arial" w:cs="Arial" w:eastAsia="Arial" w:hAnsi="Arial"/>
          <w:sz w:val="18"/>
          <w:szCs w:val="18"/>
          <w:color w:val="auto"/>
        </w:rPr>
        <w:t>decree, order, injunction, judgment or ruling restricting the use of such Intellectual Property or that would impair the validity or enforceability of such Intellectual Property. To the knowledge of the Company, the Owned Intellectual Property and the Licensed Intellectual Property, are subsisting, valid and enforceable, and have not been adjudged invalid or unenforceable in whole or part.</w:t>
      </w:r>
    </w:p>
    <w:p>
      <w:pPr>
        <w:spacing w:after="0" w:line="73" w:lineRule="exact"/>
        <w:rPr>
          <w:sz w:val="20"/>
          <w:szCs w:val="20"/>
          <w:color w:val="auto"/>
        </w:rPr>
      </w:pPr>
    </w:p>
    <w:p>
      <w:pPr>
        <w:ind w:right="300" w:firstLine="458"/>
        <w:spacing w:after="0" w:line="286" w:lineRule="auto"/>
        <w:tabs>
          <w:tab w:leader="none" w:pos="69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the knowledge of the Company the Owned Intellectual Property and the Licensed Intellectual Property include all of the Intellectual Property material to the operation of the business of the Company and its Subsidiaries, and to the Company’s knowledge, there are no other items of Intellectual Property that are material to the operation of the business of the Company and its Subsidiaries as currently conducted.</w:t>
      </w:r>
    </w:p>
    <w:p>
      <w:pPr>
        <w:spacing w:after="0" w:line="57" w:lineRule="exact"/>
        <w:rPr>
          <w:rFonts w:ascii="Arial" w:cs="Arial" w:eastAsia="Arial" w:hAnsi="Arial"/>
          <w:sz w:val="17"/>
          <w:szCs w:val="17"/>
          <w:color w:val="auto"/>
        </w:rPr>
      </w:pPr>
    </w:p>
    <w:p>
      <w:pPr>
        <w:ind w:right="140" w:firstLine="458"/>
        <w:spacing w:after="0" w:line="259" w:lineRule="auto"/>
        <w:tabs>
          <w:tab w:leader="none" w:pos="6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knowledge of the Company, (i) each License is valid and enforceable, is binding on all parties thereto, and is in full force and effect; (ii) no party to any License is in material breach thereof or default thereunder; and (iii) subject to the procurement of any required consent, neither the execution of this Agreement nor the consummation of the Merger shall adversely affect any of the rights of the Company with respect to the Owned Intellectual Property or Licensed Intellectual Property.</w:t>
      </w:r>
    </w:p>
    <w:p>
      <w:pPr>
        <w:spacing w:after="0" w:line="78" w:lineRule="exact"/>
        <w:rPr>
          <w:rFonts w:ascii="Arial" w:cs="Arial" w:eastAsia="Arial" w:hAnsi="Arial"/>
          <w:sz w:val="18"/>
          <w:szCs w:val="18"/>
          <w:color w:val="auto"/>
        </w:rPr>
      </w:pPr>
    </w:p>
    <w:p>
      <w:pPr>
        <w:ind w:firstLine="458"/>
        <w:spacing w:after="0" w:line="269" w:lineRule="auto"/>
        <w:tabs>
          <w:tab w:leader="none" w:pos="70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the Company and each of its Subsidiaries have taken all commercially reasonable steps to maintain the confidentiality of the trade secrets of the Company and other confidential information included in the Owned Intellectual Property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To the knowledge of the Company, (i) there has been no misappropriation by any person of any Confidential Information; (ii) no employee, former employee, independent contractor or agent of the Company or any Subsidiary has misappropriated any trade secrets of any other person in the course of performance as an employee, independent contractor or agent of the Company; and (iii) no employee, former employee, independent contractor or agent of the Company is in default or breach of any term of any employment agreement, nondisclosure agreement, assignment of invention agreement or similar agreement or contract relating in any way to the protection, ownership, development, use or transfer of Owned Intellectual Property or Confidential Information. Without limiting the foregoing, each of the Company and each of its Subsidiaries have and enforce policies requiring each employee and contractor involved in proprietary aspects of the business or who have or may have access to Confidential Information to execute an agreement containing a nondisclosure provision. All persons who have contributed to the creation, invention, modification or improvement of any Company Owned Intellectual Property, in whole or in part, have signed written agreements designed to ensure that all such Intellectual Property is assigned to and owned exclusively by the Company or such Subsidiary, as the case may be.</w:t>
      </w:r>
    </w:p>
    <w:p>
      <w:pPr>
        <w:spacing w:after="0" w:line="71" w:lineRule="exact"/>
        <w:rPr>
          <w:rFonts w:ascii="Arial" w:cs="Arial" w:eastAsia="Arial" w:hAnsi="Arial"/>
          <w:sz w:val="17"/>
          <w:szCs w:val="17"/>
          <w:color w:val="auto"/>
        </w:rPr>
      </w:pPr>
    </w:p>
    <w:p>
      <w:pPr>
        <w:ind w:right="20" w:firstLine="458"/>
        <w:spacing w:after="0" w:line="302"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employs commercially reasonable measures to ensure that the products and services of the Company and its Subsidiaries are free of all viruses, worms, and other known contaminants, and do not contain any errors or problems, that would disrupt the ordinary operation of such products and services. Except as set forth on Section 3.14(h) of the Disclosure Schedule, the products and services of the Company and its Subsidiaries do not incorporate any software or other material that has been licensed by the Company under a “free software,” “open source software” or similar license or distribution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ind w:left="20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Except as specifically disclosed in Section 3.15 of the Disclosure Schedule:</w:t>
      </w:r>
    </w:p>
    <w:p>
      <w:pPr>
        <w:spacing w:after="0" w:line="117" w:lineRule="exact"/>
        <w:rPr>
          <w:sz w:val="20"/>
          <w:szCs w:val="20"/>
          <w:color w:val="auto"/>
        </w:rPr>
      </w:pPr>
    </w:p>
    <w:p>
      <w:pPr>
        <w:ind w:left="-40" w:firstLine="458"/>
        <w:spacing w:after="0" w:line="286"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of the Company and each of its Subsidiaries (i) has filed all material Tax Returns required to be filed by the Company or such Subsidiary prior to the Closing Date; and (ii) has timely collected and paid or adequately reserved on its books and records, in all material respects, all Taxes required to be collected and paid prior to the Closing Date (whether or not shown on any material Tax Return) other than any such Taxes incurred in connection with the transactions contemplated by this Agreement. Neither the Company nor any of its Subsidiaries currently is the beneficiary of any extension of time within which to file any Tax Return. All Tax Returns filed by the Company and its Subsidiaries prior to the Closing Date are true, correct and complete in all material respects to the extent relevant to computing the amount of Taxes payable to the applicable Governmental Authority for the period covered by the Tax Return. No deficiencies for any material Tax have been proposed or assessed in writing against the Company or any of its Subsidiaries. Neither the Company nor any of its Subsidiaries has received any notification from the IRS or any other taxing authority regarding any material issues that (i) are currently pending before the IRS or any other taxing agency or authority (including any sales or use taxing authority) regarding the Company or such Subsidiary or (ii) have been raised by the IRS or other taxing agency or authority and not yet finally resolved. To the knowledge of the Company, no Tax Return of the Company or any of its Subsidiaries is under audit by the IRS or any other taxing agency or authority and any such past audits (if any) have been completed and fully resolved to the satisfaction of the applicable taxing agency or authority conducting such audit and all Taxes finally determined as a result of such audit to be due from the Company or such Subsidiary have been paid in full. Neither the Company nor any of its Subsidiaries has granted any waiver of any statute of limitations with respect to, or any extension of a period for the assessment of, any Tax that is still effective.</w:t>
      </w:r>
    </w:p>
    <w:p>
      <w:pPr>
        <w:spacing w:after="0" w:line="63" w:lineRule="exact"/>
        <w:rPr>
          <w:rFonts w:ascii="Arial" w:cs="Arial" w:eastAsia="Arial" w:hAnsi="Arial"/>
          <w:sz w:val="16"/>
          <w:szCs w:val="16"/>
          <w:color w:val="auto"/>
        </w:rPr>
      </w:pPr>
    </w:p>
    <w:p>
      <w:pPr>
        <w:ind w:left="-40" w:firstLine="458"/>
        <w:spacing w:after="0" w:line="269" w:lineRule="auto"/>
        <w:tabs>
          <w:tab w:leader="none" w:pos="6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of the Company and each of its Subsidiaries in all material respects has withheld and paid (and until the Effective Time will withhold and pay) all material Taxes required to have been withheld and paid (including withholding of taxes pursuant to Sections 1441, 1442, 1445 and 1446 of the Code or similar provisions under any foreign law) in connection with any amounts paid or owing to any employee, independent contractor, creditor, Company Stockholder, holder of any equity interests in such Subsidiary or other third party, and have timely filed all withholding Tax Returns. Neither the Company nor any of its Subsidiaries (i) has material liability for the Taxes of any other person (other than the Company or such Subsidiary) by reason of having joined in the filing of a consolidated, combined or unitary Tax Return, by contract, by transferee liability or otherwise; (ii) is a party to or bound by any Tax sharing, Tax indemnity, or Tax allocation agreement; (iii) has filed any disclosures under Section 6662 of the Code or comparable provisions of state, local or foreign law to prevent the imposition of penalties with respect to any Tax reporting position taken on any Tax Return; (iv) has consummated or participated in, and is currently participating in any transaction which, to the knowledge of the Company, was or is a “tax shelter” transaction as defined in Sections 6662, 6011, 6012 or 6111 of the Code or the Treasury Regulations promulgated thereunder; (v) has been a member of a consolidated, combined, unitary or aggregate group of which the Company or such Subsidiary was not the ultimate parent corporation; (vi) has been a “distributing corporation” or a “controlled corporation” in a distribution intended to qualify under Section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55" w:name="page56"/>
    <w:bookmarkEnd w:id="55"/>
    <w:p>
      <w:pPr>
        <w:ind w:right="120"/>
        <w:spacing w:after="0" w:line="259" w:lineRule="auto"/>
        <w:rPr>
          <w:sz w:val="20"/>
          <w:szCs w:val="20"/>
          <w:color w:val="auto"/>
        </w:rPr>
      </w:pPr>
      <w:r>
        <w:rPr>
          <w:rFonts w:ascii="Arial" w:cs="Arial" w:eastAsia="Arial" w:hAnsi="Arial"/>
          <w:sz w:val="18"/>
          <w:szCs w:val="18"/>
          <w:color w:val="auto"/>
        </w:rPr>
        <w:t>355(e) of the Code within the past five years; (vii) has received any notice from a taxing authority for a jurisdiction in which a Tax Return has not been filed asserting that the filing of such a Tax Return may be required; (viii) has been a member of any entity taxable, to the knowledge of Company, as a partnership for U.S. federal income tax purposes or the holder of a beneficial interest in any trust for any period for which the statute of limitations for any Tax has not expired.</w:t>
      </w:r>
    </w:p>
    <w:p>
      <w:pPr>
        <w:spacing w:after="0" w:line="79" w:lineRule="exact"/>
        <w:rPr>
          <w:sz w:val="20"/>
          <w:szCs w:val="20"/>
          <w:color w:val="auto"/>
        </w:rPr>
      </w:pPr>
    </w:p>
    <w:p>
      <w:pPr>
        <w:ind w:right="20" w:firstLine="458"/>
        <w:spacing w:after="0" w:line="288" w:lineRule="auto"/>
        <w:tabs>
          <w:tab w:leader="none" w:pos="695"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of the Company and each of its Subsidiaries has not been nor to the knowledge of the Company will the Company or such Subsidiary be required to include any item of income in, or exclude any item of deduction from, taxable income for any taxable period (or portion thereof) ending after the Merger as a result of any: (i) Code Section 481 inclusion as a result of a change in method of accounting for a taxable period ending on or prior to the Merger;</w:t>
      </w:r>
    </w:p>
    <w:p>
      <w:pPr>
        <w:ind w:right="80" w:firstLine="8"/>
        <w:spacing w:after="0" w:line="255" w:lineRule="auto"/>
        <w:tabs>
          <w:tab w:leader="none" w:pos="2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“closing agreement” as described in Section 7121 of the Code (or any corresponding or similar provision of state, local or foreign income Tax law) executed on or prior to the Merger; (iii) installment sale or open transaction disposition made on or prior to the Merger; or (iv) prepaid amount received on or prior to the Merger.</w:t>
      </w:r>
    </w:p>
    <w:p>
      <w:pPr>
        <w:spacing w:after="0" w:line="82" w:lineRule="exact"/>
        <w:rPr>
          <w:rFonts w:ascii="Arial" w:cs="Arial" w:eastAsia="Arial" w:hAnsi="Arial"/>
          <w:sz w:val="18"/>
          <w:szCs w:val="18"/>
          <w:color w:val="auto"/>
        </w:rPr>
      </w:pPr>
    </w:p>
    <w:p>
      <w:pPr>
        <w:ind w:right="180" w:firstLine="458"/>
        <w:spacing w:after="0" w:line="277" w:lineRule="auto"/>
        <w:tabs>
          <w:tab w:leader="none" w:pos="70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is not, and has not been at any time during the past five years, a United States real property holding corporation within the meaning of Section 897 of the Code.</w:t>
      </w:r>
    </w:p>
    <w:p>
      <w:pPr>
        <w:spacing w:after="0" w:line="62" w:lineRule="exact"/>
        <w:rPr>
          <w:rFonts w:ascii="Arial" w:cs="Arial" w:eastAsia="Arial" w:hAnsi="Arial"/>
          <w:sz w:val="18"/>
          <w:szCs w:val="18"/>
          <w:color w:val="auto"/>
        </w:rPr>
      </w:pPr>
    </w:p>
    <w:p>
      <w:pPr>
        <w:jc w:val="both"/>
        <w:ind w:firstLine="458"/>
        <w:spacing w:after="0" w:line="259"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Neither Company nor any of its Subsidiaries is a party to any agreement, contract, arrangement or plan that has resulted or could result (based on the current Code), separately or in the aggregate, in the payment of (i) any ''excess parachute payment’’ within the meaning of Code §280G (or any corresponding provision of applicable state, local, or non-U.S. Tax law) and (ii) any amount that will not be fully deductible as a result of Code §162(m) (or any corresponding provision of applicable state, local, or non-U.S. Tax law).</w:t>
      </w:r>
    </w:p>
    <w:p>
      <w:pPr>
        <w:spacing w:after="0" w:line="78" w:lineRule="exact"/>
        <w:rPr>
          <w:rFonts w:ascii="Arial" w:cs="Arial" w:eastAsia="Arial" w:hAnsi="Arial"/>
          <w:sz w:val="18"/>
          <w:szCs w:val="18"/>
          <w:color w:val="auto"/>
        </w:rPr>
      </w:pPr>
    </w:p>
    <w:p>
      <w:pPr>
        <w:ind w:left="680" w:hanging="222"/>
        <w:spacing w:after="0"/>
        <w:tabs>
          <w:tab w:leader="none" w:pos="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17" w:lineRule="exact"/>
        <w:rPr>
          <w:rFonts w:ascii="Arial" w:cs="Arial" w:eastAsia="Arial" w:hAnsi="Arial"/>
          <w:sz w:val="18"/>
          <w:szCs w:val="18"/>
          <w:color w:val="auto"/>
        </w:rPr>
      </w:pPr>
    </w:p>
    <w:p>
      <w:pPr>
        <w:ind w:right="500" w:firstLine="458"/>
        <w:spacing w:after="0" w:line="277" w:lineRule="auto"/>
        <w:tabs>
          <w:tab w:leader="none" w:pos="7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Neither Company nor any of its Subsidiaries is or has been a party to any ''reportable transaction,’’ as defined in Code §6707A(c)(1) and Reg. §1.6011-4(b).</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Environmental Matters.</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Except as described in Section 3.16 of the Disclosure Schedule, to the knowledge of the Company, (a) each of the Company and each of its Subsidiaries is in material compliance with all Environmental Laws; (b) no portion of any property owned, leased or occupied by the Company or any of its Subsidiaries is Contaminated in any material respect; (c) neither the Company nor any of its Subsidiaries has received from any Governmental Authority or any other person notice that it has been named or may be named as a responsible or potentially responsible party under any Environmental Law for any site Contaminated by Hazardous Substances: (d) neither the Company nor any of its Subsidiaries has assumed the liability of any other person or entity for, nor agreed to indemnify any other person or entity against, claims arising out of the release of Hazardous Substances into the environment; (e) each of the Company and each of its Subsidiaries has all permits, licenses and other authorizations required under any Environmental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color w:val="auto"/>
        </w:rPr>
        <w:t>Law for the operation of its business (“</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and (f) each of the Company and each of its Subsidiaries is in material compliance with its Environmental Permits (if 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No Rights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Neither the Company nor any of its Subsidiaries has adopted any stockholders’ rights plan or comparable arrangement.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Material Contracts.</w:t>
      </w:r>
    </w:p>
    <w:p>
      <w:pPr>
        <w:spacing w:after="0" w:line="117" w:lineRule="exact"/>
        <w:rPr>
          <w:sz w:val="20"/>
          <w:szCs w:val="20"/>
          <w:color w:val="auto"/>
        </w:rPr>
      </w:pPr>
    </w:p>
    <w:p>
      <w:pPr>
        <w:jc w:val="both"/>
        <w:ind w:firstLine="458"/>
        <w:spacing w:after="0" w:line="286"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Section 3.18(a) of the Disclosure Schedule lists the following types of contracts and agreements to which the Company or any Subsidiary is a party (such contracts and agreements as are required to be set forth in Section 3.18(a) of the Disclosure Schedule being the “</w:t>
      </w:r>
      <w:r>
        <w:rPr>
          <w:rFonts w:ascii="Arial" w:cs="Arial" w:eastAsia="Arial" w:hAnsi="Arial"/>
          <w:sz w:val="17"/>
          <w:szCs w:val="17"/>
          <w:u w:val="single" w:color="auto"/>
          <w:color w:val="auto"/>
        </w:rPr>
        <w:t>Material Contracts</w:t>
      </w:r>
      <w:r>
        <w:rPr>
          <w:rFonts w:ascii="Arial" w:cs="Arial" w:eastAsia="Arial" w:hAnsi="Arial"/>
          <w:sz w:val="17"/>
          <w:szCs w:val="17"/>
          <w:color w:val="auto"/>
        </w:rPr>
        <w:t>”) (each reference to “the Company” in this Section 3.18 shall refer to the Company and each of its Subsidiaries, as the case may be):</w:t>
      </w:r>
    </w:p>
    <w:p>
      <w:pPr>
        <w:spacing w:after="0" w:line="57" w:lineRule="exact"/>
        <w:rPr>
          <w:rFonts w:ascii="Arial" w:cs="Arial" w:eastAsia="Arial" w:hAnsi="Arial"/>
          <w:sz w:val="17"/>
          <w:szCs w:val="17"/>
          <w:color w:val="auto"/>
        </w:rPr>
      </w:pPr>
    </w:p>
    <w:p>
      <w:pPr>
        <w:ind w:right="260" w:firstLine="683"/>
        <w:spacing w:after="0" w:line="277" w:lineRule="auto"/>
        <w:tabs>
          <w:tab w:leader="none" w:pos="8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contract and agreement, whether or not made in the Ordinary Course of Business, that contemplates an exchange of consideration with a value of more than $15,000 annually (excluding any employment contracts);</w:t>
      </w:r>
    </w:p>
    <w:p>
      <w:pPr>
        <w:spacing w:after="0" w:line="62" w:lineRule="exact"/>
        <w:rPr>
          <w:rFonts w:ascii="Arial" w:cs="Arial" w:eastAsia="Arial" w:hAnsi="Arial"/>
          <w:sz w:val="18"/>
          <w:szCs w:val="18"/>
          <w:color w:val="auto"/>
        </w:rPr>
      </w:pPr>
    </w:p>
    <w:p>
      <w:pPr>
        <w:ind w:right="600" w:firstLine="683"/>
        <w:spacing w:after="0" w:line="277" w:lineRule="auto"/>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contracts and agreements involving any loan, guaranty, pledge, performance or completion bond or indemnity or surety arrangement, including officer and/or director indemnification agreements;</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joint venture, partnership, strategic alliance and business acquisition or divestiture agreements;</w:t>
      </w:r>
    </w:p>
    <w:p>
      <w:pPr>
        <w:spacing w:after="0" w:line="117" w:lineRule="exact"/>
        <w:rPr>
          <w:rFonts w:ascii="Arial" w:cs="Arial" w:eastAsia="Arial" w:hAnsi="Arial"/>
          <w:sz w:val="18"/>
          <w:szCs w:val="18"/>
          <w:color w:val="auto"/>
        </w:rPr>
      </w:pPr>
    </w:p>
    <w:p>
      <w:pPr>
        <w:ind w:right="260" w:firstLine="683"/>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subscription agreements or similar agreements (excluding Company Warrants and options issued pursuant to the Company Option Plan) providing for the sale of securities by the Company or any of its Subsidiaries;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agreements between the Company or any affiliate of the Company, on the one hand, and the Company or any affiliate of the Company,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hand;</w:t>
      </w:r>
    </w:p>
    <w:p>
      <w:pPr>
        <w:spacing w:after="0" w:line="102" w:lineRule="exact"/>
        <w:rPr>
          <w:rFonts w:ascii="Arial" w:cs="Arial" w:eastAsia="Arial" w:hAnsi="Arial"/>
          <w:sz w:val="16"/>
          <w:szCs w:val="16"/>
          <w:color w:val="auto"/>
        </w:rPr>
      </w:pPr>
    </w:p>
    <w:p>
      <w:pPr>
        <w:ind w:right="380" w:firstLine="683"/>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broker, distributor, dealer, manufacturer’s representative, franchise, agency, sales promotion, market research, marketing consulting and advertising contracts and agreements to which the Company is a party and any other contract that compensates any person based on any sales by the Company;</w:t>
      </w:r>
    </w:p>
    <w:p>
      <w:pPr>
        <w:spacing w:after="0" w:line="73" w:lineRule="exact"/>
        <w:rPr>
          <w:rFonts w:ascii="Arial" w:cs="Arial" w:eastAsia="Arial" w:hAnsi="Arial"/>
          <w:sz w:val="18"/>
          <w:szCs w:val="18"/>
          <w:color w:val="auto"/>
        </w:rPr>
      </w:pPr>
    </w:p>
    <w:p>
      <w:pPr>
        <w:ind w:right="500" w:firstLine="683"/>
        <w:spacing w:after="0" w:line="277" w:lineRule="auto"/>
        <w:tabs>
          <w:tab w:leader="none" w:pos="103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management contracts (excluding contracts for employment and indemnification agreements described in Section 3.18(ii) above) and contracts with consultants, under which the Company has or may have any current material obligations;</w:t>
      </w:r>
    </w:p>
    <w:p>
      <w:pPr>
        <w:spacing w:after="0" w:line="62" w:lineRule="exact"/>
        <w:rPr>
          <w:rFonts w:ascii="Arial" w:cs="Arial" w:eastAsia="Arial" w:hAnsi="Arial"/>
          <w:sz w:val="18"/>
          <w:szCs w:val="18"/>
          <w:color w:val="auto"/>
        </w:rPr>
      </w:pPr>
    </w:p>
    <w:p>
      <w:pPr>
        <w:ind w:right="80" w:firstLine="683"/>
        <w:spacing w:after="0" w:line="277"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contracts involving the payment of royalties or other amounts calculated based upon the revenues or income of the Company or income or revenues related to any product of the Company to which the Company is a party;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7" w:name="page58"/>
    <w:bookmarkEnd w:id="57"/>
    <w:p>
      <w:pPr>
        <w:ind w:left="980" w:hanging="29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contracts and agreements with any Governmental Authority to which the Company is a party;</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Licenses other than Licenses for Shrink Wrap Software that have an individual acquisition cost of less than $20,000;</w:t>
      </w:r>
    </w:p>
    <w:p>
      <w:pPr>
        <w:spacing w:after="0" w:line="117" w:lineRule="exact"/>
        <w:rPr>
          <w:rFonts w:ascii="Arial" w:cs="Arial" w:eastAsia="Arial" w:hAnsi="Arial"/>
          <w:sz w:val="18"/>
          <w:szCs w:val="18"/>
          <w:color w:val="auto"/>
        </w:rPr>
      </w:pPr>
    </w:p>
    <w:p>
      <w:pPr>
        <w:ind w:right="20" w:firstLine="683"/>
        <w:spacing w:after="0" w:line="259"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licenses, sublicenses and other contracts pursuant to which the Company or any of its Subsidiaries has (A) granted any person any right or interest in any Intellectual Property or Licensed Intellectual Property, or (B) agreed to any restriction on the right of the Company or any of its Subsidiaries to use or enforce any Owned Intellectual Property or pursuant to which the Company or any of its Subsidiaries agrees to encumber, transfer or sell rights in or with respect to any Owned Intellectual Property;</w:t>
      </w:r>
    </w:p>
    <w:p>
      <w:pPr>
        <w:spacing w:after="0" w:line="78" w:lineRule="exact"/>
        <w:rPr>
          <w:rFonts w:ascii="Arial" w:cs="Arial" w:eastAsia="Arial" w:hAnsi="Arial"/>
          <w:sz w:val="18"/>
          <w:szCs w:val="18"/>
          <w:color w:val="auto"/>
        </w:rPr>
      </w:pPr>
    </w:p>
    <w:p>
      <w:pPr>
        <w:ind w:right="20" w:firstLine="683"/>
        <w:spacing w:after="0" w:line="276" w:lineRule="auto"/>
        <w:tabs>
          <w:tab w:leader="none" w:pos="103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contracts and agreements that (A) limit, or purport to limit, the ability of the Company to compete in any line of business or with any person or in any business market, geographic area or during any period of time, (B) grant exclusive sales, distribution, marketing or other exclusive rights, rights of refusal, rights of first negotiation or similar rights and/or terms to any person, (C) contain a provision of the type commonly referred to as a “most favored nation” provision, or (D) otherwise limit the right of the Company or any of its Subsidiaries to sell, distribute or manufacture any products or services or to purchase or otherwise obtain any software, components, parts, subassemblies or services;</w:t>
      </w:r>
    </w:p>
    <w:p>
      <w:pPr>
        <w:spacing w:after="0" w:line="64" w:lineRule="exact"/>
        <w:rPr>
          <w:rFonts w:ascii="Arial" w:cs="Arial" w:eastAsia="Arial" w:hAnsi="Arial"/>
          <w:sz w:val="17"/>
          <w:szCs w:val="17"/>
          <w:color w:val="auto"/>
        </w:rPr>
      </w:pPr>
    </w:p>
    <w:p>
      <w:pPr>
        <w:ind w:firstLine="683"/>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contract (other than the Company’s standard employee proprietary information agreements) providing for the development of any product, product candidate, device, component, technology or Intellectual Property, independently or jointly, by or for the Company or any Subsidiary, including, but not limited to, any proof-of-concept, collaboration, development or co-development agreement, and any contract to license or authorize any third party to manufacture any of the foregoing;</w:t>
      </w:r>
    </w:p>
    <w:p>
      <w:pPr>
        <w:spacing w:after="0" w:line="78" w:lineRule="exact"/>
        <w:rPr>
          <w:rFonts w:ascii="Arial" w:cs="Arial" w:eastAsia="Arial" w:hAnsi="Arial"/>
          <w:sz w:val="18"/>
          <w:szCs w:val="18"/>
          <w:color w:val="auto"/>
        </w:rPr>
      </w:pPr>
    </w:p>
    <w:p>
      <w:pPr>
        <w:ind w:right="200" w:firstLine="683"/>
        <w:spacing w:after="0" w:line="277" w:lineRule="auto"/>
        <w:tabs>
          <w:tab w:leader="none" w:pos="10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agreements with the customers and suppliers identified in Section 3.19 of the Disclosure Schedule, along with any agreements relating to warehousing of the Company’s inventory;</w:t>
      </w:r>
    </w:p>
    <w:p>
      <w:pPr>
        <w:spacing w:after="0" w:line="62" w:lineRule="exact"/>
        <w:rPr>
          <w:rFonts w:ascii="Arial" w:cs="Arial" w:eastAsia="Arial" w:hAnsi="Arial"/>
          <w:sz w:val="18"/>
          <w:szCs w:val="18"/>
          <w:color w:val="auto"/>
        </w:rPr>
      </w:pPr>
    </w:p>
    <w:p>
      <w:pPr>
        <w:ind w:right="480" w:firstLine="683"/>
        <w:spacing w:after="0" w:line="277"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material contracts or arrangements that result in any person or entity holding a power of attorney from the Company that relates to the Company or its businesses; and</w:t>
      </w:r>
    </w:p>
    <w:p>
      <w:pPr>
        <w:spacing w:after="0" w:line="62" w:lineRule="exact"/>
        <w:rPr>
          <w:rFonts w:ascii="Arial" w:cs="Arial" w:eastAsia="Arial" w:hAnsi="Arial"/>
          <w:sz w:val="18"/>
          <w:szCs w:val="18"/>
          <w:color w:val="auto"/>
        </w:rPr>
      </w:pPr>
    </w:p>
    <w:p>
      <w:pPr>
        <w:ind w:right="60" w:firstLine="683"/>
        <w:spacing w:after="0" w:line="277" w:lineRule="auto"/>
        <w:tabs>
          <w:tab w:leader="none" w:pos="10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contracts and agreements not otherwise listed in (1) through (xv) of this Section 3.18(a), the termination of which by the contracting party would have a Material Adverse Effect.</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(b)(i) Each Material Contract is a legal, valid and binding agreement of the Company; (ii) the Company has not received any claim of material default under or cancellation of any Material Contract, and the Company is not, to the knowledge of the Company, after due inquiry, in any material respect, in breach or violation of, or default under, any Material Contract; and (iii) to the Company’s knowledge, no other party is, in any material respect, in breach or violation of, or default under, any Material Contract. The Company has furnished or made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available to Parent true and complete copies of all Material Contracts (or the forms thereof), including any material amendments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Customers and Suppliers.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Section 3.19 of the Disclosure Schedule sets forth a true and complete list of the Company’s and its Subsidiaries’ top ten (10) customers and top ten</w:t>
      </w:r>
    </w:p>
    <w:p>
      <w:pPr>
        <w:spacing w:after="0" w:line="35" w:lineRule="exact"/>
        <w:rPr>
          <w:sz w:val="20"/>
          <w:szCs w:val="20"/>
          <w:color w:val="auto"/>
        </w:rPr>
      </w:pPr>
    </w:p>
    <w:p>
      <w:pPr>
        <w:ind w:right="20" w:firstLine="8"/>
        <w:spacing w:after="0" w:line="270" w:lineRule="auto"/>
        <w:tabs>
          <w:tab w:leader="none" w:pos="3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suppliers (based on the revenue from such customer, or purchases from such supplier, as the case may be, during the 12-month period ended September 30, 2009). As of the date of this Agreement, none of the Company’s and its Subsidiaries’ customers listed in Section 3.19 of the Disclosure Schedule and no material supplier of the Company or any of its Subsidiaries listed in Section 3.19 of the Disclosure Schedule, (i) has cancelled or otherwise terminated any contract with the Company or such Subsidiary prior to the expiration of the contract term, or (ii) to the Company’s knowledge, has threatened, or indicated its intention, to cancel or otherwise terminate its relationship with the Company or such Subsidiary or to reduce substantially its purchase from or sale to the Company or such Subsidiary of any products, equipment, goods or services.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Inventory.</w:t>
      </w:r>
    </w:p>
    <w:p>
      <w:pPr>
        <w:spacing w:after="0" w:line="117"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inventory of the Company and its Subsidiaries, including consigned inventory, consists of a quality and quantity usable and salable in the Ordinary Course of Business. All inventory shall be valued in accordance with GAAP, subject to the GAAP Exceptions. Section 3.20 of the Disclosure Schedule sets forth the location of all items of the Company’s and each of its Subsidiaries’ inventory, including consigned inventory as of the date of this Agreement and the Company’s or such Subsidiary’s procedures for tracking and controlling consigned inventory, and such procedures are adequate for such purposes and have been followed by the Company and such Subsidiary consistent with past practice.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Company Products and Services.</w:t>
      </w:r>
    </w:p>
    <w:p>
      <w:pPr>
        <w:spacing w:after="0" w:line="117" w:lineRule="exact"/>
        <w:rPr>
          <w:sz w:val="20"/>
          <w:szCs w:val="20"/>
          <w:color w:val="auto"/>
        </w:rPr>
      </w:pPr>
    </w:p>
    <w:p>
      <w:pPr>
        <w:ind w:right="60" w:firstLine="458"/>
        <w:spacing w:after="0" w:line="290" w:lineRule="auto"/>
        <w:tabs>
          <w:tab w:leader="none" w:pos="695" w:val="left"/>
        </w:tabs>
        <w:numPr>
          <w:ilvl w:val="1"/>
          <w:numId w:val="66"/>
        </w:numPr>
        <w:rPr>
          <w:rFonts w:ascii="Arial" w:cs="Arial" w:eastAsia="Arial" w:hAnsi="Arial"/>
          <w:sz w:val="16"/>
          <w:szCs w:val="16"/>
          <w:color w:val="auto"/>
        </w:rPr>
      </w:pPr>
      <w:r>
        <w:rPr>
          <w:rFonts w:ascii="Arial" w:cs="Arial" w:eastAsia="Arial" w:hAnsi="Arial"/>
          <w:sz w:val="16"/>
          <w:szCs w:val="16"/>
          <w:color w:val="auto"/>
        </w:rPr>
        <w:t>Each product manufactured, sold, or leased by the Company or any of its Subsidiaries on or prior to the Closing Date has been, to the knowledge of the Company, in conformity in all material respects with all applicable contractual commitments, any applicable Law and all express and implied warranties, and, to the knowledge of the Company, each of the Company and each Subsidiary has no material Liabilities for replacement or repair thereof or other damages in connection therewith. Each of the Company and each of its Subsidiaries has not been required to file any notice or other report with, or provide information to, any product safety agency, commission, board or other Governmental Authority concerning actual or potential hazards with respect to any product manufactured by the Company or such Subsidiary other than routine filings required of all manufacturers similarly situated. To the knowledge of the Company, neither the Company nor any of its Subsidiaries has any material Liability arising out of any injury to persons or property as a result of the ownership, possession or use of any product manufactured, sold, leased or delivered by the Company or such Subsidiary.</w:t>
      </w:r>
    </w:p>
    <w:p>
      <w:pPr>
        <w:spacing w:after="0" w:line="58" w:lineRule="exact"/>
        <w:rPr>
          <w:rFonts w:ascii="Arial" w:cs="Arial" w:eastAsia="Arial" w:hAnsi="Arial"/>
          <w:sz w:val="16"/>
          <w:szCs w:val="16"/>
          <w:color w:val="auto"/>
        </w:rPr>
      </w:pPr>
    </w:p>
    <w:p>
      <w:pPr>
        <w:ind w:left="720" w:hanging="262"/>
        <w:spacing w:after="0"/>
        <w:tabs>
          <w:tab w:leader="none" w:pos="7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Since August 1, 2007, there have been no (i) recalls related to any product manufactured sold, leased or delivered by the Company, or</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withdrawals of any product manufactured sold, leased or delivered by the Company due to quality or safety issues.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ind w:left="24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Insurance.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Each of the Company and each Subsidiary of the Company maintains insurance policies of the types and for the amounts that are usual and customary in the context of the businesses and operations in which the Company and such Subsidiary is engaged.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Certain Business Practices.</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None of the Company or any of its Subsidiaries or, to the Company’s knowledge, any directors or officers, agents or employees of the Company or such Subsidiary, has (i) used any funds for unlawful contributions, gifts, entertainment or other unlawful expenses related to political activity; (ii) made any unlawful payment to foreign or domestic government officials or employees or to foreign or domestic political parties or campaigns or violated any provision of the Foreign Corrupt Practices Act of 1977, as amended; or (iii) made any payment in the nature of criminal bribery.</w:t>
      </w:r>
    </w:p>
    <w:p>
      <w:pPr>
        <w:spacing w:after="0" w:line="6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Full Disclosure</w:t>
      </w:r>
      <w:r>
        <w:rPr>
          <w:rFonts w:ascii="Arial" w:cs="Arial" w:eastAsia="Arial" w:hAnsi="Arial"/>
          <w:sz w:val="18"/>
          <w:szCs w:val="18"/>
          <w:color w:val="auto"/>
        </w:rPr>
        <w:t>. None of the representations and warranties of the Company set forth in this Agreement, in any of the certificates, schedules, lists, documents, exhibits or other instruments delivered, or to be delivered, to Parent as contemplated by any provision hereof, to the knowledge of the Company, contains any untrue statement of material fact or omits to state a material fact necessary to make the statements contained herein or therein, in light of the circumstances under which they were made, not misleading.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Brokers.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Except for fees to be paid to Piper Jaffray pursuant to that certain engagement letter between the NetStreams, L.L.C. and Piper Jaffray &amp; Co. dated January 23, 2009, as amended by the Piper Jaffray Agreement, no broker, finder or investment banker is entitled to any brokerage, finder’s or other fee or commission in connection with this Agreement or the Merger based upon arrangements made by or, to the knowledge of the Company, on behalf of the Company.</w:t>
      </w:r>
    </w:p>
    <w:p>
      <w:pPr>
        <w:spacing w:after="0" w:line="7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Merger Consideration Certificate</w:t>
      </w:r>
      <w:r>
        <w:rPr>
          <w:rFonts w:ascii="Arial" w:cs="Arial" w:eastAsia="Arial" w:hAnsi="Arial"/>
          <w:sz w:val="18"/>
          <w:szCs w:val="18"/>
          <w:color w:val="auto"/>
        </w:rPr>
        <w:t>. The provisions of the Merger Consideration Certificate conform to, are in compliance with and accurately reflect the provisions of the Certificate of Incorporation and the Company Management Incentive Plan.</w:t>
      </w:r>
    </w:p>
    <w:p>
      <w:pPr>
        <w:spacing w:after="0" w:line="62"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3.27 </w:t>
      </w:r>
      <w:r>
        <w:rPr>
          <w:rFonts w:ascii="Arial" w:cs="Arial" w:eastAsia="Arial" w:hAnsi="Arial"/>
          <w:sz w:val="17"/>
          <w:szCs w:val="17"/>
          <w:u w:val="single" w:color="auto"/>
          <w:color w:val="auto"/>
        </w:rPr>
        <w:t>Director and Officer Indemnification</w:t>
      </w:r>
      <w:r>
        <w:rPr>
          <w:rFonts w:ascii="Arial" w:cs="Arial" w:eastAsia="Arial" w:hAnsi="Arial"/>
          <w:sz w:val="17"/>
          <w:szCs w:val="17"/>
          <w:color w:val="auto"/>
        </w:rPr>
        <w:t>. The Company has not, since October 31, 2004, received any claim from any officer or director pursuant to or in respect of any indemnification provisions under the Company’s Certificate of Incorporation or Bylaws (as such were in effect during such period) or pursuant to any written indemnification agreement between the Company and any officer or director, no such claim is currently outstanding, and to the knowledge of the Company, there are no circumstances that have occurred since October 31, 2004 which could give rise to such a claim.</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PARENT AND MERGER SUB</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an inducement to the Company to enter into this Agreement, Parent and Merger Sub hereby, jointly and severally, represent and warrant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that: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Corporate Organization.</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Each of Parent and Merger Sub is a corporation duly organized, validly existing and in good standing under the laws of the jurisdiction of its incorporation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prevent or delay consummation of the Merger.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Authority Relative to This Agreement.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Each of Parent and Merger Sub has all necessary corporate power and authority to execute and deliver this Agreement, to perform its obligations hereunder and to consummate the Merger. The execution and delivery of this Agreement by Parent and Merger Sub and the consummation by Parent and Merger Sub of the Merger have been duly and validly authorized by all necessary corporate action on the part of Parent and Merger Sub, and no other corporate proceedings on the part of Parent or Merger Sub are necessary to authorize this Agreement or to consummate the Merger (other than the filing and recordation of appropriate merger documents as required by DGCL). This Agreement has been duly and validly executed and delivered by Parent and Merger Sub and, assuming due authorization, execution and delivery by the Company, constitutes the legal, valid and binding obligation of each of Parent and Merger Sub enforceable against each of Parent and Merger Sub in accordance with its terms.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No Conflict; Required Filings and Consents.</w:t>
      </w:r>
    </w:p>
    <w:p>
      <w:pPr>
        <w:spacing w:after="0" w:line="117" w:lineRule="exact"/>
        <w:rPr>
          <w:sz w:val="20"/>
          <w:szCs w:val="20"/>
          <w:color w:val="auto"/>
        </w:rPr>
      </w:pPr>
    </w:p>
    <w:p>
      <w:pPr>
        <w:ind w:right="120" w:firstLine="458"/>
        <w:spacing w:after="0" w:line="270" w:lineRule="auto"/>
        <w:tabs>
          <w:tab w:leader="none" w:pos="6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execution and delivery of this Agreement by Parent and Merger Sub do not, and the performance of this Agreement by Parent and Merger Sub will not, and the consummation of the Merger by Parent and Merger Sub will not, (i) conflict with or violate the certificate of incorporation or bylaws of either Parent or Merger Sub, (ii) assuming that all consents, approvals and other authorizations described in Section 4.03(b) have been obtained and that all filings and other actions described in Section 4.03(b) have been made or taken, conflict with or violate any Law applicable to Parent or Merger Sub or by which any property or asset of either of them is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or other encumbrance on any property or asset of Parent or Merger Sub pursuant to, any note, bond, mortgage, indenture, contract, agreement, lease, license, permit, franchise or other instrument or obligation to which Parent or Merger Sub is a party or by which Parent or Merger Sub or any property or asset of either of them is bound or affected, except, with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respect to clauses (ii) and (iii), for any such conflicts, violations, breaches, defaults or other occurrences which would not, individually or in the aggregate, prevent or materially delay consummation of the Merger.</w:t>
      </w:r>
    </w:p>
    <w:p>
      <w:pPr>
        <w:spacing w:after="0" w:line="62" w:lineRule="exact"/>
        <w:rPr>
          <w:sz w:val="20"/>
          <w:szCs w:val="20"/>
          <w:color w:val="auto"/>
        </w:rPr>
      </w:pPr>
    </w:p>
    <w:p>
      <w:pPr>
        <w:ind w:firstLine="458"/>
        <w:spacing w:after="0" w:line="302" w:lineRule="auto"/>
        <w:tabs>
          <w:tab w:leader="none" w:pos="70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 not, and the performance of this Agreement by Parent and Merger Sub will not, require any consent, approval, authorization or permit of, or filing with or notification to, any Governmental Authority, except for (i) filings under the Exchange Act, (ii) the filing and recordation of appropriate merger documents as required by DGCL, and (iii) where the failure to obtain such consents, approvals, authorizations or permits, or to make such filings or notifications, would not prevent or materially delay consummation of the Merger.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Brokers.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No broker, finder or investment banker is entitled to any brokerage, finder’s or other fee or commission in connection with the Merger based upon arrangements made by or on behalf of Parent or Merger Sub, other than any broker, finder or investment banker the fees of which will be payable solely by Parent or Merger Sub.</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ADDITIONAL AGREEMENTS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Stockholders’ Meeting or Written Consent and Approval of the Company Stockholder</w:t>
      </w:r>
      <w:r>
        <w:rPr>
          <w:rFonts w:ascii="Arial" w:cs="Arial" w:eastAsia="Arial" w:hAnsi="Arial"/>
          <w:sz w:val="16"/>
          <w:szCs w:val="16"/>
          <w:color w:val="auto"/>
        </w:rPr>
        <w:t>. The Company shall take all action necessary in accordance with this Agreement, the Certificate of Incorporation and Bylaws of the Company and DGCL prior to the Closing Date or on and as of the Closing Date immediately prior to the Effective Time or otherwise prior to the Effective Time, as the case may be, to call, notice, convene, hold and conduct a meeting of the Company’s stockholders (the “</w:t>
      </w:r>
      <w:r>
        <w:rPr>
          <w:rFonts w:ascii="Arial" w:cs="Arial" w:eastAsia="Arial" w:hAnsi="Arial"/>
          <w:sz w:val="16"/>
          <w:szCs w:val="16"/>
          <w:u w:val="single" w:color="auto"/>
          <w:color w:val="auto"/>
        </w:rPr>
        <w:t>Stockholders’ Meeting</w:t>
      </w:r>
      <w:r>
        <w:rPr>
          <w:rFonts w:ascii="Arial" w:cs="Arial" w:eastAsia="Arial" w:hAnsi="Arial"/>
          <w:sz w:val="16"/>
          <w:szCs w:val="16"/>
          <w:color w:val="auto"/>
        </w:rPr>
        <w:t>”) for the purpose of voting upon approval of the Merger and adoption of this Agreement or otherwise to secure the written consent or approval of the requisite stockholders of the Company in lieu of a meeting approving the Merger and adopting this Agreement (each, a “</w:t>
      </w:r>
      <w:r>
        <w:rPr>
          <w:rFonts w:ascii="Arial" w:cs="Arial" w:eastAsia="Arial" w:hAnsi="Arial"/>
          <w:sz w:val="16"/>
          <w:szCs w:val="16"/>
          <w:u w:val="single" w:color="auto"/>
          <w:color w:val="auto"/>
        </w:rPr>
        <w:t>Stockholder Consent</w:t>
      </w:r>
      <w:r>
        <w:rPr>
          <w:rFonts w:ascii="Arial" w:cs="Arial" w:eastAsia="Arial" w:hAnsi="Arial"/>
          <w:sz w:val="16"/>
          <w:szCs w:val="16"/>
          <w:color w:val="auto"/>
        </w:rPr>
        <w:t>”) and required in order to effectuate each of the transactions contemplated by this Agreement.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Notification of Certain Matters.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 xml:space="preserve">The Company shall give prompt notice to Parent, and Parent shall give prompt notice to the Company, of (a) the occurrence, or non-occurrence, of any event the occurrence, or non-occurrence, of which reasonably could be expected to cause any representation or warranty contained in this Agreement and made by such person to be untrue or inaccurate in any material respect, (b) any failure of the Company, Parent or Merger Sub, as the case may be, to comply in all material respects with or satisfy any covenant or agreement to be complied with or satisfied by it hereunder and (c) any other material development relating to the business, financial condition or results of operations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delivery of any notice pursuant to this Section 5.02 shall not limit or otherwise affect the remedies available hereunder to the party receiving such notice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Section 8.02.</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Further Action; Reasonable Efforts.</w:t>
      </w:r>
    </w:p>
    <w:p>
      <w:pPr>
        <w:spacing w:after="0" w:line="117" w:lineRule="exact"/>
        <w:rPr>
          <w:sz w:val="20"/>
          <w:szCs w:val="20"/>
          <w:color w:val="auto"/>
        </w:rPr>
      </w:pPr>
    </w:p>
    <w:p>
      <w:pPr>
        <w:ind w:right="20" w:firstLine="458"/>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party will take any action or omit to take any action that would cause the representations and warranties contained in Article III or Article IV, as the case may be, to be untrue on and as of the Closing Date.</w:t>
      </w:r>
    </w:p>
    <w:p>
      <w:pPr>
        <w:spacing w:after="0" w:line="62" w:lineRule="exact"/>
        <w:rPr>
          <w:rFonts w:ascii="Arial" w:cs="Arial" w:eastAsia="Arial" w:hAnsi="Arial"/>
          <w:sz w:val="18"/>
          <w:szCs w:val="18"/>
          <w:color w:val="auto"/>
        </w:rPr>
      </w:pPr>
    </w:p>
    <w:p>
      <w:pPr>
        <w:ind w:firstLine="458"/>
        <w:spacing w:after="0" w:line="279" w:lineRule="auto"/>
        <w:tabs>
          <w:tab w:leader="none" w:pos="705"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this Agreement, each of the parties hereto shall use its reasonable efforts to take, or cause to be taken, all appropriate action, and to do, or cause to be done, all things necessary, proper or advisable under applicable Laws to consummate and make effective the Merger. In case, at any time after the Effective Time, any further action is necessary or desirable to carry out the purposes of this Agreement, the proper officers and directors of each party to this Agreement shall use their reasonable efforts to take all such action.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Public Announcements.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Parent and the Company shall consult with each other before issuing any press release or otherwise making any public statements with respect to this Agreement or the Merger and shall not issue any such press release or make any such public statement prior to such consultation, except as may be required by Law or the rules or regulations of any United States or non-United States securities exchange. The parties have agreed upon the form of a joint press release announcing the execution of this Agreement.</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FIRPTA</w:t>
      </w:r>
      <w:r>
        <w:rPr>
          <w:rFonts w:ascii="Arial" w:cs="Arial" w:eastAsia="Arial" w:hAnsi="Arial"/>
          <w:sz w:val="18"/>
          <w:szCs w:val="18"/>
          <w:color w:val="auto"/>
        </w:rPr>
        <w:t>. The Company agrees to provide to Parent at Closing a certificate (in a form reasonably satisfactory to Parent and Merger Sub) meeting the requirements of Treasury regulation section 1.1445-2(b)(2).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5.06 [Intentionally deleted].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Certain Tax Matters.</w:t>
      </w:r>
    </w:p>
    <w:p>
      <w:pPr>
        <w:spacing w:after="0" w:line="117" w:lineRule="exact"/>
        <w:rPr>
          <w:sz w:val="20"/>
          <w:szCs w:val="20"/>
          <w:color w:val="auto"/>
        </w:rPr>
      </w:pPr>
    </w:p>
    <w:p>
      <w:pPr>
        <w:ind w:left="700" w:hanging="242"/>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Income Tax Straddle Periods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17" w:lineRule="exact"/>
        <w:rPr>
          <w:rFonts w:ascii="Arial" w:cs="Arial" w:eastAsia="Arial" w:hAnsi="Arial"/>
          <w:sz w:val="18"/>
          <w:szCs w:val="18"/>
          <w:color w:val="auto"/>
        </w:rPr>
      </w:pPr>
    </w:p>
    <w:p>
      <w:pPr>
        <w:ind w:right="120" w:firstLine="683"/>
        <w:spacing w:after="0" w:line="255" w:lineRule="auto"/>
        <w:tabs>
          <w:tab w:leader="none" w:pos="9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Parent shall cause the Company and each Subsidiary to prepare and timely file all Tax Returns required to be filed after the Closing Date. Such Tax Returns shall be prepared and filed timely and on a basis consistent with procedures, accounting methods, and practices of the Company and its Subsidiaries in effect as of the date of this Agreement with respect to the treatment of specific items on such Tax Returns unless otherwise required by applicable Law. Parent shall not, and shall not allow the Company or any Subsidiary, to file any amended Tax Return relating to any period (or portion thereof) ending on before the Closing Date without the prior written permission of the Company Stockholder (which shall not be unreasonably withheld, delayed, or conditioned).</w:t>
      </w:r>
    </w:p>
    <w:p>
      <w:pPr>
        <w:spacing w:after="0" w:line="8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3" w:name="page64"/>
    <w:bookmarkEnd w:id="63"/>
    <w:p>
      <w:pPr>
        <w:ind w:left="-40" w:right="60" w:firstLine="683"/>
        <w:spacing w:after="0" w:line="255" w:lineRule="auto"/>
        <w:tabs>
          <w:tab w:leader="none" w:pos="9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any Governmental Authority issues to the Company or any Subsidiary (i) a written notice of its intent to audit, examine or conduct another proceeding with respect to Taxes or Tax Returns of the Company or any Subsidiary for periods ending prior to the Closing Date or (ii) a written notice of deficiency, a written notice of reassessment, a written proposed adjustment, a written assertion of claim or written demand concerning Taxes or Tax Returns for periods ending on or prior to the Closing Date, Parent shall notify the Company Stockholder of its receipt of such communication from the Governmental Authority within ten (10) business days of receipt (collectively, a “</w:t>
      </w:r>
      <w:r>
        <w:rPr>
          <w:rFonts w:ascii="Arial" w:cs="Arial" w:eastAsia="Arial" w:hAnsi="Arial"/>
          <w:sz w:val="18"/>
          <w:szCs w:val="18"/>
          <w:u w:val="single" w:color="auto"/>
          <w:color w:val="auto"/>
        </w:rPr>
        <w:t>Tax Claim</w:t>
      </w:r>
      <w:r>
        <w:rPr>
          <w:rFonts w:ascii="Arial" w:cs="Arial" w:eastAsia="Arial" w:hAnsi="Arial"/>
          <w:sz w:val="18"/>
          <w:szCs w:val="18"/>
          <w:color w:val="auto"/>
        </w:rPr>
        <w:t>”). Parent shall not allow the Company or any Subsidiary to settle or otherwise resolve any Tax Claim with respect to which the Company Stockholder could have a liability for Taxes under this Agreement without the prior written approval of the Company Stockholder.</w:t>
      </w:r>
    </w:p>
    <w:p>
      <w:pPr>
        <w:spacing w:after="0" w:line="81" w:lineRule="exact"/>
        <w:rPr>
          <w:rFonts w:ascii="Arial" w:cs="Arial" w:eastAsia="Arial" w:hAnsi="Arial"/>
          <w:sz w:val="18"/>
          <w:szCs w:val="18"/>
          <w:color w:val="auto"/>
        </w:rPr>
      </w:pPr>
    </w:p>
    <w:p>
      <w:pPr>
        <w:ind w:left="680" w:hanging="262"/>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683"/>
        <w:spacing w:after="0" w:line="270" w:lineRule="auto"/>
        <w:tabs>
          <w:tab w:leader="none" w:pos="850" w:val="left"/>
        </w:tabs>
        <w:numPr>
          <w:ilvl w:val="1"/>
          <w:numId w:val="73"/>
        </w:numPr>
        <w:rPr>
          <w:rFonts w:ascii="Arial" w:cs="Arial" w:eastAsia="Arial" w:hAnsi="Arial"/>
          <w:sz w:val="17"/>
          <w:szCs w:val="17"/>
          <w:color w:val="auto"/>
        </w:rPr>
      </w:pPr>
      <w:r>
        <w:rPr>
          <w:rFonts w:ascii="Arial" w:cs="Arial" w:eastAsia="Arial" w:hAnsi="Arial"/>
          <w:sz w:val="17"/>
          <w:szCs w:val="17"/>
          <w:color w:val="auto"/>
        </w:rPr>
        <w:t>Parent, the Company and its Subsidiaries, and the Company Stockholder shall cooperate fully, as and to the extent reasonably requested by the other Party, in connection with the filing of Tax Returns pursuant to this §5.07 and any audit, litigation or other proceeding with respect to Taxes. Such cooperation shall include the retention and (upon the other party’s request) the provision of records and information that are reasonably relevant to any such audit, litigation or other proceeding and making employees available on a mutually convenient basis to provide additional information and explanation of any material provided hereunder. Company and its Subsidiaries and the Company Stockholder agree (A) to retain all books and records with respect to Tax matters pertinent to the Company and its Subsidiaries relating to any taxable period beginning before the Closing Date until the expiration of the statute of limitations (and, to the extent notified by Parent or the Company Stockholder, any extensions thereof) of the respective taxable periods, and to abide by all record retention agreements entered into with any taxing authority, and (B) to give the other party reasonable written notice prior to transferring, destroying or discarding any such books and records and, if the other party so requests, the Company and its Subsidiaries or the Company Stockholder, as the case may be, shall allow the other Party to take possession of such books and records.</w:t>
      </w:r>
    </w:p>
    <w:p>
      <w:pPr>
        <w:spacing w:after="0" w:line="69" w:lineRule="exact"/>
        <w:rPr>
          <w:rFonts w:ascii="Arial" w:cs="Arial" w:eastAsia="Arial" w:hAnsi="Arial"/>
          <w:sz w:val="17"/>
          <w:szCs w:val="17"/>
          <w:color w:val="auto"/>
        </w:rPr>
      </w:pPr>
    </w:p>
    <w:p>
      <w:pPr>
        <w:jc w:val="both"/>
        <w:ind w:left="-40" w:right="120" w:firstLine="683"/>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Parent and the Company Stockholder further agree, upon request, to use their reasonable best efforts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Directors’ and Officers’ Indemnification.</w:t>
      </w:r>
    </w:p>
    <w:p>
      <w:pPr>
        <w:spacing w:after="0" w:line="117" w:lineRule="exact"/>
        <w:rPr>
          <w:sz w:val="20"/>
          <w:szCs w:val="20"/>
          <w:color w:val="auto"/>
        </w:rPr>
      </w:pPr>
    </w:p>
    <w:p>
      <w:pPr>
        <w:jc w:val="both"/>
        <w:ind w:left="-40" w:right="220" w:firstLine="458"/>
        <w:spacing w:after="0" w:line="259"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Merger is consummated, then until the first anniversary of the Effective Time, the Parent will cause the Surviving Corporation to fulfill and honor in all respects the obligations of the Company to its directors and officers as of immediately prior to the Effective Time (the “</w:t>
      </w:r>
      <w:r>
        <w:rPr>
          <w:rFonts w:ascii="Arial" w:cs="Arial" w:eastAsia="Arial" w:hAnsi="Arial"/>
          <w:sz w:val="18"/>
          <w:szCs w:val="18"/>
          <w:u w:val="single" w:color="auto"/>
          <w:color w:val="auto"/>
        </w:rPr>
        <w:t>Company 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Officers and Directors</w:t>
      </w:r>
      <w:r>
        <w:rPr>
          <w:rFonts w:ascii="Arial" w:cs="Arial" w:eastAsia="Arial" w:hAnsi="Arial"/>
          <w:sz w:val="18"/>
          <w:szCs w:val="18"/>
          <w:color w:val="auto"/>
        </w:rPr>
        <w:t>”) pursuant to any indemnification provisions under the Company’s Certificate of Incorporation or Bylaws as in effect on the Agreement Date with respect to claims arising out of matters occurring prior to the Effective Time.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64" w:name="page65"/>
    <w:bookmarkEnd w:id="64"/>
    <w:p>
      <w:pPr>
        <w:ind w:right="20" w:firstLine="458"/>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Until the first anniversary of the Effective Time, the Parent shall cause the Surviving Corporation not to amend, subject to applicable Law, the Certificate of Incorporation or Bylaws of the Company in a manner that would eliminate, reduce or terminate the benefit of the indemnification provisions in favor of the Company’s directors and officers, as contained in the Certificate of Incorporation and Bylaws as in effect as of the Agreement Date, for actions or omissions on the part of such directors and officers prior to the Closing Date.</w:t>
      </w:r>
    </w:p>
    <w:p>
      <w:pPr>
        <w:spacing w:after="0" w:line="78" w:lineRule="exact"/>
        <w:rPr>
          <w:rFonts w:ascii="Arial" w:cs="Arial" w:eastAsia="Arial" w:hAnsi="Arial"/>
          <w:sz w:val="18"/>
          <w:szCs w:val="18"/>
          <w:color w:val="auto"/>
        </w:rPr>
      </w:pPr>
    </w:p>
    <w:p>
      <w:pPr>
        <w:ind w:right="640" w:firstLine="458"/>
        <w:spacing w:after="0" w:line="277" w:lineRule="auto"/>
        <w:tabs>
          <w:tab w:leader="none" w:pos="6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of this Section 5.08 are intended to be for the benefit of, and shall be enforceable by, the Company Indemnified Officers and Directors.</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During the period from the date of this Agreement and continuing until the Effective Time, the Company agrees that (except as expressly contemplated or permitted by this Agreement or as required by applicable Law), without the prior written consent of Parent, which shall not be unreasonably withheld or delayed (each reference to “the Company” in this Section 5.09 shall refer to the Company and each of its Subsidiaries, as the case may be):</w:t>
      </w:r>
    </w:p>
    <w:p>
      <w:pPr>
        <w:spacing w:after="0" w:line="79" w:lineRule="exact"/>
        <w:rPr>
          <w:sz w:val="20"/>
          <w:szCs w:val="20"/>
          <w:color w:val="auto"/>
        </w:rPr>
      </w:pPr>
    </w:p>
    <w:p>
      <w:pPr>
        <w:ind w:left="700" w:hanging="242"/>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683"/>
        <w:spacing w:after="0" w:line="279" w:lineRule="auto"/>
        <w:tabs>
          <w:tab w:leader="none" w:pos="887"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Company shall carry on in the Ordinary Course of Business in all material respects, in substantially the same manner as heretofore conducted, and shall use its commercially reasonable efforts to keep available the services of its present officers and key employees, preserve intact its present lines of business, maintain its rights and franchises and preserve its relationships with customers, suppliers and others having business dealings with it to the end that its ongoing businesses shall not be impaired in any material respect at the Effective Time.</w:t>
      </w:r>
    </w:p>
    <w:p>
      <w:pPr>
        <w:spacing w:after="0" w:line="63" w:lineRule="exact"/>
        <w:rPr>
          <w:rFonts w:ascii="Arial" w:cs="Arial" w:eastAsia="Arial" w:hAnsi="Arial"/>
          <w:sz w:val="17"/>
          <w:szCs w:val="17"/>
          <w:color w:val="auto"/>
        </w:rPr>
      </w:pPr>
    </w:p>
    <w:p>
      <w:pPr>
        <w:ind w:right="60" w:firstLine="683"/>
        <w:spacing w:after="0" w:line="264" w:lineRule="auto"/>
        <w:tabs>
          <w:tab w:leader="none" w:pos="93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shall not, (A) enter into any new material line of business or (B) incur or commit to any capital expenditures or any obligations or liabilities in connection therewith other than capital expenditures and obligations or liabilities in connection therewith incurred or committed to in the Ordinary Course of Business.</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Dividends; Changes in Share Capital</w:t>
      </w:r>
      <w:r>
        <w:rPr>
          <w:rFonts w:ascii="Arial" w:cs="Arial" w:eastAsia="Arial" w:hAnsi="Arial"/>
          <w:sz w:val="17"/>
          <w:szCs w:val="17"/>
          <w:color w:val="auto"/>
        </w:rPr>
        <w:t>. The Company shall not, and shall not propose to, (1) declare or pay any dividends on or make other</w:t>
      </w:r>
    </w:p>
    <w:p>
      <w:pPr>
        <w:spacing w:after="0" w:line="34"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distributions in respect of any of its capital shares, (2) split, combine or reclassify any of its capital shares or issue or authorize or propose the issuance of any other securities in respect of, in lieu of or in substitution for, its capital shares or (3) repurchase, redeem or otherwise acquire any of its capital shares or any securities convertible into or exercisable for any of its capital shares.</w:t>
      </w:r>
    </w:p>
    <w:p>
      <w:pPr>
        <w:spacing w:after="0" w:line="82" w:lineRule="exact"/>
        <w:rPr>
          <w:rFonts w:ascii="Arial" w:cs="Arial" w:eastAsia="Arial" w:hAnsi="Arial"/>
          <w:sz w:val="17"/>
          <w:szCs w:val="17"/>
          <w:color w:val="auto"/>
        </w:rPr>
      </w:pPr>
    </w:p>
    <w:p>
      <w:pPr>
        <w:ind w:right="60" w:firstLine="458"/>
        <w:spacing w:after="0" w:line="312"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Issuance of Securities</w:t>
      </w:r>
      <w:r>
        <w:rPr>
          <w:rFonts w:ascii="Arial" w:cs="Arial" w:eastAsia="Arial" w:hAnsi="Arial"/>
          <w:sz w:val="16"/>
          <w:szCs w:val="16"/>
          <w:color w:val="auto"/>
        </w:rPr>
        <w:t>. The Company shall not, issue, deliver, sell, pledge or dispose of, or authorize or propose the issuance, delivery, sale, pledge or disposition of, any of its capital shares of any class, any debt or any securities convertible into or exercisable for, or any rights, warrants, calls or options to acquire, any such shares or debt, or enter into any commitment, arrangement, undertaking or agreement with respect to any of the foregoing.</w:t>
      </w:r>
    </w:p>
    <w:p>
      <w:pPr>
        <w:spacing w:after="0" w:line="38" w:lineRule="exact"/>
        <w:rPr>
          <w:rFonts w:ascii="Arial" w:cs="Arial" w:eastAsia="Arial" w:hAnsi="Arial"/>
          <w:sz w:val="16"/>
          <w:szCs w:val="16"/>
          <w:color w:val="auto"/>
        </w:rPr>
      </w:pPr>
    </w:p>
    <w:p>
      <w:pPr>
        <w:ind w:firstLine="458"/>
        <w:spacing w:after="0" w:line="277"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Governing Documents</w:t>
      </w:r>
      <w:r>
        <w:rPr>
          <w:rFonts w:ascii="Arial" w:cs="Arial" w:eastAsia="Arial" w:hAnsi="Arial"/>
          <w:sz w:val="18"/>
          <w:szCs w:val="18"/>
          <w:color w:val="auto"/>
        </w:rPr>
        <w:t>. Except to the extent required to comply with its obligations hereunder or with applicable Law, the Company shall not amend or propose to so amend its Certificate of Incorporation or By-Laws.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jc w:val="both"/>
        <w:ind w:firstLine="458"/>
        <w:spacing w:after="0" w:line="264"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Acquisitions</w:t>
      </w:r>
      <w:r>
        <w:rPr>
          <w:rFonts w:ascii="Arial" w:cs="Arial" w:eastAsia="Arial" w:hAnsi="Arial"/>
          <w:sz w:val="18"/>
          <w:szCs w:val="18"/>
          <w:color w:val="auto"/>
        </w:rPr>
        <w:t>. The Company shall not acquire or agree to acquire by merger or consolidation, or by purchasing a substantial equity interest in or a substantial portion of the assets of, or by any other manner, any business or any corporation, partnership, association or other business organization or division thereof or otherwise acquire or agree to acquire any assets.</w:t>
      </w:r>
    </w:p>
    <w:p>
      <w:pPr>
        <w:spacing w:after="0" w:line="73" w:lineRule="exact"/>
        <w:rPr>
          <w:rFonts w:ascii="Arial" w:cs="Arial" w:eastAsia="Arial" w:hAnsi="Arial"/>
          <w:sz w:val="18"/>
          <w:szCs w:val="18"/>
          <w:color w:val="auto"/>
        </w:rPr>
      </w:pPr>
    </w:p>
    <w:p>
      <w:pPr>
        <w:ind w:right="320" w:firstLine="458"/>
        <w:spacing w:after="0" w:line="277" w:lineRule="auto"/>
        <w:tabs>
          <w:tab w:leader="none" w:pos="67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Dispositions</w:t>
      </w:r>
      <w:r>
        <w:rPr>
          <w:rFonts w:ascii="Arial" w:cs="Arial" w:eastAsia="Arial" w:hAnsi="Arial"/>
          <w:sz w:val="18"/>
          <w:szCs w:val="18"/>
          <w:color w:val="auto"/>
        </w:rPr>
        <w:t>. The Company shall not sell, lease or otherwise dispose of, or agree to sell, lease or otherwise dispose of, any of its assets, other than in the Ordinary Course of Business.</w:t>
      </w:r>
    </w:p>
    <w:p>
      <w:pPr>
        <w:spacing w:after="0" w:line="62" w:lineRule="exact"/>
        <w:rPr>
          <w:rFonts w:ascii="Arial" w:cs="Arial" w:eastAsia="Arial" w:hAnsi="Arial"/>
          <w:sz w:val="18"/>
          <w:szCs w:val="18"/>
          <w:color w:val="auto"/>
        </w:rPr>
      </w:pPr>
    </w:p>
    <w:p>
      <w:pPr>
        <w:ind w:right="100" w:firstLine="458"/>
        <w:spacing w:after="0" w:line="255"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Investments; Indebtedness</w:t>
      </w:r>
      <w:r>
        <w:rPr>
          <w:rFonts w:ascii="Arial" w:cs="Arial" w:eastAsia="Arial" w:hAnsi="Arial"/>
          <w:sz w:val="18"/>
          <w:szCs w:val="18"/>
          <w:color w:val="auto"/>
        </w:rPr>
        <w:t>. The Company shall not (1) enter into any material joint venture, partnership or other similar arrangement, (2) make any loans, advances or capital contributions to, or investments in, any other person, other than any capital contributions to or other obligations in respect of any joint ventures of the Company pursuant to an agreement in existence on or prior to the date of this Agreement, or (3) incur indebtedness or guarantee any indebtedness for borrowed money of another person (in each case other than in the Ordinary Course of Business), enter into any “keep well” or other agreement to maintain any financial statement condition of another person or enter into any arrangement having the economic effect of any of the foregoing, other than refinancings of pre-existing indebtedness.</w:t>
      </w:r>
    </w:p>
    <w:p>
      <w:pPr>
        <w:spacing w:after="0" w:line="85" w:lineRule="exact"/>
        <w:rPr>
          <w:rFonts w:ascii="Arial" w:cs="Arial" w:eastAsia="Arial" w:hAnsi="Arial"/>
          <w:sz w:val="18"/>
          <w:szCs w:val="18"/>
          <w:color w:val="auto"/>
        </w:rPr>
      </w:pPr>
    </w:p>
    <w:p>
      <w:pPr>
        <w:ind w:right="100" w:firstLine="458"/>
        <w:spacing w:after="0" w:line="293"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The Company shall not: (A) enter into, adopt, amend, create new benefit plans, (B) terminate any benefit plan, (C) increase the compensation or benefits payable to any current or former employee, officer, director, or consultant of the Company (including any such increase pursuant to any bonus, pension, equity compensation, profit sharing or other plan or commitment) or pay any amounts under such arrangements or benefit plans (including severance arrangements) not otherwise due, (D) enter into any collective bargaining agreement or similar agreement with respect to the Company or any employees thereof, (E) make contributions to tax-qualified defined benefit pension plans other than to the extent required by law or modify the actuarial assumptions in effect with respect to any such plan or (F) provide any funding for any rabbi trust or similar arrangement.</w:t>
      </w:r>
    </w:p>
    <w:p>
      <w:pPr>
        <w:spacing w:after="0" w:line="56" w:lineRule="exact"/>
        <w:rPr>
          <w:rFonts w:ascii="Arial" w:cs="Arial" w:eastAsia="Arial" w:hAnsi="Arial"/>
          <w:sz w:val="16"/>
          <w:szCs w:val="16"/>
          <w:color w:val="auto"/>
        </w:rPr>
      </w:pPr>
    </w:p>
    <w:p>
      <w:pPr>
        <w:ind w:right="20" w:firstLine="458"/>
        <w:spacing w:after="0" w:line="259" w:lineRule="auto"/>
        <w:tabs>
          <w:tab w:leader="none" w:pos="66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Cash Management</w:t>
      </w:r>
      <w:r>
        <w:rPr>
          <w:rFonts w:ascii="Arial" w:cs="Arial" w:eastAsia="Arial" w:hAnsi="Arial"/>
          <w:sz w:val="18"/>
          <w:szCs w:val="18"/>
          <w:color w:val="auto"/>
        </w:rPr>
        <w:t>. The Company shall conduct its financial operations in the Ordinary Course of Business in all material respects, in the same manner as heretofore conducted, including, by way of example and not limitation, the timely and orderly collection of all accounts receivable and other amounts owed to the Company. The Company shall make no expenditures in excess of $5,000 without receiving prior written approval from Parent after prior delivery to Parent of written request with all supporting documentation to support such request.</w:t>
      </w:r>
    </w:p>
    <w:p>
      <w:pPr>
        <w:spacing w:after="0" w:line="78" w:lineRule="exact"/>
        <w:rPr>
          <w:rFonts w:ascii="Arial" w:cs="Arial" w:eastAsia="Arial" w:hAnsi="Arial"/>
          <w:sz w:val="18"/>
          <w:szCs w:val="18"/>
          <w:color w:val="auto"/>
        </w:rPr>
      </w:pPr>
    </w:p>
    <w:p>
      <w:pPr>
        <w:ind w:right="280" w:firstLine="458"/>
        <w:spacing w:after="0" w:line="277" w:lineRule="auto"/>
        <w:tabs>
          <w:tab w:leader="none" w:pos="66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Accounting Methods</w:t>
      </w:r>
      <w:r>
        <w:rPr>
          <w:rFonts w:ascii="Arial" w:cs="Arial" w:eastAsia="Arial" w:hAnsi="Arial"/>
          <w:sz w:val="18"/>
          <w:szCs w:val="18"/>
          <w:color w:val="auto"/>
        </w:rPr>
        <w:t>. The Company shall not change in any material respect its methods of financial accounting in effect at March 31, 2009. The Company shall not make any material Tax election.</w:t>
      </w:r>
    </w:p>
    <w:p>
      <w:pPr>
        <w:spacing w:after="0" w:line="62" w:lineRule="exact"/>
        <w:rPr>
          <w:rFonts w:ascii="Arial" w:cs="Arial" w:eastAsia="Arial" w:hAnsi="Arial"/>
          <w:sz w:val="18"/>
          <w:szCs w:val="18"/>
          <w:color w:val="auto"/>
        </w:rPr>
      </w:pPr>
    </w:p>
    <w:p>
      <w:pPr>
        <w:ind w:right="20" w:firstLine="458"/>
        <w:spacing w:after="0" w:line="286" w:lineRule="auto"/>
        <w:tabs>
          <w:tab w:leader="none" w:pos="70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Non-Compete</w:t>
      </w:r>
      <w:r>
        <w:rPr>
          <w:rFonts w:ascii="Arial" w:cs="Arial" w:eastAsia="Arial" w:hAnsi="Arial"/>
          <w:sz w:val="17"/>
          <w:szCs w:val="17"/>
          <w:color w:val="auto"/>
        </w:rPr>
        <w:t>. The Company shall not, enter into any agreement that limits (other than in an insignificant manner) the ability of the Company, or would limit (other than in an insignificant manner) the ability of Parent or any Subsidiary of Parent after the Effective Time, to compete in or conduct any line of business or compete with any Person in any geographic area or during any period, it being understood that any restriction that by its terms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right="860"/>
        <w:spacing w:after="0" w:line="277" w:lineRule="auto"/>
        <w:rPr>
          <w:sz w:val="20"/>
          <w:szCs w:val="20"/>
          <w:color w:val="auto"/>
        </w:rPr>
      </w:pPr>
      <w:r>
        <w:rPr>
          <w:rFonts w:ascii="Arial" w:cs="Arial" w:eastAsia="Arial" w:hAnsi="Arial"/>
          <w:sz w:val="18"/>
          <w:szCs w:val="18"/>
          <w:color w:val="auto"/>
        </w:rPr>
        <w:t>does not extend more than two months beyond the Effective Time and is not applicable to the business of Parent at any time shall be deemed to be insignificant.</w:t>
      </w:r>
    </w:p>
    <w:p>
      <w:pPr>
        <w:spacing w:after="0" w:line="62" w:lineRule="exact"/>
        <w:rPr>
          <w:sz w:val="20"/>
          <w:szCs w:val="20"/>
          <w:color w:val="auto"/>
        </w:rPr>
      </w:pPr>
    </w:p>
    <w:p>
      <w:pPr>
        <w:ind w:right="40" w:firstLine="458"/>
        <w:spacing w:after="0" w:line="264" w:lineRule="auto"/>
        <w:tabs>
          <w:tab w:leader="none" w:pos="66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Materials Contracts</w:t>
      </w:r>
      <w:r>
        <w:rPr>
          <w:rFonts w:ascii="Arial" w:cs="Arial" w:eastAsia="Arial" w:hAnsi="Arial"/>
          <w:sz w:val="18"/>
          <w:szCs w:val="18"/>
          <w:color w:val="auto"/>
        </w:rPr>
        <w:t>. The Company shall not (1) modify, amend or terminate any Material Contract, (2) waive any material rights under any Material Contract or (3) enter into any agreement that would constitute a Material Contract if entered into as of the date of this Agreement other than (with respect to clauses (1) and (3)) in the Ordinary Course of Business.</w:t>
      </w:r>
    </w:p>
    <w:p>
      <w:pPr>
        <w:spacing w:after="0" w:line="73" w:lineRule="exact"/>
        <w:rPr>
          <w:rFonts w:ascii="Arial" w:cs="Arial" w:eastAsia="Arial" w:hAnsi="Arial"/>
          <w:sz w:val="18"/>
          <w:szCs w:val="18"/>
          <w:color w:val="auto"/>
        </w:rPr>
      </w:pPr>
    </w:p>
    <w:p>
      <w:pPr>
        <w:ind w:right="20" w:firstLine="458"/>
        <w:spacing w:after="0" w:line="286" w:lineRule="auto"/>
        <w:tabs>
          <w:tab w:leader="none" w:pos="75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Claims; Litigation</w:t>
      </w:r>
      <w:r>
        <w:rPr>
          <w:rFonts w:ascii="Arial" w:cs="Arial" w:eastAsia="Arial" w:hAnsi="Arial"/>
          <w:sz w:val="17"/>
          <w:szCs w:val="17"/>
          <w:color w:val="auto"/>
        </w:rPr>
        <w:t>. The Company shall not, settle or compromise any claim, demand, lawsuit or state or federal regulatory proceeding, whether now pending or hereafter made or brought, or waive, release or assign any rights or claims, in any such case in an aggregate amount in excess of $10,000, and the Company shall notify Parent in writing regarding any pending litigation hereafter made or brought against the Company.</w:t>
      </w:r>
    </w:p>
    <w:p>
      <w:pPr>
        <w:spacing w:after="0" w:line="57" w:lineRule="exact"/>
        <w:rPr>
          <w:rFonts w:ascii="Arial" w:cs="Arial" w:eastAsia="Arial" w:hAnsi="Arial"/>
          <w:sz w:val="17"/>
          <w:szCs w:val="17"/>
          <w:color w:val="auto"/>
        </w:rPr>
      </w:pPr>
    </w:p>
    <w:p>
      <w:pPr>
        <w:ind w:right="200" w:firstLine="458"/>
        <w:spacing w:after="0" w:line="308" w:lineRule="auto"/>
        <w:tabs>
          <w:tab w:leader="none" w:pos="70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shall not, take any action which would limit in any material respect the Company’s freedom to license, cross-license or otherwise dispose of any material Intellectual Property to which the Company has rights as of the date of this Agreement.</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Conversion of Austin Ventures VIII, L.P. Convertible Notes</w:t>
      </w:r>
      <w:r>
        <w:rPr>
          <w:rFonts w:ascii="Arial" w:cs="Arial" w:eastAsia="Arial" w:hAnsi="Arial"/>
          <w:sz w:val="18"/>
          <w:szCs w:val="18"/>
          <w:color w:val="auto"/>
        </w:rPr>
        <w:t>. The Company Stockholder shall, immediately prior to and effective at Closing, convert the Austin Ventures VIII. L.P. Convertible Notes into Company Series B Stock.</w:t>
      </w:r>
    </w:p>
    <w:p>
      <w:pPr>
        <w:spacing w:after="0" w:line="62" w:lineRule="exact"/>
        <w:rPr>
          <w:sz w:val="20"/>
          <w:szCs w:val="20"/>
          <w:color w:val="auto"/>
        </w:rPr>
      </w:pPr>
    </w:p>
    <w:p>
      <w:pPr>
        <w:jc w:val="both"/>
        <w:ind w:right="280" w:firstLine="225"/>
        <w:spacing w:after="0" w:line="34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Dissolution of NetStreams International, Inc</w:t>
      </w:r>
      <w:r>
        <w:rPr>
          <w:rFonts w:ascii="Arial" w:cs="Arial" w:eastAsia="Arial" w:hAnsi="Arial"/>
          <w:sz w:val="16"/>
          <w:szCs w:val="16"/>
          <w:color w:val="auto"/>
        </w:rPr>
        <w:t>. The Company shall, prior to and as a condition of Closing, obtain all necessary approvals to file, and shall file, a certificate of dissolution with the Division of Corporations in the Delaware Department of State with respect to NetStreams International, Inc.</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[Intentionally Deleted]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THE MERGER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Conditions to the Merger.</w:t>
      </w:r>
    </w:p>
    <w:p>
      <w:pPr>
        <w:spacing w:after="0" w:line="117" w:lineRule="exact"/>
        <w:rPr>
          <w:sz w:val="20"/>
          <w:szCs w:val="20"/>
          <w:color w:val="auto"/>
        </w:rPr>
      </w:pPr>
    </w:p>
    <w:p>
      <w:pPr>
        <w:ind w:firstLine="458"/>
        <w:spacing w:after="0" w:line="259"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Company’s Conditions</w:t>
      </w:r>
      <w:r>
        <w:rPr>
          <w:rFonts w:ascii="Arial" w:cs="Arial" w:eastAsia="Arial" w:hAnsi="Arial"/>
          <w:sz w:val="18"/>
          <w:szCs w:val="18"/>
          <w:color w:val="auto"/>
        </w:rPr>
        <w:t>. The Company’s obligations to consummate the Merger and take the other actions required to be taken by the Company at the Closing are subject to the fulfillment or satisfaction as of the Closing, of each of the following conditions (it being understood that (I) any one or more of the following conditions may be waived by the Company in a writing signed on behalf of the Company and (II) by proceeding with the Closing, the Company shall be deemed to have waived any of such conditions that remain unfulfilled or unsatisfied):</w:t>
      </w:r>
    </w:p>
    <w:p>
      <w:pPr>
        <w:spacing w:after="0" w:line="78" w:lineRule="exact"/>
        <w:rPr>
          <w:rFonts w:ascii="Arial" w:cs="Arial" w:eastAsia="Arial" w:hAnsi="Arial"/>
          <w:sz w:val="18"/>
          <w:szCs w:val="18"/>
          <w:color w:val="auto"/>
        </w:rPr>
      </w:pPr>
    </w:p>
    <w:p>
      <w:pPr>
        <w:ind w:right="360" w:firstLine="683"/>
        <w:spacing w:after="0" w:line="277" w:lineRule="auto"/>
        <w:tabs>
          <w:tab w:leader="none" w:pos="89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Parent and Merger Sub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 that are qualified as to materiality shall be true and correct and (b) that are not qualified as to materiality shall be true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ind w:right="120"/>
        <w:spacing w:after="0" w:line="273" w:lineRule="auto"/>
        <w:rPr>
          <w:sz w:val="20"/>
          <w:szCs w:val="20"/>
          <w:color w:val="auto"/>
        </w:rPr>
      </w:pPr>
      <w:r>
        <w:rPr>
          <w:rFonts w:ascii="Arial" w:cs="Arial" w:eastAsia="Arial" w:hAnsi="Arial"/>
          <w:sz w:val="17"/>
          <w:szCs w:val="17"/>
          <w:color w:val="auto"/>
        </w:rPr>
        <w:t>and correct in all material respects, in each case on and as of the Closing (except for any such representations or warranties that by their terms speak only as of a specific date or dates, in which case such representations and warranties that are qualified as to materiality shall be true and correct, and such representations and warranties that are not qualified as to materiality shall be true and correct in all material respects, on and as of such specified date or dates), except to the extent the failure of such representations and warranties to be so true and correct does not have a material adverse effect on Parent’s or Merger Sub’s ability to consummate the Merger or to perform their respective obligations under this Agreement and at the Closing the Company shall have received a certificate to such effect executed by an officer of Parent.</w:t>
      </w:r>
    </w:p>
    <w:p>
      <w:pPr>
        <w:spacing w:after="0" w:line="70" w:lineRule="exact"/>
        <w:rPr>
          <w:sz w:val="20"/>
          <w:szCs w:val="20"/>
          <w:color w:val="auto"/>
        </w:rPr>
      </w:pPr>
    </w:p>
    <w:p>
      <w:pPr>
        <w:ind w:right="80" w:firstLine="683"/>
        <w:spacing w:after="0" w:line="279" w:lineRule="auto"/>
        <w:tabs>
          <w:tab w:leader="none" w:pos="94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 Parent shall have performed and complied in all material respects with all of its covenants contained in this Agreement on or before the Closing (to the extent that such covenants require performance by Parent on or before the Closing), except to the extent the failure to so perform and comply with such covenants does not have a material adverse effect on Parent’s ability to consummate the Merger or to perform its obligations under this Agreement and at the Closing the Company shall have received a certificate to such effect executed by an officer of Parent.</w:t>
      </w:r>
    </w:p>
    <w:p>
      <w:pPr>
        <w:spacing w:after="0" w:line="63" w:lineRule="exact"/>
        <w:rPr>
          <w:rFonts w:ascii="Arial" w:cs="Arial" w:eastAsia="Arial" w:hAnsi="Arial"/>
          <w:sz w:val="17"/>
          <w:szCs w:val="17"/>
          <w:color w:val="auto"/>
        </w:rPr>
      </w:pPr>
    </w:p>
    <w:p>
      <w:pPr>
        <w:ind w:right="140" w:firstLine="683"/>
        <w:spacing w:after="0" w:line="259" w:lineRule="auto"/>
        <w:tabs>
          <w:tab w:leader="none" w:pos="99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Compliance with Law; No Legal Restraints; No Litigation</w:t>
      </w:r>
      <w:r>
        <w:rPr>
          <w:rFonts w:ascii="Arial" w:cs="Arial" w:eastAsia="Arial" w:hAnsi="Arial"/>
          <w:sz w:val="18"/>
          <w:szCs w:val="18"/>
          <w:color w:val="auto"/>
        </w:rPr>
        <w:t>. There shall not be issued, enacted or adopted, or threatened in writing by any Governmental Authority, any order, decree, temporary, preliminary or permanent injunction, legislative enactment, statute, regulation, action or proceeding, or any judgment or ruling by any Governmental Authority that prohibits or renders illegal or imposes limitations on the Merger or any other material transaction contemplated by this Agreement.</w:t>
      </w:r>
    </w:p>
    <w:p>
      <w:pPr>
        <w:spacing w:after="0" w:line="78" w:lineRule="exact"/>
        <w:rPr>
          <w:rFonts w:ascii="Arial" w:cs="Arial" w:eastAsia="Arial" w:hAnsi="Arial"/>
          <w:sz w:val="18"/>
          <w:szCs w:val="18"/>
          <w:color w:val="auto"/>
        </w:rPr>
      </w:pPr>
    </w:p>
    <w:p>
      <w:pPr>
        <w:jc w:val="both"/>
        <w:ind w:right="60" w:firstLine="683"/>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Government Consents</w:t>
      </w:r>
      <w:r>
        <w:rPr>
          <w:rFonts w:ascii="Arial" w:cs="Arial" w:eastAsia="Arial" w:hAnsi="Arial"/>
          <w:sz w:val="18"/>
          <w:szCs w:val="18"/>
          <w:color w:val="auto"/>
        </w:rPr>
        <w:t>. There shall have been obtained at or prior to the Closing such permits or authorizations, and there shall have been taken all such other actions by any Governmental Authority or other regulatory authority having jurisdiction over the parties and the actions herein proposed to be taken, as may be required to lawfully consummate the Merger.</w:t>
      </w:r>
    </w:p>
    <w:p>
      <w:pPr>
        <w:spacing w:after="0" w:line="73" w:lineRule="exact"/>
        <w:rPr>
          <w:rFonts w:ascii="Arial" w:cs="Arial" w:eastAsia="Arial" w:hAnsi="Arial"/>
          <w:sz w:val="18"/>
          <w:szCs w:val="18"/>
          <w:color w:val="auto"/>
        </w:rPr>
      </w:pPr>
    </w:p>
    <w:p>
      <w:pPr>
        <w:ind w:firstLine="683"/>
        <w:spacing w:after="0" w:line="277" w:lineRule="auto"/>
        <w:tabs>
          <w:tab w:leader="none" w:pos="93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The Escrow Agreement shall have been executed and delivered by Parent, the Escrow Agent, the Company Stockholder and the Incentive Plan Representative.</w:t>
      </w:r>
    </w:p>
    <w:p>
      <w:pPr>
        <w:spacing w:after="0" w:line="62" w:lineRule="exact"/>
        <w:rPr>
          <w:rFonts w:ascii="Arial" w:cs="Arial" w:eastAsia="Arial" w:hAnsi="Arial"/>
          <w:sz w:val="18"/>
          <w:szCs w:val="18"/>
          <w:color w:val="auto"/>
        </w:rPr>
      </w:pPr>
    </w:p>
    <w:p>
      <w:pPr>
        <w:ind w:right="140" w:firstLine="683"/>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Approval of Company’s Stockholders</w:t>
      </w:r>
      <w:r>
        <w:rPr>
          <w:rFonts w:ascii="Arial" w:cs="Arial" w:eastAsia="Arial" w:hAnsi="Arial"/>
          <w:sz w:val="18"/>
          <w:szCs w:val="18"/>
          <w:color w:val="auto"/>
        </w:rPr>
        <w:t>. The Merger and this Agreement shall have been duly and validly approved and adopted, as required by DGCL and the Company’s Certificate of Incorporation and Bylaws, each as in effect on the date of such approval and adoption, by the requisite vote or written consent of the Company’s stockholders.</w:t>
      </w:r>
    </w:p>
    <w:p>
      <w:pPr>
        <w:spacing w:after="0" w:line="73" w:lineRule="exact"/>
        <w:rPr>
          <w:rFonts w:ascii="Arial" w:cs="Arial" w:eastAsia="Arial" w:hAnsi="Arial"/>
          <w:sz w:val="18"/>
          <w:szCs w:val="18"/>
          <w:color w:val="auto"/>
        </w:rPr>
      </w:pPr>
    </w:p>
    <w:p>
      <w:pPr>
        <w:ind w:right="500" w:firstLine="683"/>
        <w:spacing w:after="0" w:line="259" w:lineRule="auto"/>
        <w:tabs>
          <w:tab w:leader="none" w:pos="103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Square 1 Bank Joinder Agreement</w:t>
      </w:r>
      <w:r>
        <w:rPr>
          <w:rFonts w:ascii="Arial" w:cs="Arial" w:eastAsia="Arial" w:hAnsi="Arial"/>
          <w:sz w:val="18"/>
          <w:szCs w:val="18"/>
          <w:color w:val="auto"/>
        </w:rPr>
        <w:t>. Square 1 Bank shall executed and delivered to Parent a Joinder Agreement, in form and substance satisfactory to Parent, in its sole discretion, with respect to the Square 1 Loan and the current and future rights of the Company and/or Parent to extend payment terms, refinance or otherwise modify the terms of the Square 1 Loan, and Square 1 Bank shall have consented in writing to the transactions contemplated by this Agreement.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8" w:name="page69"/>
    <w:bookmarkEnd w:id="68"/>
    <w:p>
      <w:pPr>
        <w:ind w:left="-8" w:right="200" w:firstLine="458"/>
        <w:spacing w:after="0" w:line="291" w:lineRule="auto"/>
        <w:tabs>
          <w:tab w:leader="none" w:pos="697"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Parent’s and Merger Sub’s Conditions</w:t>
      </w:r>
      <w:r>
        <w:rPr>
          <w:rFonts w:ascii="Arial" w:cs="Arial" w:eastAsia="Arial" w:hAnsi="Arial"/>
          <w:sz w:val="16"/>
          <w:szCs w:val="16"/>
          <w:color w:val="auto"/>
        </w:rPr>
        <w:t>. Parent’s and Merger Sub’s obligations to consummate the Merger and take the other actions required to be taken by them at the Closing are subject to the fulfillment or satisfaction, as of the Closing, of each of the following conditions (it being understood that</w:t>
      </w:r>
    </w:p>
    <w:p>
      <w:pPr>
        <w:ind w:left="-8" w:right="520" w:firstLine="8"/>
        <w:spacing w:after="0" w:line="290" w:lineRule="auto"/>
        <w:tabs>
          <w:tab w:leader="none" w:pos="2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one or more of the following conditions may be waived by Parent and Merger Sub in a writing signed by Parent and (b) by proceeding with the Closing, Parent and Merger Sub shall be deemed to have waived any of such conditions that remains unfulfilled or unsatisfied):</w:t>
      </w:r>
    </w:p>
    <w:p>
      <w:pPr>
        <w:spacing w:after="0" w:line="53" w:lineRule="exact"/>
        <w:rPr>
          <w:rFonts w:ascii="Arial" w:cs="Arial" w:eastAsia="Arial" w:hAnsi="Arial"/>
          <w:sz w:val="17"/>
          <w:szCs w:val="17"/>
          <w:color w:val="auto"/>
        </w:rPr>
      </w:pPr>
    </w:p>
    <w:p>
      <w:pPr>
        <w:ind w:left="892" w:hanging="217"/>
        <w:spacing w:after="0"/>
        <w:tabs>
          <w:tab w:leader="none" w:pos="892"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140" w:firstLine="908"/>
        <w:spacing w:after="0" w:line="290" w:lineRule="auto"/>
        <w:tabs>
          <w:tab w:leader="none" w:pos="1184" w:val="left"/>
        </w:tabs>
        <w:numPr>
          <w:ilvl w:val="3"/>
          <w:numId w:val="82"/>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Article III (other than in Section 3.03 and Section 3.04) shall be true and correct in all material respects (except for any statements in a representation or warranty that expressly include a standard of materiality, which statements shall be true and correct in all respects giving effect to such standard) as of the Closing, except that those representations and warranties which address matters only as of a particular date shall remain true and correct in all material respects (except for any statements in a representation or warranty that expressly include a standard of materiality, which statements shall be true and correct in all respects giving effect to such standard) as of such date (it being understood that, for purposes of determining the accuracy of such representations and warranties, any update of, or modification to, the Disclosure Schedule made or purported to have been made after the execution of this Agreement shall be given effect only if accepted in writing by Parent). Parent shall have received a certificate with respect to the foregoing signed on behalf of the Company by the Company’s President or Chief Executive Officer.</w:t>
      </w:r>
    </w:p>
    <w:p>
      <w:pPr>
        <w:spacing w:after="0" w:line="58" w:lineRule="exact"/>
        <w:rPr>
          <w:rFonts w:ascii="Arial" w:cs="Arial" w:eastAsia="Arial" w:hAnsi="Arial"/>
          <w:sz w:val="16"/>
          <w:szCs w:val="16"/>
          <w:color w:val="auto"/>
        </w:rPr>
      </w:pPr>
    </w:p>
    <w:p>
      <w:pPr>
        <w:ind w:left="-8" w:right="560" w:firstLine="908"/>
        <w:spacing w:after="0" w:line="342" w:lineRule="auto"/>
        <w:tabs>
          <w:tab w:leader="none" w:pos="1174" w:val="left"/>
        </w:tabs>
        <w:numPr>
          <w:ilvl w:val="3"/>
          <w:numId w:val="82"/>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Section 3.03 and Section 3.04 shall be true and correct at and as of the Closing, and, at the Closing, Parent shall have received a certificate to such effect executed by the Chief Executive Officer of the Company.</w:t>
      </w:r>
    </w:p>
    <w:p>
      <w:pPr>
        <w:spacing w:after="0" w:line="15" w:lineRule="exact"/>
        <w:rPr>
          <w:rFonts w:ascii="Arial" w:cs="Arial" w:eastAsia="Arial" w:hAnsi="Arial"/>
          <w:sz w:val="16"/>
          <w:szCs w:val="16"/>
          <w:color w:val="auto"/>
        </w:rPr>
      </w:pPr>
    </w:p>
    <w:p>
      <w:pPr>
        <w:ind w:left="-8" w:right="120" w:firstLine="683"/>
        <w:spacing w:after="0" w:line="264" w:lineRule="auto"/>
        <w:tabs>
          <w:tab w:leader="none" w:pos="932"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Company shall have performed and complied in all material respects with all of its covenants contained in this Agreement at or before the Closing (to the extent that such covenants require performance by the Company at or before the Closing), and at the Closing Parent shall have received a certificate to such effect executed by the Company’s President or Chief Executive Officer.</w:t>
      </w:r>
    </w:p>
    <w:p>
      <w:pPr>
        <w:spacing w:after="0" w:line="73" w:lineRule="exact"/>
        <w:rPr>
          <w:rFonts w:ascii="Arial" w:cs="Arial" w:eastAsia="Arial" w:hAnsi="Arial"/>
          <w:sz w:val="18"/>
          <w:szCs w:val="18"/>
          <w:color w:val="auto"/>
        </w:rPr>
      </w:pPr>
    </w:p>
    <w:p>
      <w:pPr>
        <w:ind w:left="-8" w:firstLine="683"/>
        <w:spacing w:after="0" w:line="255" w:lineRule="auto"/>
        <w:tabs>
          <w:tab w:leader="none" w:pos="982"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Compliance with Law; No Legal Restraints; No Litigation</w:t>
      </w:r>
      <w:r>
        <w:rPr>
          <w:rFonts w:ascii="Arial" w:cs="Arial" w:eastAsia="Arial" w:hAnsi="Arial"/>
          <w:sz w:val="18"/>
          <w:szCs w:val="18"/>
          <w:color w:val="auto"/>
        </w:rPr>
        <w:t>. There shall not be issued, enacted or adopted, by any Governmental Authority, any order, decree, temporary, preliminary or permanent injunction, legislative enactment, statute, regulation, proceeding, judgment or ruling by any Governmental Authority that prohibits or renders illegal or imposes material limitations on: (a) the Merger or any other material transaction contemplated by this Agreement; or (b) Parent’s right (or the right of any Subsidiary of Parent) to own, retain, use or operate any of its products, services, properties or assets (including equity, properties or assets of the Company) or conduct the Company Business as a result of the Merger or seeking a disposition or divestiture of any such properties or assets. No litigation or proceeding shall be pending for the purpose of enjoining or preventing the consummation of any of the transactions contemplated by this Agreement.</w:t>
      </w:r>
    </w:p>
    <w:p>
      <w:pPr>
        <w:spacing w:after="0" w:line="16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69" w:name="page70"/>
    <w:bookmarkEnd w:id="69"/>
    <w:p>
      <w:pPr>
        <w:ind w:right="160" w:firstLine="683"/>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Opinion of Company’s Legal Counsel</w:t>
      </w:r>
      <w:r>
        <w:rPr>
          <w:rFonts w:ascii="Arial" w:cs="Arial" w:eastAsia="Arial" w:hAnsi="Arial"/>
          <w:sz w:val="18"/>
          <w:szCs w:val="18"/>
          <w:color w:val="auto"/>
        </w:rPr>
        <w:t xml:space="preserve">. Parent shall have received from Wilson Sonsini Goodrich and Rosati, legal counsel to the Company, an opinion of counsel in substantially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Agreement.</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Company Approvals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08"/>
        <w:spacing w:after="0" w:line="302" w:lineRule="auto"/>
        <w:tabs>
          <w:tab w:leader="none" w:pos="1192"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Board shall have recommended to the Company’s stockholders that such stockholders vote in favor of the approval of the Merger and adoption of this Agreement at the Stockholders’ Meeting or deliver a written consent in lieu of a meeting approving the Merger and adopting this Agreement. The Board shall not have withdrawn, amended or modified, or proposed or resolved to withdraw, amend or modify, in a manner adverse to Parent, the recommendation of the Board that the Company Stockholder vote or deliver a written consent in favor of and approve the Merger and adopt this Agreement</w:t>
      </w:r>
    </w:p>
    <w:p>
      <w:pPr>
        <w:spacing w:after="0" w:line="46" w:lineRule="exact"/>
        <w:rPr>
          <w:rFonts w:ascii="Arial" w:cs="Arial" w:eastAsia="Arial" w:hAnsi="Arial"/>
          <w:sz w:val="16"/>
          <w:szCs w:val="16"/>
          <w:color w:val="auto"/>
        </w:rPr>
      </w:pPr>
    </w:p>
    <w:p>
      <w:pPr>
        <w:jc w:val="both"/>
        <w:ind w:right="20" w:firstLine="908"/>
        <w:spacing w:after="0" w:line="264" w:lineRule="auto"/>
        <w:tabs>
          <w:tab w:leader="none" w:pos="118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Merger and this Agreement shall have been duly and validly approved and adopted, as required by DGCL and the Company’s Certificate of Incorporation and Bylaws, each as in effect on the date of such approval and adoption, by the requisite written consent or vote of the Company Stockholder in respect of all Company Capital Stock owned by it.</w:t>
      </w:r>
    </w:p>
    <w:p>
      <w:pPr>
        <w:spacing w:after="0" w:line="73" w:lineRule="exact"/>
        <w:rPr>
          <w:rFonts w:ascii="Arial" w:cs="Arial" w:eastAsia="Arial" w:hAnsi="Arial"/>
          <w:sz w:val="18"/>
          <w:szCs w:val="18"/>
          <w:color w:val="auto"/>
        </w:rPr>
      </w:pPr>
    </w:p>
    <w:p>
      <w:pPr>
        <w:ind w:right="180" w:firstLine="683"/>
        <w:spacing w:after="0" w:line="264"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Resignations of Directors and Officers</w:t>
      </w:r>
      <w:r>
        <w:rPr>
          <w:rFonts w:ascii="Arial" w:cs="Arial" w:eastAsia="Arial" w:hAnsi="Arial"/>
          <w:sz w:val="18"/>
          <w:szCs w:val="18"/>
          <w:color w:val="auto"/>
        </w:rPr>
        <w:t>. Each person holding the position of a director or officer of the Company immediately prior to the Effective Time, shall have resigned from such positions in writing effective as of the Effective Time, pursuant to forms of resignation in form and substance satisfactory to Parent.</w:t>
      </w:r>
    </w:p>
    <w:p>
      <w:pPr>
        <w:spacing w:after="0" w:line="73" w:lineRule="exact"/>
        <w:rPr>
          <w:rFonts w:ascii="Arial" w:cs="Arial" w:eastAsia="Arial" w:hAnsi="Arial"/>
          <w:sz w:val="18"/>
          <w:szCs w:val="18"/>
          <w:color w:val="auto"/>
        </w:rPr>
      </w:pPr>
    </w:p>
    <w:p>
      <w:pPr>
        <w:ind w:right="120" w:firstLine="683"/>
        <w:spacing w:after="0" w:line="308" w:lineRule="auto"/>
        <w:tabs>
          <w:tab w:leader="none" w:pos="103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Company Good Standing Certificate</w:t>
      </w:r>
      <w:r>
        <w:rPr>
          <w:rFonts w:ascii="Arial" w:cs="Arial" w:eastAsia="Arial" w:hAnsi="Arial"/>
          <w:sz w:val="17"/>
          <w:szCs w:val="17"/>
          <w:color w:val="auto"/>
        </w:rPr>
        <w:t>. Parent shall have received a certificate from the State of Delaware certifying that the Company is validly existing and in good standing in such jurisdiction, and that all applicable franchise taxes and fees of the Company have been paid.</w:t>
      </w:r>
    </w:p>
    <w:p>
      <w:pPr>
        <w:spacing w:after="0" w:line="38" w:lineRule="exact"/>
        <w:rPr>
          <w:rFonts w:ascii="Arial" w:cs="Arial" w:eastAsia="Arial" w:hAnsi="Arial"/>
          <w:sz w:val="17"/>
          <w:szCs w:val="17"/>
          <w:color w:val="auto"/>
        </w:rPr>
      </w:pPr>
    </w:p>
    <w:p>
      <w:pPr>
        <w:ind w:right="20" w:firstLine="683"/>
        <w:spacing w:after="0" w:line="255"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Parent shall have received a certificate dated as of the Closing Date and executed on behalf of the Company by its Chief Executive Officer and its Secretary, (a) certifying as to the (i) Certificate of Incorporation, (ii) Bylaws, (c) Board resolutions approving the Merger and adopting this Agreement, (d) Company Stockholder’s resolution approving the Merger and adopting this Agreement, and (e) Board resolutions authorizing the termination of the Company Options and the Company Option Plan as of the day prior to the Closing Date, and (b) providing a representation and warranty to the Parent that all Company Options have been properly terminated in accordance with their terms and, in the case of stock options, in accordance with the provisions of the Company Option Plan.</w:t>
      </w:r>
    </w:p>
    <w:p>
      <w:pPr>
        <w:spacing w:after="0" w:line="85" w:lineRule="exact"/>
        <w:rPr>
          <w:rFonts w:ascii="Arial" w:cs="Arial" w:eastAsia="Arial" w:hAnsi="Arial"/>
          <w:sz w:val="18"/>
          <w:szCs w:val="18"/>
          <w:color w:val="auto"/>
        </w:rPr>
      </w:pPr>
    </w:p>
    <w:p>
      <w:pPr>
        <w:ind w:firstLine="683"/>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The Escrow Agreement shall have been executed and delivered by Parent, the Escrow Agent, the Company Stockholder and the Incentive Plan Representative.</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Incentive Plan Participant Agreements</w:t>
      </w:r>
      <w:r>
        <w:rPr>
          <w:rFonts w:ascii="Arial" w:cs="Arial" w:eastAsia="Arial" w:hAnsi="Arial"/>
          <w:sz w:val="16"/>
          <w:szCs w:val="16"/>
          <w:color w:val="auto"/>
        </w:rPr>
        <w:t>. Each of the Incentive Plan Participants shall have executed and delivered an Incentive Plan Participant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left="940" w:hanging="297"/>
        <w:spacing w:after="0"/>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Merger Consideration Certificate</w:t>
      </w:r>
      <w:r>
        <w:rPr>
          <w:rFonts w:ascii="Arial" w:cs="Arial" w:eastAsia="Arial" w:hAnsi="Arial"/>
          <w:sz w:val="18"/>
          <w:szCs w:val="18"/>
          <w:color w:val="auto"/>
        </w:rPr>
        <w:t>. The Company shall have delivered a duly-executed Merger Consideration Certificate to Parent.</w:t>
      </w:r>
    </w:p>
    <w:p>
      <w:pPr>
        <w:spacing w:after="0" w:line="117" w:lineRule="exact"/>
        <w:rPr>
          <w:rFonts w:ascii="Arial" w:cs="Arial" w:eastAsia="Arial" w:hAnsi="Arial"/>
          <w:sz w:val="18"/>
          <w:szCs w:val="18"/>
          <w:color w:val="auto"/>
        </w:rPr>
      </w:pPr>
    </w:p>
    <w:p>
      <w:pPr>
        <w:ind w:left="-40" w:right="240" w:firstLine="683"/>
        <w:spacing w:after="0" w:line="264" w:lineRule="auto"/>
        <w:tabs>
          <w:tab w:leader="none" w:pos="99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Management Incentive Plan Acknowledgment</w:t>
      </w:r>
      <w:r>
        <w:rPr>
          <w:rFonts w:ascii="Arial" w:cs="Arial" w:eastAsia="Arial" w:hAnsi="Arial"/>
          <w:sz w:val="18"/>
          <w:szCs w:val="18"/>
          <w:color w:val="auto"/>
        </w:rPr>
        <w:t>. Parent shall have also received, the delivery of which is effective upon Parent’s payment as contemplated by Section 7.02(c), a Management Incentive Plan Acknowledgement, Release and Indemnification Agreement in the form attached hereto as Exhibit D, executed by each Incentive Plan Participant.</w:t>
      </w:r>
    </w:p>
    <w:p>
      <w:pPr>
        <w:spacing w:after="0" w:line="73" w:lineRule="exact"/>
        <w:rPr>
          <w:rFonts w:ascii="Arial" w:cs="Arial" w:eastAsia="Arial" w:hAnsi="Arial"/>
          <w:sz w:val="18"/>
          <w:szCs w:val="18"/>
          <w:color w:val="auto"/>
        </w:rPr>
      </w:pPr>
    </w:p>
    <w:p>
      <w:pPr>
        <w:ind w:left="-40" w:right="160" w:firstLine="683"/>
        <w:spacing w:after="0" w:line="264"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Dissolution of NetStreams International, Inc</w:t>
      </w:r>
      <w:r>
        <w:rPr>
          <w:rFonts w:ascii="Arial" w:cs="Arial" w:eastAsia="Arial" w:hAnsi="Arial"/>
          <w:sz w:val="18"/>
          <w:szCs w:val="18"/>
          <w:color w:val="auto"/>
        </w:rPr>
        <w:t>. The Company shall have delivered to Parent evidence satisfactory to Parent that the dissolution of NetStreams International, Inc. has been effected, along with a certificate of the Company, signed by the Company’s chief executive officer and chief financial officer, that any and all indebtedness of NetStreams International, Inc. has been paid prior to Closing.</w:t>
      </w:r>
    </w:p>
    <w:p>
      <w:pPr>
        <w:spacing w:after="0" w:line="73" w:lineRule="exact"/>
        <w:rPr>
          <w:rFonts w:ascii="Arial" w:cs="Arial" w:eastAsia="Arial" w:hAnsi="Arial"/>
          <w:sz w:val="18"/>
          <w:szCs w:val="18"/>
          <w:color w:val="auto"/>
        </w:rPr>
      </w:pPr>
    </w:p>
    <w:p>
      <w:pPr>
        <w:ind w:left="-40" w:firstLine="683"/>
        <w:spacing w:after="0" w:line="264" w:lineRule="auto"/>
        <w:tabs>
          <w:tab w:leader="none" w:pos="103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of Employees</w:t>
      </w:r>
      <w:r>
        <w:rPr>
          <w:rFonts w:ascii="Arial" w:cs="Arial" w:eastAsia="Arial" w:hAnsi="Arial"/>
          <w:sz w:val="18"/>
          <w:szCs w:val="18"/>
          <w:color w:val="auto"/>
        </w:rPr>
        <w:t>. The Company shall have terminated, or caused to be terminated, the employment of those persons designated in a writing to be furnished by Parent to Company prior to Closing, and the Company shall have delivered to Parent releases from each such terminated employee, in form and substance acceptable to Parent.</w:t>
      </w:r>
    </w:p>
    <w:p>
      <w:pPr>
        <w:spacing w:after="0" w:line="73" w:lineRule="exact"/>
        <w:rPr>
          <w:rFonts w:ascii="Arial" w:cs="Arial" w:eastAsia="Arial" w:hAnsi="Arial"/>
          <w:sz w:val="18"/>
          <w:szCs w:val="18"/>
          <w:color w:val="auto"/>
        </w:rPr>
      </w:pPr>
    </w:p>
    <w:p>
      <w:pPr>
        <w:ind w:left="980" w:hanging="337"/>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Tax Certificate</w:t>
      </w:r>
      <w:r>
        <w:rPr>
          <w:rFonts w:ascii="Arial" w:cs="Arial" w:eastAsia="Arial" w:hAnsi="Arial"/>
          <w:sz w:val="18"/>
          <w:szCs w:val="18"/>
          <w:color w:val="auto"/>
        </w:rPr>
        <w:t>. The Company shall have delivered to Parent the certificate described in Section 5.05 herein.</w:t>
      </w:r>
    </w:p>
    <w:p>
      <w:pPr>
        <w:spacing w:after="0" w:line="117" w:lineRule="exact"/>
        <w:rPr>
          <w:rFonts w:ascii="Arial" w:cs="Arial" w:eastAsia="Arial" w:hAnsi="Arial"/>
          <w:sz w:val="18"/>
          <w:szCs w:val="18"/>
          <w:color w:val="auto"/>
        </w:rPr>
      </w:pPr>
    </w:p>
    <w:p>
      <w:pPr>
        <w:ind w:left="-40" w:right="100" w:firstLine="683"/>
        <w:spacing w:after="0" w:line="277" w:lineRule="auto"/>
        <w:tabs>
          <w:tab w:leader="none" w:pos="103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Piper Jaffray Agreement</w:t>
      </w:r>
      <w:r>
        <w:rPr>
          <w:rFonts w:ascii="Arial" w:cs="Arial" w:eastAsia="Arial" w:hAnsi="Arial"/>
          <w:sz w:val="18"/>
          <w:szCs w:val="18"/>
          <w:color w:val="auto"/>
        </w:rPr>
        <w:t>. The Company shall have delivered to the Parent a copy of the fully executed Piper Jaffray Agreement, providing for such terms and conditions as are acceptable to Parent, in its sole discretion.</w:t>
      </w:r>
    </w:p>
    <w:p>
      <w:pPr>
        <w:spacing w:after="0" w:line="62" w:lineRule="exact"/>
        <w:rPr>
          <w:rFonts w:ascii="Arial" w:cs="Arial" w:eastAsia="Arial" w:hAnsi="Arial"/>
          <w:sz w:val="18"/>
          <w:szCs w:val="18"/>
          <w:color w:val="auto"/>
        </w:rPr>
      </w:pPr>
    </w:p>
    <w:p>
      <w:pPr>
        <w:ind w:left="-40" w:right="40" w:firstLine="683"/>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Transaction Expenses</w:t>
      </w:r>
      <w:r>
        <w:rPr>
          <w:rFonts w:ascii="Arial" w:cs="Arial" w:eastAsia="Arial" w:hAnsi="Arial"/>
          <w:sz w:val="18"/>
          <w:szCs w:val="18"/>
          <w:color w:val="auto"/>
        </w:rPr>
        <w:t xml:space="preserve">. The Company shall have provided to the Parent an updated </w:t>
      </w:r>
      <w:r>
        <w:rPr>
          <w:rFonts w:ascii="Arial" w:cs="Arial" w:eastAsia="Arial" w:hAnsi="Arial"/>
          <w:sz w:val="18"/>
          <w:szCs w:val="18"/>
          <w:u w:val="single" w:color="auto"/>
          <w:color w:val="auto"/>
        </w:rPr>
        <w:t>Schedule 7.02(d)</w:t>
      </w:r>
      <w:r>
        <w:rPr>
          <w:rFonts w:ascii="Arial" w:cs="Arial" w:eastAsia="Arial" w:hAnsi="Arial"/>
          <w:sz w:val="18"/>
          <w:szCs w:val="18"/>
          <w:color w:val="auto"/>
        </w:rPr>
        <w:t>, in form and content acceptable to Parent, reflecting Transaction Expenses as of the Effective Time.</w:t>
      </w:r>
    </w:p>
    <w:p>
      <w:pPr>
        <w:spacing w:after="0" w:line="62" w:lineRule="exact"/>
        <w:rPr>
          <w:rFonts w:ascii="Arial" w:cs="Arial" w:eastAsia="Arial" w:hAnsi="Arial"/>
          <w:sz w:val="18"/>
          <w:szCs w:val="18"/>
          <w:color w:val="auto"/>
        </w:rPr>
      </w:pPr>
    </w:p>
    <w:p>
      <w:pPr>
        <w:jc w:val="both"/>
        <w:ind w:left="-40" w:right="80" w:firstLine="683"/>
        <w:spacing w:after="0" w:line="264" w:lineRule="auto"/>
        <w:tabs>
          <w:tab w:leader="none" w:pos="113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Releases from Company Stockholder and Herman Cardenas</w:t>
      </w:r>
      <w:r>
        <w:rPr>
          <w:rFonts w:ascii="Arial" w:cs="Arial" w:eastAsia="Arial" w:hAnsi="Arial"/>
          <w:sz w:val="18"/>
          <w:szCs w:val="18"/>
          <w:color w:val="auto"/>
        </w:rPr>
        <w:t>. The Company shall have delivered, on behalf of the Company Stockholder and Herman Cardenas, releases, in form and substance acceptable to Parent, of all claims against the Company and its officers and directors, in their capacities as such, excepting any claims that may arise pursuant to this Agreement.</w:t>
      </w:r>
    </w:p>
    <w:p>
      <w:pPr>
        <w:spacing w:after="0" w:line="73" w:lineRule="exact"/>
        <w:rPr>
          <w:rFonts w:ascii="Arial" w:cs="Arial" w:eastAsia="Arial" w:hAnsi="Arial"/>
          <w:sz w:val="18"/>
          <w:szCs w:val="18"/>
          <w:color w:val="auto"/>
        </w:rPr>
      </w:pPr>
    </w:p>
    <w:p>
      <w:pPr>
        <w:ind w:left="-40" w:right="80" w:firstLine="683"/>
        <w:spacing w:after="0" w:line="264" w:lineRule="auto"/>
        <w:tabs>
          <w:tab w:leader="none" w:pos="103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Company Stockholder Stock Certificates</w:t>
      </w:r>
      <w:r>
        <w:rPr>
          <w:rFonts w:ascii="Arial" w:cs="Arial" w:eastAsia="Arial" w:hAnsi="Arial"/>
          <w:sz w:val="18"/>
          <w:szCs w:val="18"/>
          <w:color w:val="auto"/>
        </w:rPr>
        <w:t>. The Company Stockholder shall have delivered for cancellation all certificates representing stock of the Company held by it (save and except in respect of the Series B Stock to be issued to the Company Stockholder upon conversion of the Austin Ventures VIII, L.P. Convertible Notes).</w:t>
      </w:r>
    </w:p>
    <w:p>
      <w:pPr>
        <w:spacing w:after="0" w:line="73" w:lineRule="exact"/>
        <w:rPr>
          <w:rFonts w:ascii="Arial" w:cs="Arial" w:eastAsia="Arial" w:hAnsi="Arial"/>
          <w:sz w:val="18"/>
          <w:szCs w:val="18"/>
          <w:color w:val="auto"/>
        </w:rPr>
      </w:pPr>
    </w:p>
    <w:p>
      <w:pPr>
        <w:ind w:left="-40" w:right="540" w:firstLine="683"/>
        <w:spacing w:after="0" w:line="259"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Square 1 Bank Joinder Agreement</w:t>
      </w:r>
      <w:r>
        <w:rPr>
          <w:rFonts w:ascii="Arial" w:cs="Arial" w:eastAsia="Arial" w:hAnsi="Arial"/>
          <w:sz w:val="18"/>
          <w:szCs w:val="18"/>
          <w:color w:val="auto"/>
        </w:rPr>
        <w:t>. Square 1 Bank shall executed and delivered to Parent a Joinder Agreement, in form and substance satisfactory to Parent, in its sole discretion, with respect to the Square 1 Loan and the current and future rights of the Company and/or Parent to extend payment terms, refinance or otherwise modify the terms of the Square 1 Loan, and Square 1 Bank shall have consented in writing to the transactions contemplated by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71" w:name="page72"/>
    <w:bookmarkEnd w:id="71"/>
    <w:p>
      <w:pPr>
        <w:ind w:right="40" w:firstLine="683"/>
        <w:spacing w:after="0" w:line="259" w:lineRule="auto"/>
        <w:tabs>
          <w:tab w:leader="none" w:pos="107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Termination of Shareholder Agreements</w:t>
      </w:r>
      <w:r>
        <w:rPr>
          <w:rFonts w:ascii="Arial" w:cs="Arial" w:eastAsia="Arial" w:hAnsi="Arial"/>
          <w:sz w:val="18"/>
          <w:szCs w:val="18"/>
          <w:color w:val="auto"/>
        </w:rPr>
        <w:t>. The Company shall have entered into that certain Termination Agreement dated as of the Closing Date, providing for the termination of that certain Amended and Restated Investors’ Rights Agreement dated as of August 24, 2006, (2) that certain Amended and Restated Voting Agreement dated as of August 24, 2006 (the “Voting Agreement”) and (3) that certain Management Rights Letter dated as of April 14, 2004.</w:t>
      </w:r>
    </w:p>
    <w:p>
      <w:pPr>
        <w:spacing w:after="0" w:line="78" w:lineRule="exact"/>
        <w:rPr>
          <w:rFonts w:ascii="Arial" w:cs="Arial" w:eastAsia="Arial" w:hAnsi="Arial"/>
          <w:sz w:val="18"/>
          <w:szCs w:val="18"/>
          <w:color w:val="auto"/>
        </w:rPr>
      </w:pPr>
    </w:p>
    <w:p>
      <w:pPr>
        <w:ind w:firstLine="683"/>
        <w:spacing w:after="0" w:line="277"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Square 1 Credit Card Facility</w:t>
      </w:r>
      <w:r>
        <w:rPr>
          <w:rFonts w:ascii="Arial" w:cs="Arial" w:eastAsia="Arial" w:hAnsi="Arial"/>
          <w:sz w:val="18"/>
          <w:szCs w:val="18"/>
          <w:color w:val="auto"/>
        </w:rPr>
        <w:t>. The Company shall have delivered to Parent, or Parent’s representative, any and all credit cards that were issued pursuant to the Square 1 Bank Credit Card facility.</w:t>
      </w:r>
    </w:p>
    <w:p>
      <w:pPr>
        <w:spacing w:after="0" w:line="62" w:lineRule="exact"/>
        <w:rPr>
          <w:rFonts w:ascii="Arial" w:cs="Arial" w:eastAsia="Arial" w:hAnsi="Arial"/>
          <w:sz w:val="18"/>
          <w:szCs w:val="18"/>
          <w:color w:val="auto"/>
        </w:rPr>
      </w:pPr>
    </w:p>
    <w:p>
      <w:pPr>
        <w:ind w:right="40" w:firstLine="683"/>
        <w:spacing w:after="0" w:line="279" w:lineRule="auto"/>
        <w:tabs>
          <w:tab w:leader="none" w:pos="117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S3 Ventures Fund II. L.P. Summary of Terms Agreement</w:t>
      </w:r>
      <w:r>
        <w:rPr>
          <w:rFonts w:ascii="Arial" w:cs="Arial" w:eastAsia="Arial" w:hAnsi="Arial"/>
          <w:sz w:val="17"/>
          <w:szCs w:val="17"/>
          <w:color w:val="auto"/>
        </w:rPr>
        <w:t>. With respect to that certain Summary of Terms Agreement (“</w:t>
      </w:r>
      <w:r>
        <w:rPr>
          <w:rFonts w:ascii="Arial" w:cs="Arial" w:eastAsia="Arial" w:hAnsi="Arial"/>
          <w:sz w:val="17"/>
          <w:szCs w:val="17"/>
          <w:u w:val="single" w:color="auto"/>
          <w:color w:val="auto"/>
        </w:rPr>
        <w:t>S3 Agreement</w:t>
      </w:r>
      <w:r>
        <w:rPr>
          <w:rFonts w:ascii="Arial" w:cs="Arial" w:eastAsia="Arial" w:hAnsi="Arial"/>
          <w:sz w:val="17"/>
          <w:szCs w:val="17"/>
          <w:color w:val="auto"/>
        </w:rPr>
        <w:t>”) dated for reference October 8, 2009 between the Company and S3 Ventures Fund II, L.P. (“</w:t>
      </w:r>
      <w:r>
        <w:rPr>
          <w:rFonts w:ascii="Arial" w:cs="Arial" w:eastAsia="Arial" w:hAnsi="Arial"/>
          <w:sz w:val="17"/>
          <w:szCs w:val="17"/>
          <w:u w:val="single" w:color="auto"/>
          <w:color w:val="auto"/>
        </w:rPr>
        <w:t>S3</w:t>
      </w:r>
      <w:r>
        <w:rPr>
          <w:rFonts w:ascii="Arial" w:cs="Arial" w:eastAsia="Arial" w:hAnsi="Arial"/>
          <w:sz w:val="17"/>
          <w:szCs w:val="17"/>
          <w:color w:val="auto"/>
        </w:rPr>
        <w:t>”), the Company shall have received a letter, in form and substance satisfactory to Parent, whereby S3 agrees that, upon Closing and receipt by S3 of its legal fees (as reflected in Schedule 7.02(d)), the S3 Agreement will be deemed terminated and S3 shall waived any and all rights and claims under such agreement.</w:t>
      </w:r>
    </w:p>
    <w:p>
      <w:pPr>
        <w:spacing w:after="0" w:line="63" w:lineRule="exact"/>
        <w:rPr>
          <w:rFonts w:ascii="Arial" w:cs="Arial" w:eastAsia="Arial" w:hAnsi="Arial"/>
          <w:sz w:val="17"/>
          <w:szCs w:val="17"/>
          <w:color w:val="auto"/>
        </w:rPr>
      </w:pPr>
    </w:p>
    <w:p>
      <w:pPr>
        <w:ind w:right="220" w:firstLine="683"/>
        <w:spacing w:after="0" w:line="259"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Confirmation of Mailing of §228 Notice</w:t>
      </w:r>
      <w:r>
        <w:rPr>
          <w:rFonts w:ascii="Arial" w:cs="Arial" w:eastAsia="Arial" w:hAnsi="Arial"/>
          <w:sz w:val="18"/>
          <w:szCs w:val="18"/>
          <w:color w:val="auto"/>
        </w:rPr>
        <w:t>. Company shall have provided evidence satisfactory to Parent that it has delivered to those of the Company’s stockholders that have not otherwise approved the Merger by written consent, an appraisal rights notice, which notice shall include the stockholder resolutions approving the Merger as previously approved by the Company’s stockholders by written consent in accordance with Section 228 of the DGCL.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CLOSING MATTERS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The Closing.</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Subject to termination of this Agreement as provided in </w:t>
      </w:r>
      <w:r>
        <w:rPr>
          <w:rFonts w:ascii="Arial" w:cs="Arial" w:eastAsia="Arial" w:hAnsi="Arial"/>
          <w:sz w:val="16"/>
          <w:szCs w:val="16"/>
          <w:u w:val="single" w:color="auto"/>
          <w:color w:val="auto"/>
        </w:rPr>
        <w:t>Article VIII</w:t>
      </w:r>
      <w:r>
        <w:rPr>
          <w:rFonts w:ascii="Arial" w:cs="Arial" w:eastAsia="Arial" w:hAnsi="Arial"/>
          <w:sz w:val="16"/>
          <w:szCs w:val="16"/>
          <w:color w:val="auto"/>
        </w:rPr>
        <w:t>, 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 Parsons Behle &amp; Latimer, 201 South Main Street, Salt Lake City, Utah on November 2, 2009, or at such other place, date and time as may be mutually agreed in writing by the Company and Parent (sometimes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Concurrently with the Closing, the Certificate of Merger shall be filed with the Secretary of State of Delaware in accordance with the DGCL. All documents delivered and actions taken at Closing shall be deemed to have been delivered or taken simultaneously, and no such delivery or action shall be considered effective or complete unless or until all other such deliveries or actions are completed or waived in writing by the party against whom such waiver is sought to be enforced.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Exchange.</w:t>
      </w:r>
    </w:p>
    <w:p>
      <w:pPr>
        <w:spacing w:after="0" w:line="117" w:lineRule="exact"/>
        <w:rPr>
          <w:sz w:val="20"/>
          <w:szCs w:val="20"/>
          <w:color w:val="auto"/>
        </w:rPr>
      </w:pPr>
    </w:p>
    <w:p>
      <w:pPr>
        <w:ind w:right="180" w:firstLine="458"/>
        <w:spacing w:after="0" w:line="277"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Effective Time, all outstanding Company Capital Stock shall, by virtue of the Merger and without further action, cease to exist, and all such securities shall be converted into the right to receive from Parent the cash amount to which the holder thereof 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t>entitled pursuant to Section 2.01(d), subject to the provisions of Section 2.01(e) (regarding rights of holders of Dissenting Shares), Section 2.03 (regarding the withholding of the Escrow Cash) and Section 2.04 (regarding the Closing Adjustment).</w:t>
      </w:r>
    </w:p>
    <w:p>
      <w:pPr>
        <w:spacing w:after="0" w:line="62" w:lineRule="exact"/>
        <w:rPr>
          <w:sz w:val="20"/>
          <w:szCs w:val="20"/>
          <w:color w:val="auto"/>
        </w:rPr>
      </w:pPr>
    </w:p>
    <w:p>
      <w:pPr>
        <w:ind w:right="380" w:firstLine="458"/>
        <w:spacing w:after="0" w:line="264"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the Closing Date, immediately prior to the Effective Time, Parent shall pay to the Company stockholders which have voted in favor of the approval of the Merger and adoption of this Agreement at the Stockholders’ Meeting or have delivered a Stockholder Consent, the portion of the Closing Cash Consideration to which each stockholder of the Company is entitled pursuant to Sections 2.01(d)(i) and (ii).</w:t>
      </w:r>
    </w:p>
    <w:p>
      <w:pPr>
        <w:spacing w:after="0" w:line="73" w:lineRule="exact"/>
        <w:rPr>
          <w:rFonts w:ascii="Arial" w:cs="Arial" w:eastAsia="Arial" w:hAnsi="Arial"/>
          <w:sz w:val="18"/>
          <w:szCs w:val="18"/>
          <w:color w:val="auto"/>
        </w:rPr>
      </w:pPr>
    </w:p>
    <w:p>
      <w:pPr>
        <w:jc w:val="both"/>
        <w:ind w:right="440" w:firstLine="458"/>
        <w:spacing w:after="0" w:line="264"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the Closing Date, immediately prior to the Effective Time, Parent shall pay, or cause to be paid by check, on behalf of the Company, to the various Incentive Plan Participants and those amounts comprising part of the Closing Cash Consideration that are specified in the Merger Consideration Certificate or in a schedule or exhibit thereto.</w:t>
      </w:r>
    </w:p>
    <w:p>
      <w:pPr>
        <w:spacing w:after="0" w:line="73" w:lineRule="exact"/>
        <w:rPr>
          <w:rFonts w:ascii="Arial" w:cs="Arial" w:eastAsia="Arial" w:hAnsi="Arial"/>
          <w:sz w:val="18"/>
          <w:szCs w:val="18"/>
          <w:color w:val="auto"/>
        </w:rPr>
      </w:pPr>
    </w:p>
    <w:p>
      <w:pPr>
        <w:ind w:right="380" w:firstLine="458"/>
        <w:spacing w:after="0" w:line="264"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On the Closing Date, Parent shall pay, or cause to be paid, on behalf of the Company by wire transfer of immediately available funds, the Transaction Expenses to the persons and in the amounts set forth on </w:t>
      </w:r>
      <w:r>
        <w:rPr>
          <w:rFonts w:ascii="Arial" w:cs="Arial" w:eastAsia="Arial" w:hAnsi="Arial"/>
          <w:sz w:val="18"/>
          <w:szCs w:val="18"/>
          <w:u w:val="single" w:color="auto"/>
          <w:color w:val="auto"/>
        </w:rPr>
        <w:t>Schedule 7.02(d)</w:t>
      </w:r>
      <w:r>
        <w:rPr>
          <w:rFonts w:ascii="Arial" w:cs="Arial" w:eastAsia="Arial" w:hAnsi="Arial"/>
          <w:sz w:val="18"/>
          <w:szCs w:val="18"/>
          <w:color w:val="auto"/>
        </w:rPr>
        <w:t>, as such Schedule may be updated at Closing by written agreement among the Parent, the Company Stockholder and the Company.</w:t>
      </w:r>
    </w:p>
    <w:p>
      <w:pPr>
        <w:spacing w:after="0" w:line="73" w:lineRule="exact"/>
        <w:rPr>
          <w:rFonts w:ascii="Arial" w:cs="Arial" w:eastAsia="Arial" w:hAnsi="Arial"/>
          <w:sz w:val="18"/>
          <w:szCs w:val="18"/>
          <w:color w:val="auto"/>
        </w:rPr>
      </w:pPr>
    </w:p>
    <w:p>
      <w:pPr>
        <w:ind w:right="280" w:firstLine="458"/>
        <w:spacing w:after="0" w:line="277"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on the stock transfer books of the Company or its transfer agent of any Company Capital Stock that were outstanding immediately prior to the Effective Time.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Dissenting Shares.</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If, in connection with the Merger, holders of Company Capital Stock are entitled to dissenters’ rights pursuant to the DGCL, any Dissenting Shares shall not be converted into a right to receive cash as provided in Section 2.01(d), but shall be converted into the right to receive such consideration as may be determined to be due with respect to such Dissenting Shares pursuant to the DGCL. Each holder of Dissenting Shares who, pursuant to the provisions of the DGCL, becomes entitled to payment of the fair value of such shares shall receive payment therefor in accordance with the DGCL (but only after the value therefor shall have been agreed upon or finally determined pursuant to the DGCL). In the event that any Company Stockholder fails to make an effective demand for payment or fails to perfect its dissenters’ rights as to its shares of Company Capital Stock or any Dissenting Shares shall otherwise lose their status as Dissenting Shares, then any such shares shall immediately be converted into the right to receive the consideration issuable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respect of such shares had such shares never been Dissenting Shares, and Parent shall issue and deliver to the holder thereof, at (or as promptly as reasonably practicable after) the applicable time or times specified in Section 7.02, following the satisfaction of the applicable conditions set forth in Section 7.02, the cash, without interest thereon, to which such Company Stockholder would have been entitled under Section 2.01(d) with respect to such shares, subject to the provisions of Section 2.03 (regarding the withholding of the Escrow Cash). The Company shall give Parent prompt notice (and in no event more than two business days) of any demand received by the Company for appraisal of Company Capital Stock or notice of exercise of a Company Stockholder’s dissenters’ rights. The Company agrees that, except with Parent’s prior written consent, it shall not voluntarily make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any payment or offer to make any payment with respect to, or settle or offer to settle, any such demand for appraisal or exercise of dissenters’ rights.</w:t>
      </w:r>
    </w:p>
    <w:p>
      <w:pPr>
        <w:spacing w:after="0" w:line="34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ARTICLE VIII</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TERMINATION, AMENDMENT AND WAIVER, SURVIVAL OF REPRESENTATIONS,</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INDEMNIFICATION AND REMEDIES, AND CONTINUING COVENANTS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Termination by Mutual Consent.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Agreement may be terminated at any time prior to the Effective Time by the mutual written consent of Parent and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Unilateral Termination.</w:t>
      </w:r>
    </w:p>
    <w:p>
      <w:pPr>
        <w:spacing w:after="0" w:line="117" w:lineRule="exact"/>
        <w:rPr>
          <w:sz w:val="20"/>
          <w:szCs w:val="20"/>
          <w:color w:val="auto"/>
        </w:rPr>
      </w:pPr>
    </w:p>
    <w:p>
      <w:pPr>
        <w:ind w:right="440" w:firstLine="458"/>
        <w:spacing w:after="0" w:line="286"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color w:val="auto"/>
        </w:rPr>
        <w:t>Either Parent or the Company, by giving written notice to the other, may terminate this Agreement if a court of competent jurisdiction or other Governmental Authority shall have issued a nonappealable final order, decree or ruling or taken any other action, in each case having the effect of permanently restraining, enjoining or otherwise prohibiting the Merger or any other material transaction contemplated by this Agreement.</w:t>
      </w:r>
    </w:p>
    <w:p>
      <w:pPr>
        <w:spacing w:after="0" w:line="57" w:lineRule="exact"/>
        <w:rPr>
          <w:rFonts w:ascii="Arial" w:cs="Arial" w:eastAsia="Arial" w:hAnsi="Arial"/>
          <w:sz w:val="17"/>
          <w:szCs w:val="17"/>
          <w:color w:val="auto"/>
        </w:rPr>
      </w:pPr>
    </w:p>
    <w:p>
      <w:pPr>
        <w:jc w:val="both"/>
        <w:ind w:right="100" w:firstLine="458"/>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Either Parent or the Company, by giving written notice to the other, may terminate this Agreement if the Merger shall not have been consummated by 5:00 p.m., Salt Lake City time, on November 6, 2009; provided, however, that the right to terminate this Agreement pursuant to this Section 8.02(b) shall not be available to any party whose breach of a representation or warranty or covenant made under this Agreement by such party results in the failure of any condition set forth in Article VI to be fulfilled or satisfied on or before such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Effect of Termination.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the event of termination of this Agreement as provided in Section 8.02, this Agreement shall forthwith become void and, except as expressly provided in Section 8.03(ii), there shall be no liability or obligation whatsoever on the part of Parent, Merger Sub or the Company or their respective officers, directors, stockholders or affiliates; provided, however, that (i) the provisions of this Section 8.03 (Effect of Termination)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(General Provisions) shall remain in full force and effect and survive any termination of this Agreement, and (ii) nothing herein shall relieve any party hereto from liability in connection with any material breach of any of such party’s covenants contained herein or intentional material breach of such party’s representations and warranties.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Amendment.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Agreement may not be amended except by an instrument in writing signed by each of the parties hereto.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4" w:name="page75"/>
    <w:bookmarkEnd w:id="74"/>
    <w:p>
      <w:pPr>
        <w:ind w:left="240"/>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Waiver.</w:t>
      </w:r>
    </w:p>
    <w:p>
      <w:pPr>
        <w:spacing w:after="0" w:line="117" w:lineRule="exact"/>
        <w:rPr>
          <w:sz w:val="20"/>
          <w:szCs w:val="20"/>
          <w:color w:val="auto"/>
        </w:rPr>
      </w:pPr>
    </w:p>
    <w:p>
      <w:pPr>
        <w:jc w:val="both"/>
        <w:ind w:right="20" w:firstLine="225"/>
        <w:spacing w:after="0" w:line="279" w:lineRule="auto"/>
        <w:rPr>
          <w:sz w:val="20"/>
          <w:szCs w:val="20"/>
          <w:color w:val="auto"/>
        </w:rPr>
      </w:pPr>
      <w:r>
        <w:rPr>
          <w:rFonts w:ascii="Arial" w:cs="Arial" w:eastAsia="Arial" w:hAnsi="Arial"/>
          <w:sz w:val="17"/>
          <w:szCs w:val="17"/>
          <w:color w:val="auto"/>
        </w:rPr>
        <w:t>Subject to applicable law, at any time prior to the Effective Time, any party hereto may (a) extend the time for the performance of any obligation or other act of any other party hereto, (b) waive any inaccuracy in the representations and warranties of any other party contained herein or in any document delivered pursuant hereto and (c) waive compliance with any agreement of any other party or any condition to its own obligations contained herein. Any such extension or waiver shall be valid if set forth in an instrument in writing signed by the party or parties to be bound thereby.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97"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the Merger is consummated, the representations and warranties of the Company and contained in this Agreement shall survive the Effective Time and remain in full force and effect, regardless of any investigation or disclosure made by or on behalf of any of the parties to this Agreement, until the two-year anniversary of the Effective Time, after which time the representations and warranties shall not form the basis for any claim for Damages (as defined below); provided, however, that the Special Representations will remain operative and in full force and effect, regardless of any investigation or disclosure made by or on behalf of any of the parties to this Agreement, until the expiration of the applicable statute of limitations for claims in respect thereof.</w:t>
      </w:r>
    </w:p>
    <w:p>
      <w:pPr>
        <w:spacing w:after="0" w:line="50" w:lineRule="exact"/>
        <w:rPr>
          <w:rFonts w:ascii="Arial" w:cs="Arial" w:eastAsia="Arial" w:hAnsi="Arial"/>
          <w:sz w:val="16"/>
          <w:szCs w:val="16"/>
          <w:color w:val="auto"/>
        </w:rPr>
      </w:pPr>
    </w:p>
    <w:p>
      <w:pPr>
        <w:ind w:right="140" w:firstLine="458"/>
        <w:spacing w:after="0" w:line="259"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Merger is consummated, the covenants contained in this Agreement shall survive the Effective Time and remain in full force and effect until the two-year anniversary of the Effective Time, after which time the covenants shall not form the basis for any claim for Damages (as defined below); provided, however, that if the covenant explicitly states that it shall survive until a date before or after the two-year anniversary of the Effective Time, then such covenant shall survive for the period of time so specified.</w:t>
      </w:r>
    </w:p>
    <w:p>
      <w:pPr>
        <w:spacing w:after="0" w:line="78" w:lineRule="exact"/>
        <w:rPr>
          <w:rFonts w:ascii="Arial" w:cs="Arial" w:eastAsia="Arial" w:hAnsi="Arial"/>
          <w:sz w:val="18"/>
          <w:szCs w:val="18"/>
          <w:color w:val="auto"/>
        </w:rPr>
      </w:pPr>
    </w:p>
    <w:p>
      <w:pPr>
        <w:ind w:right="600" w:firstLine="458"/>
        <w:spacing w:after="0" w:line="291" w:lineRule="auto"/>
        <w:tabs>
          <w:tab w:leader="none" w:pos="69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obligations to indemnify and hold harmless a party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a breach of a representation, warranty or covenant shall terminate when the applicable survival period with respect to such representation, warranty or covenant has expired pursuant to</w:t>
      </w:r>
    </w:p>
    <w:p>
      <w:pPr>
        <w:ind w:right="6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Sections 8.06(a) and 8.06(b), respectively; provided, however that no right to indemnification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 respect of any claim based upon any breach of a representation, warranty or covenant that is set forth in a Notice of Claim delivered prior to the expiry of the applicable survival period with respect to such representation, warranty or covenant shall be affected by the expiration of such representation or warranty; and</w:t>
      </w:r>
    </w:p>
    <w:p>
      <w:pPr>
        <w:spacing w:after="0" w:line="65" w:lineRule="exact"/>
        <w:rPr>
          <w:rFonts w:ascii="Arial" w:cs="Arial" w:eastAsia="Arial" w:hAnsi="Arial"/>
          <w:sz w:val="16"/>
          <w:szCs w:val="16"/>
          <w:color w:val="auto"/>
        </w:rPr>
      </w:pPr>
    </w:p>
    <w:p>
      <w:pPr>
        <w:ind w:firstLine="458"/>
        <w:spacing w:after="0" w:line="264"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expiration date of a representation or warranty shall not affect the rights of any Parent Indemnified Person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to seek recovery, until the expiration of the applicable statute of limitations, of damages arising out of any fraud, willful breach or intentional misrepresentation of the Company.</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u w:val="single" w:color="auto"/>
          <w:color w:val="auto"/>
        </w:rPr>
        <w:t>Agreement of Company Stockholder to Indemnify Parent Indemnified Parties</w:t>
      </w:r>
      <w:r>
        <w:rPr>
          <w:rFonts w:ascii="Arial" w:cs="Arial" w:eastAsia="Arial" w:hAnsi="Arial"/>
          <w:sz w:val="18"/>
          <w:szCs w:val="18"/>
          <w:color w:val="auto"/>
        </w:rPr>
        <w:t>. The Company Stockholder and the Incentive Plan Participants, as between the Company Stockholder on the one hand, and the Incentive Plan Participants on the other, will severally indemnify and hold harmless, in proportion to their respective Escrow Percentages, the Parent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ind w:right="120"/>
        <w:spacing w:after="0" w:line="291" w:lineRule="auto"/>
        <w:rPr>
          <w:sz w:val="20"/>
          <w:szCs w:val="20"/>
          <w:color w:val="auto"/>
        </w:rPr>
      </w:pPr>
      <w:r>
        <w:rPr>
          <w:rFonts w:ascii="Arial" w:cs="Arial" w:eastAsia="Arial" w:hAnsi="Arial"/>
          <w:sz w:val="16"/>
          <w:szCs w:val="16"/>
          <w:color w:val="auto"/>
        </w:rPr>
        <w:t>Indemnified Persons from and against any and all Damages arising out of, resulting from or in connection with: (i) any failure of any representation or warranty made by the Company in this Agreement or the Disclosure Schedule (including the schedules thereto) to be true and correct as of the Closing Date;</w:t>
      </w:r>
    </w:p>
    <w:p>
      <w:pPr>
        <w:ind w:right="80" w:firstLine="8"/>
        <w:spacing w:after="0" w:line="295" w:lineRule="auto"/>
        <w:tabs>
          <w:tab w:leader="none" w:pos="26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failure of any certification, representation or warranty made by the Company in any certificate delivered to Parent pursuant to any provision of this Agreement to be true and correct as of the date such certificate is delivered to Parent; (iii) any breach of or default in connection with any of the covenants or agreements made by the Company in this Agreement; (iv) any Liabilities arising out of termination, as requested by Parent, of any of Company’s employees in connection with the anticipated effectiveness of the Merger and the acquisition of the Company by Parent; or (v) any Dissenting Shares Excess Payments.</w:t>
      </w:r>
    </w:p>
    <w:p>
      <w:pPr>
        <w:spacing w:after="0" w:line="5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8.08 </w:t>
      </w:r>
      <w:r>
        <w:rPr>
          <w:rFonts w:ascii="Arial" w:cs="Arial" w:eastAsia="Arial" w:hAnsi="Arial"/>
          <w:sz w:val="16"/>
          <w:szCs w:val="16"/>
          <w:u w:val="single" w:color="auto"/>
          <w:color w:val="auto"/>
        </w:rPr>
        <w:t>Agreement of Parent to Indemnify Company Indemnified Persons</w:t>
      </w:r>
      <w:r>
        <w:rPr>
          <w:rFonts w:ascii="Arial" w:cs="Arial" w:eastAsia="Arial" w:hAnsi="Arial"/>
          <w:sz w:val="16"/>
          <w:szCs w:val="16"/>
          <w:color w:val="auto"/>
        </w:rPr>
        <w:t>. Parent will indemnify and hold harmless the Company Indemnified Persons from and against any and all Damages arising out of, resulting from or in connection with: (i) any failure of any representation or warranty made by the Parent in this Agreement to be true and correct as of the Closing Date; (ii) any failure of any certification, representation or warranty made by the Parent in any certificate delivered to Company or the Company Stockholder pursuant to any provision of this Agreement to be true and correct as of the date such certificate is so delivered; and (iii) any breach of or default in connection with any of the covenants or agreements made by the Parent in this Agreement.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8.09 </w:t>
      </w:r>
      <w:r>
        <w:rPr>
          <w:rFonts w:ascii="Arial" w:cs="Arial" w:eastAsia="Arial" w:hAnsi="Arial"/>
          <w:sz w:val="18"/>
          <w:szCs w:val="18"/>
          <w:u w:val="single" w:color="auto"/>
          <w:color w:val="auto"/>
        </w:rPr>
        <w:t>Limitations.</w:t>
      </w:r>
    </w:p>
    <w:p>
      <w:pPr>
        <w:spacing w:after="0" w:line="117" w:lineRule="exact"/>
        <w:rPr>
          <w:sz w:val="20"/>
          <w:szCs w:val="20"/>
          <w:color w:val="auto"/>
        </w:rPr>
      </w:pPr>
    </w:p>
    <w:p>
      <w:pPr>
        <w:ind w:firstLine="458"/>
        <w:spacing w:after="0" w:line="287"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anything contained herein to the contrary, no Indemnified Person may recover in respect of any claim for indemnification that is made pursuant to either Section 8.07 or Section 8.08, as appropriate, and does not involve fraud, willful breach or intentional misrepresentation by the other Indemnified Person unless and until Damages in an individual amount greater than $10,000 (the “</w:t>
      </w:r>
      <w:r>
        <w:rPr>
          <w:rFonts w:ascii="Arial" w:cs="Arial" w:eastAsia="Arial" w:hAnsi="Arial"/>
          <w:sz w:val="16"/>
          <w:szCs w:val="16"/>
          <w:u w:val="single" w:color="auto"/>
          <w:color w:val="auto"/>
        </w:rPr>
        <w:t>De Minimis Threshold</w:t>
      </w:r>
      <w:r>
        <w:rPr>
          <w:rFonts w:ascii="Arial" w:cs="Arial" w:eastAsia="Arial" w:hAnsi="Arial"/>
          <w:sz w:val="16"/>
          <w:szCs w:val="16"/>
          <w:color w:val="auto"/>
        </w:rPr>
        <w:t>”) and in an aggregate amount greater than $25,000 (the “</w:t>
      </w:r>
      <w:r>
        <w:rPr>
          <w:rFonts w:ascii="Arial" w:cs="Arial" w:eastAsia="Arial" w:hAnsi="Arial"/>
          <w:sz w:val="16"/>
          <w:szCs w:val="16"/>
          <w:u w:val="single" w:color="auto"/>
          <w:color w:val="auto"/>
        </w:rPr>
        <w:t>Basket</w:t>
      </w:r>
      <w:r>
        <w:rPr>
          <w:rFonts w:ascii="Arial" w:cs="Arial" w:eastAsia="Arial" w:hAnsi="Arial"/>
          <w:sz w:val="16"/>
          <w:szCs w:val="16"/>
          <w:color w:val="auto"/>
        </w:rPr>
        <w:t>”) have been incurred, paid or properly accrued, in which case the Parent Indemnified Persons or Company Indemnified Persons, as the case may be, may make claims for indemnification in respect of any Damages from the first dollar (including the first $25,000); provided that all claims for indemnification which individually exceed the De Minimis Threshold may be aggregated for purposes of determining whether the Basket has been reached, and that, for purposes of determining whether claims for indemnification individually exceed the De Minimis Threshold and whether such De Minimis Threshold has been reached, all claims for indemnification arising out of the same, similar or related set of facts, circumstances or events giving rise to an alleged breach or violation of the representations and warranties contained herein shall be aggregated; provided further, however, that any Damages covered by clauses (iv) and (v) of Section 8.07 or arising from or relating to a breach of any Special Representation are not subject to either of the De Minimis Threshold or the Basket and may be deducted from Escrow Cash on a dollar for dollar basis.</w:t>
      </w:r>
    </w:p>
    <w:p>
      <w:pPr>
        <w:spacing w:after="0" w:line="64" w:lineRule="exact"/>
        <w:rPr>
          <w:rFonts w:ascii="Arial" w:cs="Arial" w:eastAsia="Arial" w:hAnsi="Arial"/>
          <w:sz w:val="16"/>
          <w:szCs w:val="16"/>
          <w:color w:val="auto"/>
        </w:rPr>
      </w:pPr>
    </w:p>
    <w:p>
      <w:pPr>
        <w:ind w:right="160" w:firstLine="458"/>
        <w:spacing w:after="0" w:line="312"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Any obligation to indemnify a Parent Indemnified Person for Damages shall be satisfied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out of the Escrow Cash pursuant to the terms of the Escrow Agreement, as such amount may be replenished pursuant to Section 2.01(g)(iv) herein, in which case the Escrow Cash shall be reduced by the amount of any such Damages; </w:t>
      </w:r>
      <w:r>
        <w:rPr>
          <w:rFonts w:ascii="Arial" w:cs="Arial" w:eastAsia="Arial" w:hAnsi="Arial"/>
          <w:sz w:val="16"/>
          <w:szCs w:val="16"/>
          <w:i w:val="1"/>
          <w:iCs w:val="1"/>
          <w:color w:val="auto"/>
        </w:rPr>
        <w:t>second</w:t>
      </w:r>
      <w:r>
        <w:rPr>
          <w:rFonts w:ascii="Arial" w:cs="Arial" w:eastAsia="Arial" w:hAnsi="Arial"/>
          <w:sz w:val="16"/>
          <w:szCs w:val="16"/>
          <w:color w:val="auto"/>
        </w:rPr>
        <w:t>, through any Earnout Consideration paid into Escrow and comprising part of the Escrow Amount pursuant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spacing w:after="0" w:line="302" w:lineRule="auto"/>
        <w:rPr>
          <w:sz w:val="20"/>
          <w:szCs w:val="20"/>
          <w:color w:val="auto"/>
        </w:rPr>
      </w:pPr>
      <w:r>
        <w:rPr>
          <w:rFonts w:ascii="Arial" w:cs="Arial" w:eastAsia="Arial" w:hAnsi="Arial"/>
          <w:sz w:val="16"/>
          <w:szCs w:val="16"/>
          <w:color w:val="auto"/>
        </w:rPr>
        <w:t xml:space="preserve">Section 2.01(g)(iv); and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and to the extent such Damages include a Payable Post-Closing Adjustment, if the aggregate of all Damages exceeds both the Escrow Cash and any Earnout Consideration payable hereunder, Company Shareholder shall promptly pay such excess amount directly to Parent Indemnified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absent fraud, the maximum amount of Damages for which the Company Stockholder and Incentive Plan Participants shall be liable hereunder (including Section 8.11) shall be $980,000, plus the amount of any Payable Post-Closing Adjustment.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Notice of Claim; Claims Period</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means a claim by an Indemnified Person for indemnification or Damages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58"/>
        <w:spacing w:after="0" w:line="270" w:lineRule="auto"/>
        <w:tabs>
          <w:tab w:leader="none" w:pos="70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Either the Company Stockholder (acting on its own behalf or on behalf of the Incentive Plan Representative) or the Parent (acting on its own behalf or on behalf of another Parent Indemnified Person) may give notice of a Claim under this Agreement, whether for its own Damages or, in the case of Parent, for Damages incurred by any other Parent Indemnified Person. Such party (for the purposes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give written notice of a Claim (a “</w:t>
      </w:r>
      <w:r>
        <w:rPr>
          <w:rFonts w:ascii="Arial" w:cs="Arial" w:eastAsia="Arial" w:hAnsi="Arial"/>
          <w:sz w:val="17"/>
          <w:szCs w:val="17"/>
          <w:u w:val="single" w:color="auto"/>
          <w:color w:val="auto"/>
        </w:rPr>
        <w:t>Notice of Claim</w:t>
      </w:r>
      <w:r>
        <w:rPr>
          <w:rFonts w:ascii="Arial" w:cs="Arial" w:eastAsia="Arial" w:hAnsi="Arial"/>
          <w:sz w:val="17"/>
          <w:szCs w:val="17"/>
          <w:color w:val="auto"/>
        </w:rPr>
        <w:t xml:space="preserve">”) to the other party (for the purposes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(with a copy to the Escrow Agent if the Claim involves recovery against the Escrow Cash) promptly after the Indemnified Party becomes aware of the existence of any potential claim for indemnification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arising from or relating to (i) any matter specified in Sections 8.07 or 8.08, or, (ii) in the case of Parent, the assertion, whether orally or in writing, against Parent or any other Parent Indemnified Person of a claim, demand, suit, action, arbitration, investigation, inquiry or proceeding brought by a third party against Parent or such other Parent Indemnified Person that is based on, arises out of or relates to any matter specified in Section 8.07 (in each such case, a “</w:t>
      </w:r>
      <w:r>
        <w:rPr>
          <w:rFonts w:ascii="Arial" w:cs="Arial" w:eastAsia="Arial" w:hAnsi="Arial"/>
          <w:sz w:val="17"/>
          <w:szCs w:val="17"/>
          <w:u w:val="single" w:color="auto"/>
          <w:color w:val="auto"/>
        </w:rPr>
        <w:t>Third-Party Claim</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700" w:hanging="24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Notice of Claim given pursuant to this Section 8.10 shall contain the following information:</w:t>
      </w:r>
    </w:p>
    <w:p>
      <w:pPr>
        <w:spacing w:after="0" w:line="117" w:lineRule="exact"/>
        <w:rPr>
          <w:rFonts w:ascii="Arial" w:cs="Arial" w:eastAsia="Arial" w:hAnsi="Arial"/>
          <w:sz w:val="18"/>
          <w:szCs w:val="18"/>
          <w:color w:val="auto"/>
        </w:rPr>
      </w:pPr>
    </w:p>
    <w:p>
      <w:pPr>
        <w:ind w:right="160" w:firstLine="683"/>
        <w:spacing w:after="0" w:line="279" w:lineRule="auto"/>
        <w:tabs>
          <w:tab w:leader="none" w:pos="890"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that the Indemnified Party has directly or indirectly incurred, paid or properly accrued (in accordance with GAAP) or, in good faith, believes it shall have to directly or indirectly incur, pay or accrue (in accordance with GAAP), Damages in an aggregate stated amount arising from such Claim (which amount may be the amount of damages claimed by a third party in an action brought against any Parent Indemnified Person based on alleged facts, which if true, would give rise to liability for Damages to such Parent Indemnified Person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right="100" w:firstLine="683"/>
        <w:spacing w:after="0" w:line="279" w:lineRule="auto"/>
        <w:tabs>
          <w:tab w:leader="none" w:pos="9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 brief description, in reasonable detail (to the extent reasonably available to the Indemnified Party), of the facts, circumstances or events giving rise to the alleged Damages based on the Indemnified Party’s good faith belief thereof, including the identity and address of any third-party claimant (to the extent reasonably available) and copies of any formal demand or complaint, the amount of Damages, the date each such item was incurred, paid or properly accrued, or the basis for such anticipated liability, and the specific nature of the breach to which such item is related.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ind w:left="692" w:hanging="242"/>
        <w:spacing w:after="0"/>
        <w:tabs>
          <w:tab w:leader="none" w:pos="692"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period during which a Claim may be initiated (as applicable, the “</w:t>
      </w:r>
      <w:r>
        <w:rPr>
          <w:rFonts w:ascii="Arial" w:cs="Arial" w:eastAsia="Arial" w:hAnsi="Arial"/>
          <w:sz w:val="16"/>
          <w:szCs w:val="16"/>
          <w:u w:val="single" w:color="auto"/>
          <w:color w:val="auto"/>
        </w:rPr>
        <w:t>Claims Period</w:t>
      </w:r>
      <w:r>
        <w:rPr>
          <w:rFonts w:ascii="Arial" w:cs="Arial" w:eastAsia="Arial" w:hAnsi="Arial"/>
          <w:sz w:val="16"/>
          <w:szCs w:val="16"/>
          <w:color w:val="auto"/>
        </w:rPr>
        <w:t>”) shall commence at the Effective Time and terminate thirty</w:t>
      </w:r>
    </w:p>
    <w:p>
      <w:pPr>
        <w:spacing w:after="0" w:line="46" w:lineRule="exact"/>
        <w:rPr>
          <w:rFonts w:ascii="Arial" w:cs="Arial" w:eastAsia="Arial" w:hAnsi="Arial"/>
          <w:sz w:val="16"/>
          <w:szCs w:val="16"/>
          <w:color w:val="auto"/>
        </w:rPr>
      </w:pPr>
    </w:p>
    <w:p>
      <w:pPr>
        <w:ind w:left="-8" w:right="280" w:firstLine="8"/>
        <w:spacing w:after="0" w:line="270" w:lineRule="auto"/>
        <w:tabs>
          <w:tab w:leader="none" w:pos="337"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days following the end of the applicable survival period described in Section 8.06 with respect to the factual basis upon which such Claim is made. Notwithstanding anything contained herein to the contrary, any Claims for Damages specified in any Notice of Claim delivered prior to expiration of the Claims Period with respect to facts and circumstances existing prior to expiration of the Claims Period shall remain outstanding until such Claims for Damages have been resolved or satisfied, notwithstanding the expiration of such Claims Period. Until the expiration of the Claims Period, no delay on the part of an Indemnified Party in delivering a Notice of Claim shall relieve such Indemnified Party from any of its obligations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unless (and then only to the extent that) the other Indemnifying Party is materially prejudiced thereby.</w:t>
      </w:r>
    </w:p>
    <w:p>
      <w:pPr>
        <w:spacing w:after="0" w:line="71"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Defense of Third Party Claims.</w:t>
      </w:r>
    </w:p>
    <w:p>
      <w:pPr>
        <w:spacing w:after="0" w:line="117" w:lineRule="exact"/>
        <w:rPr>
          <w:sz w:val="20"/>
          <w:szCs w:val="20"/>
          <w:color w:val="auto"/>
        </w:rPr>
      </w:pPr>
    </w:p>
    <w:p>
      <w:pPr>
        <w:jc w:val="both"/>
        <w:ind w:left="-8" w:firstLine="458"/>
        <w:spacing w:after="0" w:line="286" w:lineRule="auto"/>
        <w:tabs>
          <w:tab w:leader="none" w:pos="687"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Parent shall determine and conduct the defense or settlement of any Third-Party Claim, and the costs and expenses incurred by Parent in connection with such defense or settlement (including reasonable attorneys’ fees, other professionals’ and experts’ fees and court or arbitration costs) shall be included in the Damages for which Parent may seek indemnification pursuant to a Claim made by any Parent Indemnified Person hereunder.</w:t>
      </w:r>
    </w:p>
    <w:p>
      <w:pPr>
        <w:spacing w:after="0" w:line="57" w:lineRule="exact"/>
        <w:rPr>
          <w:rFonts w:ascii="Arial" w:cs="Arial" w:eastAsia="Arial" w:hAnsi="Arial"/>
          <w:sz w:val="17"/>
          <w:szCs w:val="17"/>
          <w:color w:val="auto"/>
        </w:rPr>
      </w:pPr>
    </w:p>
    <w:p>
      <w:pPr>
        <w:ind w:left="-8" w:right="20" w:firstLine="458"/>
        <w:spacing w:after="0" w:line="312" w:lineRule="auto"/>
        <w:tabs>
          <w:tab w:leader="none" w:pos="69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Stockholder shall have the right to receive copies of all pleadings, notices and communications with respect to the Third-Party Claim to the extent that receipt of such documents by the Company Stockholder does not affect any privilege relating to the Parent Indemnified Person and may participate in, but not to determine or conduct, any defense of the Third-Party Claim or settlement negotiations with respect to the Third-Party Claim.</w:t>
      </w:r>
    </w:p>
    <w:p>
      <w:pPr>
        <w:spacing w:after="0" w:line="38" w:lineRule="exact"/>
        <w:rPr>
          <w:rFonts w:ascii="Arial" w:cs="Arial" w:eastAsia="Arial" w:hAnsi="Arial"/>
          <w:sz w:val="16"/>
          <w:szCs w:val="16"/>
          <w:color w:val="auto"/>
        </w:rPr>
      </w:pPr>
    </w:p>
    <w:p>
      <w:pPr>
        <w:ind w:left="-8" w:firstLine="458"/>
        <w:spacing w:after="0" w:line="272" w:lineRule="auto"/>
        <w:tabs>
          <w:tab w:leader="none" w:pos="687"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Parent shall seek the prior written consent of the Company Stockholder, which consent shall not be unreasonably withheld, conditioned or delayed, before entering into any settlement with respect to a Third-Party Claim. In the event that the Company Stockholder consents to such a settlement of a Third-Party Claim, then Parent shall, subject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be entitled to recover the total amount of all Damages incurred in connection with settlement of such Third-Party Claim from the Company Shareholder (subject to the limitations set forth in Section 8.09), and the Company Stockholder shall otherwise have no power or authority to object under any provision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to such recovery. In the event that the Parent elects to enter into such settlement of a Third-Party Claim and Company Stockholder has not consented thereto, then such settlement shall not be conclusive evidence of the amount of Damages incurred by the Parent or Parent Indemnified Person in respect of such Third-Party Claim.</w:t>
      </w:r>
    </w:p>
    <w:p>
      <w:pPr>
        <w:spacing w:after="0" w:line="69" w:lineRule="exact"/>
        <w:rPr>
          <w:rFonts w:ascii="Arial" w:cs="Arial" w:eastAsia="Arial" w:hAnsi="Arial"/>
          <w:sz w:val="17"/>
          <w:szCs w:val="17"/>
          <w:color w:val="auto"/>
        </w:rPr>
      </w:pPr>
    </w:p>
    <w:p>
      <w:pPr>
        <w:ind w:left="692" w:hanging="242"/>
        <w:spacing w:after="0"/>
        <w:tabs>
          <w:tab w:leader="none" w:pos="69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the extent there is an inconsistency between this Section 8.11 and Section 5.07(a) with respect to any Tax Claim, Section 5.07(a) shall control.</w:t>
      </w:r>
    </w:p>
    <w:p>
      <w:pPr>
        <w:spacing w:after="0" w:line="140"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[Intentionally Deleted.]</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Resolution of Notice of Claim.</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Each Notice of Claim shall be resolved as follows:</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78" w:name="page79"/>
    <w:bookmarkEnd w:id="78"/>
    <w:p>
      <w:pPr>
        <w:ind w:firstLine="458"/>
        <w:spacing w:after="0" w:line="25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Uncontested Claims</w:t>
      </w:r>
      <w:r>
        <w:rPr>
          <w:rFonts w:ascii="Arial" w:cs="Arial" w:eastAsia="Arial" w:hAnsi="Arial"/>
          <w:sz w:val="18"/>
          <w:szCs w:val="18"/>
          <w:color w:val="auto"/>
        </w:rPr>
        <w:t xml:space="preserve">. If, within 30 days after a Notice of Claim is received, the Indemnifying Party does not contest such Notice of Claim in writing as provided in Section 8.13(b), the Indemnifying Party shall be conclusively deemed to have consented to the recovery by the Indemnified Party of the full amount of Damages specified in the Notice of Claim in accordance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including, as applicable, the forfeiture of Escrow Cash, and, without further notice, to have stipulated to the entry of a final judgment for damages for such amount in any court having jurisdiction over the matter where venue is proper.</w:t>
      </w:r>
    </w:p>
    <w:p>
      <w:pPr>
        <w:spacing w:after="0" w:line="80" w:lineRule="exact"/>
        <w:rPr>
          <w:rFonts w:ascii="Arial" w:cs="Arial" w:eastAsia="Arial" w:hAnsi="Arial"/>
          <w:sz w:val="18"/>
          <w:szCs w:val="18"/>
          <w:color w:val="auto"/>
        </w:rPr>
      </w:pPr>
    </w:p>
    <w:p>
      <w:pPr>
        <w:ind w:right="40" w:firstLine="458"/>
        <w:spacing w:after="0" w:line="285"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Contested Claims</w:t>
      </w:r>
      <w:r>
        <w:rPr>
          <w:rFonts w:ascii="Arial" w:cs="Arial" w:eastAsia="Arial" w:hAnsi="Arial"/>
          <w:sz w:val="16"/>
          <w:szCs w:val="16"/>
          <w:color w:val="auto"/>
        </w:rPr>
        <w:t>. If, however, the Indemnifying Party gives written notice contesting all or any portion of a Notice of Claim (a “</w:t>
      </w:r>
      <w:r>
        <w:rPr>
          <w:rFonts w:ascii="Arial" w:cs="Arial" w:eastAsia="Arial" w:hAnsi="Arial"/>
          <w:sz w:val="16"/>
          <w:szCs w:val="16"/>
          <w:u w:val="single" w:color="auto"/>
          <w:color w:val="auto"/>
        </w:rPr>
        <w:t>Contested Claim</w:t>
      </w:r>
      <w:r>
        <w:rPr>
          <w:rFonts w:ascii="Arial" w:cs="Arial" w:eastAsia="Arial" w:hAnsi="Arial"/>
          <w:sz w:val="16"/>
          <w:szCs w:val="16"/>
          <w:color w:val="auto"/>
        </w:rPr>
        <w:t>”) (with, in the case where the Indemnified Party is represented by the Company Stockholder, a copy to the Escrow Agent) within the 30 day period specified in Section 8.13(a), then such Contested Claim shall be resolved by either (i) a written settlement agreement executed by both the Indemnified Party and the Indemnifying Party (a copy of which shall be furnished to the Escrow Agent) or (ii) in the absence of such a written settlement agreement within 60 business days following receipt of the Contested Claim from the Indemnifying Party, by binding litigation in accordance with the terms and provisions of</w:t>
      </w:r>
    </w:p>
    <w:p>
      <w:pPr>
        <w:spacing w:after="0" w:line="2" w:lineRule="exact"/>
        <w:rPr>
          <w:rFonts w:ascii="Arial" w:cs="Arial" w:eastAsia="Arial" w:hAnsi="Arial"/>
          <w:sz w:val="16"/>
          <w:szCs w:val="16"/>
          <w:color w:val="auto"/>
        </w:rPr>
      </w:pPr>
    </w:p>
    <w:p>
      <w:pPr>
        <w:ind w:right="440"/>
        <w:spacing w:after="0" w:line="261" w:lineRule="auto"/>
        <w:rPr>
          <w:rFonts w:ascii="Arial" w:cs="Arial" w:eastAsia="Arial" w:hAnsi="Arial"/>
          <w:sz w:val="16"/>
          <w:szCs w:val="16"/>
          <w:color w:val="auto"/>
        </w:rPr>
      </w:pPr>
      <w:r>
        <w:rPr>
          <w:rFonts w:ascii="Arial" w:cs="Arial" w:eastAsia="Arial" w:hAnsi="Arial"/>
          <w:sz w:val="18"/>
          <w:szCs w:val="18"/>
          <w:color w:val="auto"/>
        </w:rPr>
        <w:t>Section 8.13(c). If either the Indemnified Party or the Indemnifying Party receives written notice of a Contested Claim, it shall within five business days provide written notice of receipt to the other Indemnified Person.</w:t>
      </w:r>
    </w:p>
    <w:p>
      <w:pPr>
        <w:spacing w:after="0" w:line="75" w:lineRule="exact"/>
        <w:rPr>
          <w:rFonts w:ascii="Arial" w:cs="Arial" w:eastAsia="Arial" w:hAnsi="Arial"/>
          <w:sz w:val="16"/>
          <w:szCs w:val="16"/>
          <w:color w:val="auto"/>
        </w:rPr>
      </w:pPr>
    </w:p>
    <w:p>
      <w:pPr>
        <w:ind w:right="20" w:firstLine="458"/>
        <w:spacing w:after="0" w:line="286"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Litigation of Contested Claims</w:t>
      </w:r>
      <w:r>
        <w:rPr>
          <w:rFonts w:ascii="Arial" w:cs="Arial" w:eastAsia="Arial" w:hAnsi="Arial"/>
          <w:sz w:val="16"/>
          <w:szCs w:val="16"/>
          <w:color w:val="auto"/>
        </w:rPr>
        <w:t>. Either the Indemnified Party or the Indemnifying Party may bring suit to resolve a Contested Claim. The decision of the trial court as to the validity and amount of any claim in such Notice of Claim shall be nonappealable, binding and conclusive upon the parties to this Agreement, and the Escrow Agent shall be entitled to act in accordance with such decision and make or withhold payments out of the Escrow Cash in accordance therewith. Judgment upon any award rendered by the trial court may be entered in any court having jurisdiction. For purposes of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8.13(c), in any suit hereunder each party shall pay its own expenses, including attorneys’ fees and costs.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Release of Remaining Escrow Cash.</w:t>
      </w:r>
    </w:p>
    <w:p>
      <w:pPr>
        <w:spacing w:after="0" w:line="117"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Within thirty (30) days following the end of the Earnout Period (the “</w:t>
      </w:r>
      <w:r>
        <w:rPr>
          <w:rFonts w:ascii="Arial" w:cs="Arial" w:eastAsia="Arial" w:hAnsi="Arial"/>
          <w:sz w:val="17"/>
          <w:szCs w:val="17"/>
          <w:u w:val="single" w:color="auto"/>
          <w:color w:val="auto"/>
        </w:rPr>
        <w:t>Escrow Release Date</w:t>
      </w:r>
      <w:r>
        <w:rPr>
          <w:rFonts w:ascii="Arial" w:cs="Arial" w:eastAsia="Arial" w:hAnsi="Arial"/>
          <w:sz w:val="17"/>
          <w:szCs w:val="17"/>
          <w:color w:val="auto"/>
        </w:rPr>
        <w:t>”), the Escrow Cash shall be released to the Company Stockholder and Incentive Plan Participants pursuant to the Escrow Agreement, other than any Escrow Amount that is necessary to satisfy all unresolved, unsatisfied or disputed claims for Damages specified in any Notice of Claim delivered to the Company Stockholder before the end of the Escrow Release Date. If any Claims for which Parent has delivered a Notice of Claim to the Company Stockholder before the expiration of the applicable Claims Period are unresolved, unsatisfied or disputed as of the expiration of the applicable Claims Period, then the Escrow Agent shall retain possession and custody of that amount of Escrow Cash that equals the total maximum amount of Damages then being claimed by Parent Indemnified Persons in all such unresolved, unsatisfied or disputed Claims, and as soon as all such Claims have been resolved, the Escrow Agent shall deliver to the Company Stockholder and Incentive Plan Participants any remaining Escrow Amount not required to satisfy such Claims.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left="240"/>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Computation of Damages.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all Damages of an Indemnified Person as a result of an event or circumstance for which such Indemnified Person is subject to indemnification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computed net of any Tax benefit that such Indemnified Person actually realizes in the year it incurs the Damages as a result of being able to currently deduct the Damages for Tax purposes. For purposes of the prior sentence, the amount of any Tax benefit shall be reduced to the extent an Indemnified Person or its Affiliate actually incurs any Tax detriment as a result of currently including an indemnification payment into income as required under applicable law.</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Tax Consequences of Indemnification Payments and Earnout Payments.</w:t>
      </w:r>
    </w:p>
    <w:p>
      <w:pPr>
        <w:spacing w:after="0" w:line="117" w:lineRule="exact"/>
        <w:rPr>
          <w:sz w:val="20"/>
          <w:szCs w:val="20"/>
          <w:color w:val="auto"/>
        </w:rPr>
      </w:pPr>
    </w:p>
    <w:p>
      <w:pPr>
        <w:ind w:right="680" w:firstLine="458"/>
        <w:spacing w:after="0" w:line="342" w:lineRule="auto"/>
        <w:tabs>
          <w:tab w:leader="none" w:pos="68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All payments (if any) made pursuant to any indemnification obligations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will be treated as adjustments to the Merger Consideration for tax purposes and such agreed treatment will govern for purposes of this Agreement, unless otherwise required by law.</w:t>
      </w:r>
    </w:p>
    <w:p>
      <w:pPr>
        <w:spacing w:after="0" w:line="15" w:lineRule="exact"/>
        <w:rPr>
          <w:rFonts w:ascii="Arial" w:cs="Arial" w:eastAsia="Arial" w:hAnsi="Arial"/>
          <w:sz w:val="16"/>
          <w:szCs w:val="16"/>
          <w:color w:val="auto"/>
        </w:rPr>
      </w:pPr>
    </w:p>
    <w:p>
      <w:pPr>
        <w:ind w:right="320" w:firstLine="458"/>
        <w:spacing w:after="0" w:line="264"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payments (if any) of Earnout Consideration will be treated as additional Merger Consideration and, except to the extent such payments are required to be treated as interest under Code Section 483 or analogous provisions of the Code or state or local law, such treatment shall govern for all Tax purposes.</w:t>
      </w:r>
    </w:p>
    <w:p>
      <w:pPr>
        <w:spacing w:after="0" w:line="7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8.17 </w:t>
      </w:r>
      <w:r>
        <w:rPr>
          <w:rFonts w:ascii="Arial" w:cs="Arial" w:eastAsia="Arial" w:hAnsi="Arial"/>
          <w:sz w:val="16"/>
          <w:szCs w:val="16"/>
          <w:u w:val="single" w:color="auto"/>
          <w:color w:val="auto"/>
        </w:rPr>
        <w:t>Sole Remedy</w:t>
      </w:r>
      <w:r>
        <w:rPr>
          <w:rFonts w:ascii="Arial" w:cs="Arial" w:eastAsia="Arial" w:hAnsi="Arial"/>
          <w:sz w:val="16"/>
          <w:szCs w:val="16"/>
          <w:color w:val="auto"/>
        </w:rPr>
        <w:t xml:space="preserve">. From and after the Closing, the indemnification provided for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be the sole and exclusive remedy of the Parent Indemnified Persons and the Company Indemnified Persons, whether in contract, tort or otherwise, excepting fraud, for all matters arising under or in connection with this Agreement, the transaction documents delivered pursuant to this Agreement, and the transactions contemplated hereby and thereby, including, without limitation, for any inaccuracy or breach of any representation, warranty, covenant or agreement set forth herein. Notwithstanding any other provisions of this Agreement,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not apply to any claim arising by reason of fraud of any party hereto.</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PROVISIONS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All notices, requests, claims, demands and other communications hereunder shall be in writing and shall be given (and shall be deemed to have been duly given upon receipt) by delivery in person, by overnight courier, by facsimile or by registered or certified mail (postage prepaid, return receipt requested) to the respective parties at the following addresses (or at such other address for a party as shall be specified in a notice given in accordance with this Section 9.01):</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2940" w:type="dxa"/>
            <w:vAlign w:val="bottom"/>
          </w:tcPr>
          <w:p>
            <w:pPr>
              <w:ind w:left="240"/>
              <w:spacing w:after="0"/>
              <w:rPr>
                <w:sz w:val="20"/>
                <w:szCs w:val="20"/>
                <w:color w:val="auto"/>
              </w:rPr>
            </w:pPr>
            <w:r>
              <w:rPr>
                <w:rFonts w:ascii="Arial" w:cs="Arial" w:eastAsia="Arial" w:hAnsi="Arial"/>
                <w:sz w:val="18"/>
                <w:szCs w:val="18"/>
                <w:color w:val="auto"/>
              </w:rPr>
              <w:t>if to Parent or Merger Sub:</w:t>
            </w:r>
          </w:p>
        </w:tc>
        <w:tc>
          <w:tcPr>
            <w:tcW w:w="8480" w:type="dxa"/>
            <w:vAlign w:val="bottom"/>
          </w:tcPr>
          <w:p>
            <w:pPr>
              <w:ind w:left="440"/>
              <w:spacing w:after="0"/>
              <w:rPr>
                <w:sz w:val="20"/>
                <w:szCs w:val="20"/>
                <w:color w:val="auto"/>
              </w:rPr>
            </w:pPr>
            <w:r>
              <w:rPr>
                <w:rFonts w:ascii="Arial" w:cs="Arial" w:eastAsia="Arial" w:hAnsi="Arial"/>
                <w:sz w:val="18"/>
                <w:szCs w:val="18"/>
                <w:color w:val="auto"/>
              </w:rPr>
              <w:t>ClearOne Communications, Inc.</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5225 Wiley Post Way, Suite 500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Salt Lake City, UT 84116</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Telephone No.: (801) 975-7200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Telecopier No.: (801) 303-3333</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Attention: Zee Hakimoglu, President and</w:t>
            </w:r>
          </w:p>
        </w:tc>
      </w:tr>
      <w:tr>
        <w:trPr>
          <w:trHeight w:val="230"/>
        </w:trPr>
        <w:tc>
          <w:tcPr>
            <w:tcW w:w="294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Chief Executive Officer</w:t>
            </w:r>
          </w:p>
        </w:tc>
      </w:tr>
      <w:tr>
        <w:trPr>
          <w:trHeight w:val="418"/>
        </w:trPr>
        <w:tc>
          <w:tcPr>
            <w:tcW w:w="2940" w:type="dxa"/>
            <w:vAlign w:val="bottom"/>
          </w:tcPr>
          <w:p>
            <w:pPr>
              <w:ind w:left="240"/>
              <w:spacing w:after="0"/>
              <w:rPr>
                <w:sz w:val="20"/>
                <w:szCs w:val="20"/>
                <w:color w:val="auto"/>
              </w:rPr>
            </w:pPr>
            <w:r>
              <w:rPr>
                <w:rFonts w:ascii="Arial" w:cs="Arial" w:eastAsia="Arial" w:hAnsi="Arial"/>
                <w:sz w:val="18"/>
                <w:szCs w:val="18"/>
                <w:color w:val="auto"/>
              </w:rPr>
              <w:t>with a copy to:</w:t>
            </w:r>
          </w:p>
        </w:tc>
        <w:tc>
          <w:tcPr>
            <w:tcW w:w="8480" w:type="dxa"/>
            <w:vAlign w:val="bottom"/>
          </w:tcPr>
          <w:p>
            <w:pPr>
              <w:ind w:left="440"/>
              <w:spacing w:after="0"/>
              <w:rPr>
                <w:sz w:val="20"/>
                <w:szCs w:val="20"/>
                <w:color w:val="auto"/>
              </w:rPr>
            </w:pPr>
            <w:r>
              <w:rPr>
                <w:rFonts w:ascii="Arial" w:cs="Arial" w:eastAsia="Arial" w:hAnsi="Arial"/>
                <w:sz w:val="18"/>
                <w:szCs w:val="18"/>
                <w:color w:val="auto"/>
              </w:rPr>
              <w:t>Parsons Behle &amp; Latimer</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1800 — 201 South Main Street</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Salt Lake City, Utah 84111</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Telephone No.: (801) 536-6940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Telecopier No.: (801) 536-6111</w:t>
            </w:r>
          </w:p>
        </w:tc>
      </w:tr>
      <w:tr>
        <w:trPr>
          <w:trHeight w:val="230"/>
        </w:trPr>
        <w:tc>
          <w:tcPr>
            <w:tcW w:w="294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Attention: Geoffrey W. Mangum</w:t>
            </w:r>
          </w:p>
        </w:tc>
      </w:tr>
      <w:tr>
        <w:trPr>
          <w:trHeight w:val="418"/>
        </w:trPr>
        <w:tc>
          <w:tcPr>
            <w:tcW w:w="2940" w:type="dxa"/>
            <w:vAlign w:val="bottom"/>
          </w:tcPr>
          <w:p>
            <w:pPr>
              <w:ind w:left="240"/>
              <w:spacing w:after="0"/>
              <w:rPr>
                <w:sz w:val="20"/>
                <w:szCs w:val="20"/>
                <w:color w:val="auto"/>
              </w:rPr>
            </w:pPr>
            <w:r>
              <w:rPr>
                <w:rFonts w:ascii="Arial" w:cs="Arial" w:eastAsia="Arial" w:hAnsi="Arial"/>
                <w:sz w:val="18"/>
                <w:szCs w:val="18"/>
                <w:color w:val="auto"/>
              </w:rPr>
              <w:t>if to the Company:</w:t>
            </w:r>
          </w:p>
        </w:tc>
        <w:tc>
          <w:tcPr>
            <w:tcW w:w="8480" w:type="dxa"/>
            <w:vAlign w:val="bottom"/>
          </w:tcPr>
          <w:p>
            <w:pPr>
              <w:ind w:left="440"/>
              <w:spacing w:after="0"/>
              <w:rPr>
                <w:sz w:val="20"/>
                <w:szCs w:val="20"/>
                <w:color w:val="auto"/>
              </w:rPr>
            </w:pPr>
            <w:r>
              <w:rPr>
                <w:rFonts w:ascii="Arial" w:cs="Arial" w:eastAsia="Arial" w:hAnsi="Arial"/>
                <w:sz w:val="18"/>
                <w:szCs w:val="18"/>
                <w:color w:val="auto"/>
              </w:rPr>
              <w:t>NetStreams, Inc.</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3600 W. Parmer Lane, Suite # 100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Austin, TX 78727</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Telephone No.: (512) 977-9393</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Telecopier No.: (512) 977-9398</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Attention: Kevin Reinis, President and</w:t>
            </w:r>
          </w:p>
        </w:tc>
      </w:tr>
      <w:tr>
        <w:trPr>
          <w:trHeight w:val="230"/>
        </w:trPr>
        <w:tc>
          <w:tcPr>
            <w:tcW w:w="294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Chief Executive Officer</w:t>
            </w:r>
          </w:p>
        </w:tc>
      </w:tr>
      <w:tr>
        <w:trPr>
          <w:trHeight w:val="418"/>
        </w:trPr>
        <w:tc>
          <w:tcPr>
            <w:tcW w:w="2940" w:type="dxa"/>
            <w:vAlign w:val="bottom"/>
          </w:tcPr>
          <w:p>
            <w:pPr>
              <w:ind w:left="240"/>
              <w:spacing w:after="0"/>
              <w:rPr>
                <w:sz w:val="20"/>
                <w:szCs w:val="20"/>
                <w:color w:val="auto"/>
              </w:rPr>
            </w:pPr>
            <w:r>
              <w:rPr>
                <w:rFonts w:ascii="Arial" w:cs="Arial" w:eastAsia="Arial" w:hAnsi="Arial"/>
                <w:sz w:val="18"/>
                <w:szCs w:val="18"/>
                <w:color w:val="auto"/>
              </w:rPr>
              <w:t>with a copy to:</w:t>
            </w:r>
          </w:p>
        </w:tc>
        <w:tc>
          <w:tcPr>
            <w:tcW w:w="8480" w:type="dxa"/>
            <w:vAlign w:val="bottom"/>
          </w:tcPr>
          <w:p>
            <w:pPr>
              <w:ind w:left="440"/>
              <w:spacing w:after="0"/>
              <w:rPr>
                <w:sz w:val="20"/>
                <w:szCs w:val="20"/>
                <w:color w:val="auto"/>
              </w:rPr>
            </w:pPr>
            <w:r>
              <w:rPr>
                <w:rFonts w:ascii="Arial" w:cs="Arial" w:eastAsia="Arial" w:hAnsi="Arial"/>
                <w:sz w:val="18"/>
                <w:szCs w:val="18"/>
                <w:color w:val="auto"/>
              </w:rPr>
              <w:t>Wilson Sonsini Goodrich &amp; Rosati,</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Professional Corporation</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900 South Capital of Texas Highway</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Las Cimas IV, Fifth Floor</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Austin, TX 78746</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Telephone No.: (512) 338-5400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Telecopier No.: (512) 338-5499</w:t>
            </w:r>
          </w:p>
        </w:tc>
      </w:tr>
      <w:tr>
        <w:trPr>
          <w:trHeight w:val="230"/>
        </w:trPr>
        <w:tc>
          <w:tcPr>
            <w:tcW w:w="294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Attention: Paul Tobias</w:t>
            </w:r>
          </w:p>
        </w:tc>
      </w:tr>
      <w:tr>
        <w:trPr>
          <w:trHeight w:val="418"/>
        </w:trPr>
        <w:tc>
          <w:tcPr>
            <w:tcW w:w="2940" w:type="dxa"/>
            <w:vAlign w:val="bottom"/>
          </w:tcPr>
          <w:p>
            <w:pPr>
              <w:ind w:left="240"/>
              <w:spacing w:after="0"/>
              <w:rPr>
                <w:sz w:val="20"/>
                <w:szCs w:val="20"/>
                <w:color w:val="auto"/>
              </w:rPr>
            </w:pPr>
            <w:r>
              <w:rPr>
                <w:rFonts w:ascii="Arial" w:cs="Arial" w:eastAsia="Arial" w:hAnsi="Arial"/>
                <w:sz w:val="18"/>
                <w:szCs w:val="18"/>
                <w:color w:val="auto"/>
              </w:rPr>
              <w:t>if to the Company Stockholder:</w:t>
            </w:r>
          </w:p>
        </w:tc>
        <w:tc>
          <w:tcPr>
            <w:tcW w:w="8480" w:type="dxa"/>
            <w:vAlign w:val="bottom"/>
          </w:tcPr>
          <w:p>
            <w:pPr>
              <w:ind w:left="440"/>
              <w:spacing w:after="0"/>
              <w:rPr>
                <w:sz w:val="20"/>
                <w:szCs w:val="20"/>
                <w:color w:val="auto"/>
              </w:rPr>
            </w:pPr>
            <w:r>
              <w:rPr>
                <w:rFonts w:ascii="Arial" w:cs="Arial" w:eastAsia="Arial" w:hAnsi="Arial"/>
                <w:sz w:val="18"/>
                <w:szCs w:val="18"/>
                <w:color w:val="auto"/>
              </w:rPr>
              <w:t>Austin Ventures VIII, L.P</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300 West 6</w:t>
            </w:r>
            <w:r>
              <w:rPr>
                <w:rFonts w:ascii="Arial" w:cs="Arial" w:eastAsia="Arial" w:hAnsi="Arial"/>
                <w:sz w:val="15"/>
                <w:szCs w:val="15"/>
                <w:color w:val="auto"/>
              </w:rPr>
              <w:t>th</w:t>
            </w:r>
            <w:r>
              <w:rPr>
                <w:rFonts w:ascii="Arial" w:cs="Arial" w:eastAsia="Arial" w:hAnsi="Arial"/>
                <w:sz w:val="18"/>
                <w:szCs w:val="18"/>
                <w:color w:val="auto"/>
              </w:rPr>
              <w:t xml:space="preserve"> Street</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Suite 2300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Austin, Texas 87801-3902</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Telephone No.: (512) 485-1900</w:t>
            </w:r>
          </w:p>
        </w:tc>
      </w:tr>
      <w:tr>
        <w:trPr>
          <w:trHeight w:val="216"/>
        </w:trPr>
        <w:tc>
          <w:tcPr>
            <w:tcW w:w="294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Telecopier No.: (512) 651-8500</w:t>
            </w:r>
          </w:p>
        </w:tc>
      </w:tr>
      <w:tr>
        <w:trPr>
          <w:trHeight w:val="230"/>
        </w:trPr>
        <w:tc>
          <w:tcPr>
            <w:tcW w:w="2940" w:type="dxa"/>
            <w:vAlign w:val="bottom"/>
          </w:tcPr>
          <w:p>
            <w:pPr>
              <w:spacing w:after="0"/>
              <w:rPr>
                <w:sz w:val="20"/>
                <w:szCs w:val="20"/>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Attention: Clark Jernigan</w:t>
            </w:r>
          </w:p>
        </w:tc>
      </w:tr>
      <w:tr>
        <w:trPr>
          <w:trHeight w:val="405"/>
        </w:trPr>
        <w:tc>
          <w:tcPr>
            <w:tcW w:w="2940" w:type="dxa"/>
            <w:vAlign w:val="bottom"/>
          </w:tcPr>
          <w:p>
            <w:pPr>
              <w:spacing w:after="0"/>
              <w:rPr>
                <w:sz w:val="24"/>
                <w:szCs w:val="24"/>
                <w:color w:val="auto"/>
              </w:rPr>
            </w:pPr>
          </w:p>
        </w:tc>
        <w:tc>
          <w:tcPr>
            <w:tcW w:w="8480" w:type="dxa"/>
            <w:vAlign w:val="bottom"/>
          </w:tcPr>
          <w:p>
            <w:pPr>
              <w:ind w:left="2680"/>
              <w:spacing w:after="0"/>
              <w:rPr>
                <w:sz w:val="20"/>
                <w:szCs w:val="20"/>
                <w:color w:val="auto"/>
              </w:rPr>
            </w:pPr>
            <w:r>
              <w:rPr>
                <w:rFonts w:ascii="Arial" w:cs="Arial" w:eastAsia="Arial" w:hAnsi="Arial"/>
                <w:sz w:val="18"/>
                <w:szCs w:val="18"/>
                <w:color w:val="auto"/>
              </w:rPr>
              <w:t>68</w:t>
            </w:r>
          </w:p>
        </w:tc>
      </w:tr>
      <w:tr>
        <w:trPr>
          <w:trHeight w:val="226"/>
        </w:trPr>
        <w:tc>
          <w:tcPr>
            <w:tcW w:w="294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1" w:name="page82"/>
    <w:bookmarkEnd w:id="81"/>
    <w:tbl>
      <w:tblPr>
        <w:tblLayout w:type="fixed"/>
        <w:tblInd w:w="240" w:type="dxa"/>
        <w:tblCellMar>
          <w:top w:w="0" w:type="dxa"/>
          <w:left w:w="0" w:type="dxa"/>
          <w:bottom w:w="0" w:type="dxa"/>
          <w:right w:w="0" w:type="dxa"/>
        </w:tblCellMar>
      </w:tblP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w w:val="98"/>
              </w:rPr>
              <w:t>Wilson Sonsini Goodrich &amp; Rosati</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w w:val="91"/>
              </w:rPr>
              <w:t>900 South Capital of Texas Highway</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Las Cimas IV, Fifth Floor</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Austin, TX 78746</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Telephone No.: (512) 338-5400</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Telecopier No.: (512) 338-5499</w:t>
            </w:r>
          </w:p>
        </w:tc>
      </w:tr>
      <w:tr>
        <w:trPr>
          <w:trHeight w:val="230"/>
        </w:trPr>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Attention: Paul Tobias</w:t>
            </w:r>
          </w:p>
        </w:tc>
      </w:tr>
      <w:tr>
        <w:trPr>
          <w:trHeight w:val="418"/>
        </w:trPr>
        <w:tc>
          <w:tcPr>
            <w:tcW w:w="2380" w:type="dxa"/>
            <w:vAlign w:val="bottom"/>
            <w:gridSpan w:val="3"/>
          </w:tcPr>
          <w:p>
            <w:pPr>
              <w:spacing w:after="0"/>
              <w:rPr>
                <w:sz w:val="20"/>
                <w:szCs w:val="20"/>
                <w:color w:val="auto"/>
              </w:rPr>
            </w:pPr>
            <w:r>
              <w:rPr>
                <w:rFonts w:ascii="Arial" w:cs="Arial" w:eastAsia="Arial" w:hAnsi="Arial"/>
                <w:sz w:val="18"/>
                <w:szCs w:val="18"/>
                <w:color w:val="auto"/>
              </w:rPr>
              <w:t>if to the Incentive Plan</w:t>
            </w: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Kevin A Reinis</w:t>
            </w: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Representative:</w:t>
            </w: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4608 Hero Court</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Austin, TX 78735</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H: 512.358.9198</w:t>
            </w:r>
          </w:p>
        </w:tc>
      </w:tr>
      <w:tr>
        <w:trPr>
          <w:trHeight w:val="216"/>
        </w:trPr>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Arial" w:cs="Arial" w:eastAsia="Arial" w:hAnsi="Arial"/>
                <w:sz w:val="18"/>
                <w:szCs w:val="18"/>
                <w:color w:val="auto"/>
              </w:rPr>
              <w:t>C: 512.657.5573</w:t>
            </w:r>
          </w:p>
        </w:tc>
      </w:tr>
      <w:tr>
        <w:trPr>
          <w:trHeight w:val="190"/>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40" w:type="dxa"/>
            <w:vAlign w:val="bottom"/>
            <w:gridSpan w:val="2"/>
          </w:tcPr>
          <w:p>
            <w:pPr>
              <w:ind w:left="760"/>
              <w:spacing w:after="0" w:line="190" w:lineRule="exact"/>
              <w:rPr>
                <w:sz w:val="20"/>
                <w:szCs w:val="20"/>
                <w:color w:val="auto"/>
              </w:rPr>
            </w:pPr>
            <w:r>
              <w:rPr>
                <w:rFonts w:ascii="Arial" w:cs="Arial" w:eastAsia="Arial" w:hAnsi="Arial"/>
                <w:sz w:val="18"/>
                <w:szCs w:val="18"/>
                <w:color w:val="auto"/>
                <w:w w:val="90"/>
              </w:rPr>
              <w:t>Personal Email: kareinis@gmail.com</w:t>
            </w:r>
          </w:p>
        </w:tc>
      </w:tr>
      <w:tr>
        <w:trPr>
          <w:trHeight w:val="304"/>
        </w:trPr>
        <w:tc>
          <w:tcPr>
            <w:tcW w:w="2380" w:type="dxa"/>
            <w:vAlign w:val="bottom"/>
            <w:gridSpan w:val="3"/>
          </w:tcPr>
          <w:p>
            <w:pPr>
              <w:spacing w:after="0"/>
              <w:rPr>
                <w:sz w:val="20"/>
                <w:szCs w:val="20"/>
                <w:color w:val="auto"/>
              </w:rPr>
            </w:pPr>
            <w:r>
              <w:rPr>
                <w:rFonts w:ascii="Arial" w:cs="Arial" w:eastAsia="Arial" w:hAnsi="Arial"/>
                <w:sz w:val="18"/>
                <w:szCs w:val="18"/>
                <w:color w:val="auto"/>
              </w:rPr>
              <w:t>9.02 Severability.</w:t>
            </w:r>
          </w:p>
        </w:tc>
        <w:tc>
          <w:tcPr>
            <w:tcW w:w="194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Merger be consummated as originally contemplated to the fullest extent possible.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Entire Agreement; Assignment.</w:t>
      </w:r>
    </w:p>
    <w:p>
      <w:pPr>
        <w:spacing w:after="0" w:line="11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except that Parent and Merger Sub may assign all or any of their rights and obligations hereunder to any affiliate of Parent, provided that no such assignment shall relieve the assigning party of its obligations hereunder if such assignee does not perform such obligations.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Parties in Interest.</w:t>
      </w:r>
    </w:p>
    <w:p>
      <w:pPr>
        <w:spacing w:after="0" w:line="117"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 5.08 (which is intended to be for the benefit of the persons covered thereby and may be enforced by such persons) and any rights conferred hereunder to Incentive Plan Participants, exercisable through the Incentive Plan Representative. Notwithstanding the foregoing, the Escrow Agreement identifies Square 1 Bank as an intended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68" w:right="339" w:bottom="1440" w:gutter="0" w:footer="0" w:header="0"/>
        </w:sectPr>
      </w:pPr>
    </w:p>
    <w:bookmarkStart w:id="82" w:name="page83"/>
    <w:bookmarkEnd w:id="82"/>
    <w:p>
      <w:pPr>
        <w:ind w:right="600"/>
        <w:spacing w:after="0" w:line="277" w:lineRule="auto"/>
        <w:rPr>
          <w:sz w:val="20"/>
          <w:szCs w:val="20"/>
          <w:color w:val="auto"/>
        </w:rPr>
      </w:pPr>
      <w:r>
        <w:rPr>
          <w:rFonts w:ascii="Arial" w:cs="Arial" w:eastAsia="Arial" w:hAnsi="Arial"/>
          <w:sz w:val="18"/>
          <w:szCs w:val="18"/>
          <w:color w:val="auto"/>
        </w:rPr>
        <w:t>third party beneficiary hereunder of what is referred to therein as the “Square 1 Payments,” which are provided for hereinabove, and the parties hereto acknowledge that such is in fact the case.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ind w:right="380" w:firstLine="222"/>
        <w:spacing w:after="0" w:line="342" w:lineRule="auto"/>
        <w:rPr>
          <w:sz w:val="20"/>
          <w:szCs w:val="20"/>
          <w:color w:val="auto"/>
        </w:rPr>
      </w:pPr>
      <w:r>
        <w:rPr>
          <w:rFonts w:ascii="Arial" w:cs="Arial" w:eastAsia="Arial" w:hAnsi="Arial"/>
          <w:sz w:val="16"/>
          <w:szCs w:val="16"/>
          <w:color w:val="auto"/>
        </w:rPr>
        <w:t>The parties hereto agree that irreparable damage would occur in the event any provision of this Agreement were not performed in accordance with the terms hereof and that the parties shall be entitled to specific performance of the terms hereof, in addition to any other remedy at law or equity.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Governing Law and Consent to Jurisdiction.</w:t>
      </w:r>
    </w:p>
    <w:p>
      <w:pPr>
        <w:spacing w:after="0" w:line="117"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This Agreement shall be governed by, and construed in accordance with, the laws of the State of Delaware applicable to contracts executed in and to be performed in that State. The parties hereto hereby irrevocably submit to the exclusive jurisdiction of the courts of the State of Utah and the Federal courts of the United States of America located within the County of Salt Lake in the State of Utah solely in respect of the interpretation and enforcement of the provisions of this Agreement and of the documents referred to in this Agreement, and in respect of the transactions contemplated hereby and thereby (including resolution of disputes under Section 8.13(c)),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Utah State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Section 9.01 or in such other manner as may be permitted by applicable law, shall be valid and sufficient service thereof. With respect to any particular action, suit or proceeding, venue shall lie solely in Salt Lake County, Utah.</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Waiver of Jury Trial.</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or the Merger.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Merger, as applicable, by, among other things, the mutual waivers and certifications in this Section 9.07.</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descriptive headings contained in this Agreement are included for convenience of reference only and shall not affect in any way the meaning or interpretation of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left="240"/>
        <w:spacing w:after="0"/>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Agreement may be executed and delivered (including by facsimile transmission) in one or more counterparts, and by the different parties hereto in separate counterparts, each of which when executed shall be deemed to be an original but all of which taken together shall constitute one and the same agreement.</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Follow]</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35" w:right="519" w:bottom="1440" w:gutter="0" w:footer="0" w:header="0"/>
        </w:sectPr>
      </w:pPr>
    </w:p>
    <w:bookmarkStart w:id="84" w:name="page85"/>
    <w:bookmarkEnd w:id="84"/>
    <w:p>
      <w:pPr>
        <w:ind w:firstLine="225"/>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as of the date first written above by their respective officers thereunto duly authorized.</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CLEARONE COMMUNICATIONS,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CEO</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ALTA-WASATCH ACQUISITION CORPORATION</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CEO</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NETSTREAMS,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Kevin A. Reinis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Kevin A. Reinis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CEO</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AUSTIN VENTURES VIII, L.P.</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Joseph C. Aragona</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Joseph C. Aragona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9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General Partner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INCENTIVE PLAN REPRESENTATIVE:</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Kevin A. Reinis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KEVIN A. REINIS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-130810</wp:posOffset>
            </wp:positionV>
            <wp:extent cx="29927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935" w:right="4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99" w:lineRule="exact"/>
        <w:rPr>
          <w:sz w:val="20"/>
          <w:szCs w:val="20"/>
          <w:color w:val="auto"/>
        </w:rPr>
      </w:pPr>
    </w:p>
    <w:p>
      <w:pPr>
        <w:ind w:right="680" w:firstLine="222"/>
        <w:spacing w:after="0" w:line="289" w:lineRule="auto"/>
        <w:rPr>
          <w:sz w:val="20"/>
          <w:szCs w:val="20"/>
          <w:color w:val="auto"/>
        </w:rPr>
      </w:pPr>
      <w:r>
        <w:rPr>
          <w:rFonts w:ascii="Arial" w:cs="Arial" w:eastAsia="Arial" w:hAnsi="Arial"/>
          <w:sz w:val="17"/>
          <w:szCs w:val="17"/>
          <w:color w:val="auto"/>
        </w:rPr>
        <w:t>This Joinder to Loan and Security Agreement (this “</w:t>
      </w:r>
      <w:r>
        <w:rPr>
          <w:rFonts w:ascii="Arial" w:cs="Arial" w:eastAsia="Arial" w:hAnsi="Arial"/>
          <w:sz w:val="17"/>
          <w:szCs w:val="17"/>
          <w:b w:val="1"/>
          <w:bCs w:val="1"/>
          <w:color w:val="auto"/>
        </w:rPr>
        <w:t>Joinder</w:t>
      </w:r>
      <w:r>
        <w:rPr>
          <w:rFonts w:ascii="Arial" w:cs="Arial" w:eastAsia="Arial" w:hAnsi="Arial"/>
          <w:sz w:val="17"/>
          <w:szCs w:val="17"/>
          <w:color w:val="auto"/>
        </w:rPr>
        <w:t xml:space="preserve">”), dated as of November 3, 2009, is executed and delivered by </w:t>
      </w:r>
      <w:r>
        <w:rPr>
          <w:rFonts w:ascii="Arial" w:cs="Arial" w:eastAsia="Arial" w:hAnsi="Arial"/>
          <w:sz w:val="17"/>
          <w:szCs w:val="17"/>
          <w:b w:val="1"/>
          <w:bCs w:val="1"/>
          <w:color w:val="auto"/>
        </w:rPr>
        <w:t>CLEARONE</w:t>
      </w:r>
      <w:r>
        <w:rPr>
          <w:rFonts w:ascii="Arial" w:cs="Arial" w:eastAsia="Arial" w:hAnsi="Arial"/>
          <w:sz w:val="17"/>
          <w:szCs w:val="17"/>
          <w:color w:val="auto"/>
        </w:rPr>
        <w:t xml:space="preserve"> </w:t>
      </w:r>
      <w:r>
        <w:rPr>
          <w:rFonts w:ascii="Arial" w:cs="Arial" w:eastAsia="Arial" w:hAnsi="Arial"/>
          <w:sz w:val="17"/>
          <w:szCs w:val="17"/>
          <w:b w:val="1"/>
          <w:bCs w:val="1"/>
          <w:color w:val="auto"/>
        </w:rPr>
        <w:t>COMMUNICATIONS, INC.</w:t>
      </w:r>
      <w:r>
        <w:rPr>
          <w:rFonts w:ascii="Arial" w:cs="Arial" w:eastAsia="Arial" w:hAnsi="Arial"/>
          <w:sz w:val="17"/>
          <w:szCs w:val="17"/>
          <w:color w:val="auto"/>
        </w:rPr>
        <w:t>, a Utah corporation (“</w:t>
      </w:r>
      <w:r>
        <w:rPr>
          <w:rFonts w:ascii="Arial" w:cs="Arial" w:eastAsia="Arial" w:hAnsi="Arial"/>
          <w:sz w:val="17"/>
          <w:szCs w:val="17"/>
          <w:b w:val="1"/>
          <w:bCs w:val="1"/>
          <w:color w:val="auto"/>
        </w:rPr>
        <w:t>New Borrower</w:t>
      </w:r>
      <w:r>
        <w:rPr>
          <w:rFonts w:ascii="Arial" w:cs="Arial" w:eastAsia="Arial" w:hAnsi="Arial"/>
          <w:sz w:val="17"/>
          <w:szCs w:val="17"/>
          <w:color w:val="auto"/>
        </w:rPr>
        <w:t>”), and</w:t>
      </w:r>
      <w:r>
        <w:rPr>
          <w:rFonts w:ascii="Arial" w:cs="Arial" w:eastAsia="Arial" w:hAnsi="Arial"/>
          <w:sz w:val="17"/>
          <w:szCs w:val="17"/>
          <w:b w:val="1"/>
          <w:bCs w:val="1"/>
          <w:color w:val="auto"/>
        </w:rPr>
        <w:t xml:space="preserve"> SQUARE 1 BANK </w:t>
      </w: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 Capitalized terms used herein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defined herein shall have the meanings ascribed to those terms in the Loan Agreement as defined below.</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180" w:firstLine="225"/>
        <w:spacing w:after="0" w:line="256" w:lineRule="auto"/>
        <w:rPr>
          <w:sz w:val="20"/>
          <w:szCs w:val="20"/>
          <w:color w:val="auto"/>
        </w:rPr>
      </w:pPr>
      <w:r>
        <w:rPr>
          <w:rFonts w:ascii="Arial" w:cs="Arial" w:eastAsia="Arial" w:hAnsi="Arial"/>
          <w:sz w:val="18"/>
          <w:szCs w:val="18"/>
          <w:color w:val="auto"/>
        </w:rPr>
        <w:t>a. Netstreams, Inc., a Delaware corporation and Netstreams, LLC, a Delaware limited liability company (collectively, “</w:t>
      </w:r>
      <w:r>
        <w:rPr>
          <w:rFonts w:ascii="Arial" w:cs="Arial" w:eastAsia="Arial" w:hAnsi="Arial"/>
          <w:sz w:val="18"/>
          <w:szCs w:val="18"/>
          <w:b w:val="1"/>
          <w:bCs w:val="1"/>
          <w:color w:val="auto"/>
        </w:rPr>
        <w:t>Borrower</w:t>
      </w:r>
      <w:r>
        <w:rPr>
          <w:rFonts w:ascii="Arial" w:cs="Arial" w:eastAsia="Arial" w:hAnsi="Arial"/>
          <w:sz w:val="18"/>
          <w:szCs w:val="18"/>
          <w:color w:val="auto"/>
        </w:rPr>
        <w:t>”) and the Bank are parties to that certain Loan and Security Agreement dated as of November 12, 2008 (the “</w:t>
      </w:r>
      <w:r>
        <w:rPr>
          <w:rFonts w:ascii="Arial" w:cs="Arial" w:eastAsia="Arial" w:hAnsi="Arial"/>
          <w:sz w:val="18"/>
          <w:szCs w:val="18"/>
          <w:b w:val="1"/>
          <w:bCs w:val="1"/>
          <w:color w:val="auto"/>
        </w:rPr>
        <w:t>Loan Agreement</w:t>
      </w:r>
      <w:r>
        <w:rPr>
          <w:rFonts w:ascii="Arial" w:cs="Arial" w:eastAsia="Arial" w:hAnsi="Arial"/>
          <w:sz w:val="18"/>
          <w:szCs w:val="18"/>
          <w:color w:val="auto"/>
        </w:rPr>
        <w:t>”), and the Loan Agreement has been amended from time to time, most recently by that “Fifth Amendment to Forbearance Agreement and Sixth Amendment to Loan and Security Agreement” dated October 8, 2009 (as so amended from time to time, the “</w:t>
      </w:r>
      <w:r>
        <w:rPr>
          <w:rFonts w:ascii="Arial" w:cs="Arial" w:eastAsia="Arial" w:hAnsi="Arial"/>
          <w:sz w:val="18"/>
          <w:szCs w:val="18"/>
          <w:b w:val="1"/>
          <w:bCs w:val="1"/>
          <w:color w:val="auto"/>
        </w:rPr>
        <w:t>Original Loan Agreement</w:t>
      </w:r>
      <w:r>
        <w:rPr>
          <w:rFonts w:ascii="Arial" w:cs="Arial" w:eastAsia="Arial" w:hAnsi="Arial"/>
          <w:sz w:val="18"/>
          <w:szCs w:val="18"/>
          <w:color w:val="auto"/>
        </w:rPr>
        <w:t>”). Additionally, there is a Sixth Amendment to Forbearance Agreement dated October 29, 2009 (the “Sixth Amendment to Forbearance Agreement”), amending the Forbearance Agreement and First Amendment to Loan and Security Agreement dated as of March 31, 2009.</w:t>
      </w:r>
    </w:p>
    <w:p>
      <w:pPr>
        <w:spacing w:after="0" w:line="80"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color w:val="auto"/>
        </w:rPr>
        <w:t>b. Subject to the consummation of the Acquisition, defined below, from and after the effectiveness of the Acquisition (the “</w:t>
      </w:r>
      <w:r>
        <w:rPr>
          <w:rFonts w:ascii="Arial" w:cs="Arial" w:eastAsia="Arial" w:hAnsi="Arial"/>
          <w:sz w:val="18"/>
          <w:szCs w:val="18"/>
          <w:b w:val="1"/>
          <w:bCs w:val="1"/>
          <w:color w:val="auto"/>
        </w:rPr>
        <w:t>Effective Time</w:t>
      </w:r>
      <w:r>
        <w:rPr>
          <w:rFonts w:ascii="Arial" w:cs="Arial" w:eastAsia="Arial" w:hAnsi="Arial"/>
          <w:sz w:val="18"/>
          <w:szCs w:val="18"/>
          <w:color w:val="auto"/>
        </w:rPr>
        <w:t>”) New Borrower, Borrower, and the Bank desire to supplement the terms and provisions of the Original Loan Agreement as provided herein, and the Original Loan Agreement as supplemented by this Joinder, and as may be hereafter further supplemented, amended, modified or restated from time to time, shall be referred to collectively as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72" w:lineRule="exact"/>
        <w:rPr>
          <w:sz w:val="20"/>
          <w:szCs w:val="20"/>
          <w:color w:val="auto"/>
        </w:rPr>
      </w:pPr>
    </w:p>
    <w:p>
      <w:pPr>
        <w:jc w:val="both"/>
        <w:ind w:right="20" w:firstLine="225"/>
        <w:spacing w:after="0" w:line="314" w:lineRule="auto"/>
        <w:rPr>
          <w:sz w:val="20"/>
          <w:szCs w:val="20"/>
          <w:color w:val="auto"/>
        </w:rPr>
      </w:pPr>
      <w:r>
        <w:rPr>
          <w:rFonts w:ascii="Arial" w:cs="Arial" w:eastAsia="Arial" w:hAnsi="Arial"/>
          <w:sz w:val="16"/>
          <w:szCs w:val="16"/>
          <w:color w:val="auto"/>
        </w:rPr>
        <w:t>c. Borrower intends to enter into an agreement with New Borrower through which New Borrower will acquire Borrower (the “</w:t>
      </w:r>
      <w:r>
        <w:rPr>
          <w:rFonts w:ascii="Arial" w:cs="Arial" w:eastAsia="Arial" w:hAnsi="Arial"/>
          <w:sz w:val="16"/>
          <w:szCs w:val="16"/>
          <w:b w:val="1"/>
          <w:bCs w:val="1"/>
          <w:color w:val="auto"/>
        </w:rPr>
        <w:t>Acquisition</w:t>
      </w:r>
      <w:r>
        <w:rPr>
          <w:rFonts w:ascii="Arial" w:cs="Arial" w:eastAsia="Arial" w:hAnsi="Arial"/>
          <w:sz w:val="16"/>
          <w:szCs w:val="16"/>
          <w:color w:val="auto"/>
        </w:rPr>
        <w:t>”). Bank hereby provides its consent to such Acquisition and waives any provisions in the Loan Agreement which would be applicable to such Acquisition; provided that New Borrower executes this Joinder for the purpose of acknowledging that it is and shall be a Borrower under the Loan Agreement and the other Loan Documents.</w:t>
      </w:r>
    </w:p>
    <w:p>
      <w:pPr>
        <w:spacing w:after="0" w:line="38" w:lineRule="exact"/>
        <w:rPr>
          <w:sz w:val="20"/>
          <w:szCs w:val="20"/>
          <w:color w:val="auto"/>
        </w:rPr>
      </w:pPr>
    </w:p>
    <w:p>
      <w:pPr>
        <w:ind w:right="420" w:firstLine="225"/>
        <w:spacing w:after="0" w:line="342" w:lineRule="auto"/>
        <w:rPr>
          <w:sz w:val="20"/>
          <w:szCs w:val="20"/>
          <w:color w:val="auto"/>
        </w:rPr>
      </w:pPr>
      <w:r>
        <w:rPr>
          <w:rFonts w:ascii="Arial" w:cs="Arial" w:eastAsia="Arial" w:hAnsi="Arial"/>
          <w:sz w:val="16"/>
          <w:szCs w:val="16"/>
          <w:color w:val="auto"/>
        </w:rPr>
        <w:t>d. New Borrower has read and approved the Loan Documents and has asked Bank to agree to allow New Borrower to become a party to the Loan Documents in order to facilitate its ability to continue to operate its business by achieving a stronger financial base for itself and its affiliated companies.</w:t>
      </w:r>
    </w:p>
    <w:p>
      <w:pPr>
        <w:spacing w:after="0" w:line="12"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herein contained, and for other good and valuable consideration (the receipt, sufficiency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hereto (intending to be legally bound) hereby agree as follows:</w:t>
      </w:r>
    </w:p>
    <w:p>
      <w:pPr>
        <w:spacing w:after="0" w:line="58" w:lineRule="exact"/>
        <w:rPr>
          <w:sz w:val="20"/>
          <w:szCs w:val="20"/>
          <w:color w:val="auto"/>
        </w:rPr>
      </w:pPr>
    </w:p>
    <w:p>
      <w:pPr>
        <w:ind w:left="640" w:hanging="182"/>
        <w:spacing w:after="0"/>
        <w:tabs>
          <w:tab w:leader="none" w:pos="64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The foregoing preamble and recitals are incorporated herein by this reference.</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Joinder and Assumption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683"/>
        <w:spacing w:after="0" w:line="288" w:lineRule="auto"/>
        <w:tabs>
          <w:tab w:leader="none" w:pos="917" w:val="left"/>
        </w:tabs>
        <w:numPr>
          <w:ilvl w:val="2"/>
          <w:numId w:val="98"/>
        </w:numPr>
        <w:rPr>
          <w:rFonts w:ascii="Arial" w:cs="Arial" w:eastAsia="Arial" w:hAnsi="Arial"/>
          <w:sz w:val="16"/>
          <w:szCs w:val="16"/>
          <w:color w:val="auto"/>
        </w:rPr>
      </w:pPr>
      <w:r>
        <w:rPr>
          <w:rFonts w:ascii="Arial" w:cs="Arial" w:eastAsia="Arial" w:hAnsi="Arial"/>
          <w:sz w:val="16"/>
          <w:szCs w:val="16"/>
          <w:color w:val="auto"/>
        </w:rPr>
        <w:t>This Agreement shall not be effective until the Acquisition is consummated, which is the Effective Time. From and after the Effective Time, New Borrower hereby absolutely and unconditionally joins as and becomes a party to the Loan Agreement as a Borrower thereunder, (ii) assumes, as a joint and several obligor thereunder, all of the obligations, liabilities and indemnities of a Borrower under the Loan Agreement and all other Loan Documents, and</w:t>
      </w: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covenants and agrees to be bound by and adhere to all of the terms, covenants, waivers, releases,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ind w:right="240"/>
        <w:spacing w:after="0" w:line="279" w:lineRule="auto"/>
        <w:rPr>
          <w:sz w:val="20"/>
          <w:szCs w:val="20"/>
          <w:color w:val="auto"/>
        </w:rPr>
      </w:pPr>
      <w:r>
        <w:rPr>
          <w:rFonts w:ascii="Arial" w:cs="Arial" w:eastAsia="Arial" w:hAnsi="Arial"/>
          <w:sz w:val="17"/>
          <w:szCs w:val="17"/>
          <w:color w:val="auto"/>
        </w:rPr>
        <w:t>conditions of or respecting a Borrower with respect to the Loan Agreement and the other Loan Documents and all of the representations and warranties contained in the Loan Agreement (in the manner set forth in Section 4 of this Joinder) and the other Loan Documents with respect to New Borrower. From and after the Effective Time, any reference to the term “Borrower” in the Loan Agreement shall also include New Borrower. Except as expressly provided herein, the Loan Agreement remains in full force and effect and is hereby ratified and confirmed in all respects.</w:t>
      </w:r>
    </w:p>
    <w:p>
      <w:pPr>
        <w:spacing w:after="0" w:line="63" w:lineRule="exact"/>
        <w:rPr>
          <w:sz w:val="20"/>
          <w:szCs w:val="20"/>
          <w:color w:val="auto"/>
        </w:rPr>
      </w:pPr>
    </w:p>
    <w:p>
      <w:pPr>
        <w:ind w:right="40" w:firstLine="683"/>
        <w:spacing w:after="0" w:line="259" w:lineRule="auto"/>
        <w:tabs>
          <w:tab w:leader="none" w:pos="93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Notwithstanding the foregoing and the provisions of the Section 4 of the Loan Agreement, New Borrower shall not be required to and does not grant any security interest in any of New Borrower’s now owned and existing and hereafter acquired and arising assets as collateral for the Liabilities. For clarity, New Borrower understands that the existing collateral arrangement with respect to Borrower’s assets shall continue per the terms of the Original Loan Agreement.</w:t>
      </w:r>
    </w:p>
    <w:p>
      <w:pPr>
        <w:spacing w:after="0" w:line="78" w:lineRule="exact"/>
        <w:rPr>
          <w:rFonts w:ascii="Arial" w:cs="Arial" w:eastAsia="Arial" w:hAnsi="Arial"/>
          <w:sz w:val="18"/>
          <w:szCs w:val="18"/>
          <w:color w:val="auto"/>
        </w:rPr>
      </w:pPr>
    </w:p>
    <w:p>
      <w:pPr>
        <w:ind w:right="320" w:firstLine="683"/>
        <w:spacing w:after="0" w:line="277" w:lineRule="auto"/>
        <w:tabs>
          <w:tab w:leader="none" w:pos="91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Bank acknowledges that the representation of NetStreams, LLC, in the Sixth Amendment to Forbearance Agreement regarding solvency may not have been accurate at such time and agrees to waive that specific representation.</w:t>
      </w:r>
    </w:p>
    <w:p>
      <w:pPr>
        <w:spacing w:after="0" w:line="62" w:lineRule="exact"/>
        <w:rPr>
          <w:rFonts w:ascii="Arial" w:cs="Arial" w:eastAsia="Arial" w:hAnsi="Arial"/>
          <w:sz w:val="18"/>
          <w:szCs w:val="18"/>
          <w:color w:val="auto"/>
        </w:rPr>
      </w:pPr>
    </w:p>
    <w:p>
      <w:pPr>
        <w:ind w:right="360" w:firstLine="458"/>
        <w:spacing w:after="0" w:line="272" w:lineRule="auto"/>
        <w:tabs>
          <w:tab w:leader="none" w:pos="63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Consent to Terms of Acquisition</w:t>
      </w:r>
      <w:r>
        <w:rPr>
          <w:rFonts w:ascii="Arial" w:cs="Arial" w:eastAsia="Arial" w:hAnsi="Arial"/>
          <w:sz w:val="17"/>
          <w:szCs w:val="17"/>
          <w:color w:val="auto"/>
        </w:rPr>
        <w:t>. Bank hereby provides its consent to such Acquisition and waives any provisions in the Loan Agreement which would be applicable to such Acquisition; provided that New Borrower executes this Joinder for the purpose of acknowledging that it is and shall be a Borrower under the Loan Agreement and the other Loan Documents. In connection with the Acquisition and the requirements of Section 7.9 of the Loan Agreement, Bank also provides it consent to the payment of Subordinated Debt to AV VIII Holdings, Inc., by New Borrower, on behalf of Borrower, the principal amount of $250,000, plus accrued and unpaid interest. Such payment shall not be considered a default under the terms of the Loan Agreement. Notwithstanding Bank’s consent to such payment, the Subordination Agreement between Bank and AV VIII Holdings, Inc. shall otherwise remain unmodified and in full force and effect following the date hereof.</w:t>
      </w:r>
    </w:p>
    <w:p>
      <w:pPr>
        <w:spacing w:after="0" w:line="69" w:lineRule="exact"/>
        <w:rPr>
          <w:rFonts w:ascii="Arial" w:cs="Arial" w:eastAsia="Arial" w:hAnsi="Arial"/>
          <w:sz w:val="17"/>
          <w:szCs w:val="17"/>
          <w:color w:val="auto"/>
        </w:rPr>
      </w:pPr>
    </w:p>
    <w:p>
      <w:pPr>
        <w:ind w:right="180" w:firstLine="458"/>
        <w:spacing w:after="0" w:line="257" w:lineRule="auto"/>
        <w:tabs>
          <w:tab w:leader="none" w:pos="63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New Borrower hereby represents and warrants to the Bank, which representations and warranties shall survive the execution and delivery hereof, that: (a) this Joinder is the legally valid and binding obligation of New Borrower, enforceable against New Borrower in accordance with its terms, (b) except as otherwise set forth below, each of the representations and warranties contained in the Original Loan Agreement, as well as all other representations and warranties contained in the other Loan Documents, are true and correct in all respects to the extent required under the Original Loan Agreement.</w:t>
      </w:r>
    </w:p>
    <w:p>
      <w:pPr>
        <w:spacing w:after="0" w:line="80" w:lineRule="exact"/>
        <w:rPr>
          <w:rFonts w:ascii="Arial" w:cs="Arial" w:eastAsia="Arial" w:hAnsi="Arial"/>
          <w:sz w:val="18"/>
          <w:szCs w:val="18"/>
          <w:color w:val="auto"/>
        </w:rPr>
      </w:pPr>
    </w:p>
    <w:p>
      <w:pPr>
        <w:ind w:right="40" w:firstLine="458"/>
        <w:spacing w:after="0" w:line="259" w:lineRule="auto"/>
        <w:tabs>
          <w:tab w:leader="none" w:pos="63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Joinder shall be binding upon New Borrower, the Borrowers, and the Bank and Bank’s successors and assigns, and shall inure to the benefit of the New Borrower, the Banks and the Bank’s successors and assigns. No other person or entity shall be a direct or indirect legal beneficiary of, or have any direct or indirect cause of action or claim in connection with, this Joinder. The New Borrower may not assign or transfer any of its rights or obligations under this Joinder without the prior written consent of the Bank.</w:t>
      </w:r>
    </w:p>
    <w:p>
      <w:pPr>
        <w:spacing w:after="0" w:line="78" w:lineRule="exact"/>
        <w:rPr>
          <w:rFonts w:ascii="Arial" w:cs="Arial" w:eastAsia="Arial" w:hAnsi="Arial"/>
          <w:sz w:val="18"/>
          <w:szCs w:val="18"/>
          <w:color w:val="auto"/>
        </w:rPr>
      </w:pPr>
    </w:p>
    <w:p>
      <w:pPr>
        <w:ind w:firstLine="458"/>
        <w:spacing w:after="0" w:line="279" w:lineRule="auto"/>
        <w:tabs>
          <w:tab w:leader="none" w:pos="63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Severability; Construction</w:t>
      </w:r>
      <w:r>
        <w:rPr>
          <w:rFonts w:ascii="Arial" w:cs="Arial" w:eastAsia="Arial" w:hAnsi="Arial"/>
          <w:sz w:val="17"/>
          <w:szCs w:val="17"/>
          <w:color w:val="auto"/>
        </w:rPr>
        <w:t>. Wherever possible, each provision of this Joinder shall be interpreted in such manner so as to be effective and valid under applicable law, but if any provision of this Joinder shall be prohibited by or invalid under applicable law, such provision shall be ineffective to the extent of such provision or invalidity, without invalidating the remainder of such provision or the remaining provisions of this Joinder. All obligations of the New Borrower and rights of the Bank expressed herein shall be in addition to and not in limitation of those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left="-458" w:right="40" w:firstLine="458"/>
        <w:spacing w:after="0" w:line="257" w:lineRule="auto"/>
        <w:tabs>
          <w:tab w:leader="none" w:pos="1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Counterparts; Facsimile and other Electronic Transmission</w:t>
      </w:r>
      <w:r>
        <w:rPr>
          <w:rFonts w:ascii="Arial" w:cs="Arial" w:eastAsia="Arial" w:hAnsi="Arial"/>
          <w:sz w:val="18"/>
          <w:szCs w:val="18"/>
          <w:color w:val="auto"/>
        </w:rPr>
        <w:t>. This Joinder may be executed in any number of counterparts and by the different parties hereto on separate counterparts and each such counterpart shall be deemed to be an original, but all such counterparts shall together constitute but one and the same Joinder. Receipt of an executed signature page to this Joinder by facsimile or other electronic transmission shall constitute for all purposes effective delivery thereof. Electronic records of this executed Joinder maintained by the Banks shall be deemed to be originals. The Recitals hereto are hereby made a part of this Joinder by this reference thereto.</w:t>
      </w:r>
    </w:p>
    <w:p>
      <w:pPr>
        <w:spacing w:after="0" w:line="76" w:lineRule="exact"/>
        <w:rPr>
          <w:rFonts w:ascii="Arial" w:cs="Arial" w:eastAsia="Arial" w:hAnsi="Arial"/>
          <w:sz w:val="18"/>
          <w:szCs w:val="18"/>
          <w:color w:val="auto"/>
        </w:rPr>
      </w:pPr>
    </w:p>
    <w:p>
      <w:pPr>
        <w:ind w:left="-458" w:right="220" w:firstLine="458"/>
        <w:spacing w:after="0" w:line="266" w:lineRule="auto"/>
        <w:tabs>
          <w:tab w:leader="none" w:pos="17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SHALL BE A CONTRACT MADE UNDER AND BE CONSTRUED, ENFORCED AND GOVERNED BY THE LAWS OF THE STATE OF NORTH CAROLINA APPLICABLE TO CONTRACTS MADE AND TO BE PERFORMED ENTIRELY WITHIN SUCH STATE, WITHOUT REGARD TO CONFLICT OF LAW PRINCIPLES.</w:t>
      </w:r>
    </w:p>
    <w:p>
      <w:pPr>
        <w:spacing w:after="0" w:line="68" w:lineRule="exact"/>
        <w:rPr>
          <w:rFonts w:ascii="Arial" w:cs="Arial" w:eastAsia="Arial" w:hAnsi="Arial"/>
          <w:sz w:val="18"/>
          <w:szCs w:val="18"/>
          <w:b w:val="1"/>
          <w:bCs w:val="1"/>
          <w:color w:val="auto"/>
        </w:rPr>
      </w:pPr>
    </w:p>
    <w:p>
      <w:pPr>
        <w:ind w:left="-458" w:firstLine="458"/>
        <w:spacing w:after="0" w:line="252" w:lineRule="auto"/>
        <w:tabs>
          <w:tab w:leader="none" w:pos="17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BANK AND BORROWER WAIVE ANY RIGHT TO A JURY TRIAL OF ANY CLAIM OR CAUSE OF ACTION BASED UPON OR ARISING OUT OF THIS AGREEMENT OR ANY TRANSACTION CONTEMPLATED HEREIN, INCLUDING CLAIMS BASED ON CONTRACT, TORT, BREACH OF DUTY AND ALL OTHER COMMON LAW OR STATUTORY BASES. ALL DISPUTES, CONTROVERSIES, CLAIMS, ACTIONS AND SIMILAR PROCEEDINGS ARISING WITH RESPECT TO BORROWER’S ACCOUNT OR ANY RELATED AGREEMENT OR TRANSACTION SHALL BE BROUGHT IN THE GENERAL COURT OF JUSTICE OF NORTH CAROLINA SITTING IN DURHAM COUNTY, NORTH CAROLINA OR THE UNITED STATES DISTRICT COURT FOR THE MIDDLE DISTRICT OF NORTH CAROLINA, EXCEPT AS PROVIDED BELOW WITH RESPECT TO ARBITRATION OF SUCH MATTERS. IF THE JURY WAIVER SET FORTH IN THIS SECTION IS NOT ENFORCEABLE, THEN ANY DISPUTE, CONTROVERSY OR CLAIM ARISING OUT OF OR RELATING TO THIS AGREEMENT OR ANY OF THE TRANSACTIONS CONTEMPLATED HEREIN WILL BE FINALLY SETTLED BY BINDING ARBITRATION IN DURHAM COUNTY, NORTH CAROLINA IN ACCORDANCE WITH THE THEN-CURRENT COMMERCIAL ARBITRATION RULES OF THE AMERICAN ARBITRATION ASSOCIATION BY ONE ARBITRATOR APPOINTED IN ACCORDANCE WITH SAID RULES. THE ARBITRATOR SHALL APPLY NORTH CAROLINA LAW TO THE RESOLUTION OF ANY DISPUTE, WITHOUT REFERENCE TO RULES OF CONFLICTS OF LAW OR RULES OF STATUTORY ARBITRATION. JUDGMENT ON THE AWARD RENDERED BY THE ARBITRATOR MAY BE ENTERED IN ANY COURT HAVING JURISDICTION THEREOF. NOTWITHSTANDING THE FOREGOING, THE PARTIES MAY APPLY TO ANY COURT OF COMPETENT JURISDICTION FOR PRELIMINARY OR INTERIM EQUITABLE RELIEF, OR TO COMPEL ARBITRATION IN ACCORDANCE WITH THIS PARAGRAPH. THE EXPENSES OF THE ARBITRATION, INCLUDING THE ARBITRATOR’S FEES, REASONABLE ATTORNEYS’ FEES AND EXPERT WITNESS FEES, INCURRED BY THE PARTIES TO THE ARBITRATION, MAY BE AWARDED TO THE PREVAILING PARTY, IN THE DISCRETION OF THE ARBITRATOR, OR MAY BE APPORTIONED BETWEEN THE PARTIES IN ANY MANNER DEEMED APPROPRIATE BY THE ARBITRATOR. UNLESS AND UNTIL THE ARBITRATOR DECIDES THAT ONE PARTY IS TO PAY FOR ALL (OR A SHARE) OF SUCH EXPENSES, BOTH PARTIES SHALL SHARE EQUALLY IN THE PAYMENT OF THE ARBITRATOR’S FEES AS AND WHEN BILLED BY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386715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2"/>
          </w:cols>
          <w:pgMar w:left="698" w:top="936" w:right="259" w:bottom="1440" w:gutter="0" w:footer="0" w:header="0"/>
        </w:sectPr>
      </w:pPr>
    </w:p>
    <w:bookmarkStart w:id="88" w:name="page89"/>
    <w:bookmarkEnd w:id="88"/>
    <w:p>
      <w:pPr>
        <w:ind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Joinder to Loan and Security Agreement to be duly executed and delivered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162"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NEW BORROWER</w:t>
      </w:r>
      <w:r>
        <w:rPr>
          <w:rFonts w:ascii="Arial" w:cs="Arial" w:eastAsia="Arial" w:hAnsi="Arial"/>
          <w:sz w:val="18"/>
          <w:szCs w:val="18"/>
          <w:b w:val="1"/>
          <w:bCs w:val="1"/>
          <w:color w:val="auto"/>
        </w:rPr>
        <w:t>:</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CLEARONE COMMUNICATIONS, INC.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tbl>
      <w:tblPr>
        <w:tblLayout w:type="fixed"/>
        <w:tblInd w:w="5420" w:type="dxa"/>
        <w:tblCellMar>
          <w:top w:w="0" w:type="dxa"/>
          <w:left w:w="0" w:type="dxa"/>
          <w:bottom w:w="0" w:type="dxa"/>
          <w:right w:w="0" w:type="dxa"/>
        </w:tblCellMar>
      </w:tblP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38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Zeynep Hakimoglu</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3860" w:type="dxa"/>
            <w:vAlign w:val="bottom"/>
          </w:tcPr>
          <w:p>
            <w:pPr>
              <w:ind w:left="40"/>
              <w:spacing w:after="0"/>
              <w:rPr>
                <w:sz w:val="20"/>
                <w:szCs w:val="20"/>
                <w:color w:val="auto"/>
              </w:rPr>
            </w:pPr>
            <w:r>
              <w:rPr>
                <w:rFonts w:ascii="Arial" w:cs="Arial" w:eastAsia="Arial" w:hAnsi="Arial"/>
                <w:sz w:val="18"/>
                <w:szCs w:val="18"/>
                <w:color w:val="auto"/>
              </w:rPr>
              <w:t>President and CEO</w:t>
            </w:r>
          </w:p>
        </w:tc>
      </w:tr>
    </w:tbl>
    <w:p>
      <w:pPr>
        <w:spacing w:after="0" w:line="198"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BANK</w:t>
      </w:r>
      <w:r>
        <w:rPr>
          <w:rFonts w:ascii="Arial" w:cs="Arial" w:eastAsia="Arial" w:hAnsi="Arial"/>
          <w:sz w:val="18"/>
          <w:szCs w:val="18"/>
          <w:b w:val="1"/>
          <w:bCs w:val="1"/>
          <w:color w:val="auto"/>
        </w:rPr>
        <w:t>:</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SQUARE 1 BANK</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Tommy Deavenport</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Tommy Deavenport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-130810</wp:posOffset>
            </wp:positionV>
            <wp:extent cx="27959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SVP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Acknowledged and Agreed</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NETSTREAMS,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Kevin A. Reinis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Kevin A. Reinis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44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NETSTREAMS,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Kevin A. Reinis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Kevin A. Reinis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44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CEO</w:t>
      </w:r>
    </w:p>
    <w:p>
      <w:pPr>
        <w:sectPr>
          <w:pgSz w:w="11900" w:h="16838" w:orient="portrait"/>
          <w:cols w:equalWidth="0" w:num="1">
            <w:col w:w="11180"/>
          </w:cols>
          <w:pgMar w:left="240" w:top="931" w:right="4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10.24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0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Seventh Amendment to Loan and Security Agreement (the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entered into as of November 3, 2009, by and between SQUARE 1 BANK (the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and CLEARONE COMMUNICATIONS, INC., NETSTREAMS, INC. AND NETSTREAMS, LLC (collectively, “</w:t>
      </w:r>
      <w:r>
        <w:rPr>
          <w:rFonts w:ascii="Arial" w:cs="Arial" w:eastAsia="Arial" w:hAnsi="Arial"/>
          <w:sz w:val="17"/>
          <w:szCs w:val="17"/>
          <w:b w:val="1"/>
          <w:bCs w:val="1"/>
          <w:i w:val="1"/>
          <w:iCs w:val="1"/>
          <w:color w:val="auto"/>
        </w:rPr>
        <w:t>Borrower</w:t>
      </w:r>
      <w:r>
        <w:rPr>
          <w:rFonts w:ascii="Arial" w:cs="Arial" w:eastAsia="Arial" w:hAnsi="Arial"/>
          <w:sz w:val="17"/>
          <w:szCs w:val="17"/>
          <w:i w:val="1"/>
          <w:iCs w:val="1"/>
          <w:color w:val="auto"/>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Borrower and Bank are parties to that certain Loan and Security Agreement dated as of November 12, 2008 (as amended from time to time, with related documents, including that certain Joinder to Loan and Security Agreement, of even date herewith,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The parties desire to amend the Loan Agreement in accordance with the terms of this Amendment.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17" w:lineRule="exact"/>
        <w:rPr>
          <w:sz w:val="20"/>
          <w:szCs w:val="20"/>
          <w:color w:val="auto"/>
        </w:rPr>
      </w:pPr>
    </w:p>
    <w:p>
      <w:pPr>
        <w:ind w:left="460" w:right="200" w:hanging="452"/>
        <w:spacing w:after="0" w:line="27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Bank and Borrower hereby agree that the Forbearance Agreement shall not be modified in any respect by this Amendment, and is and shall remain in full force and effect.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Section 2.1(c)(ii) of the Loan Agreement is hereby amended and restated, in its entirety, as follows:</w:t>
      </w:r>
    </w:p>
    <w:p>
      <w:pPr>
        <w:spacing w:after="0" w:line="117" w:lineRule="exact"/>
        <w:rPr>
          <w:rFonts w:ascii="Arial" w:cs="Arial" w:eastAsia="Arial" w:hAnsi="Arial"/>
          <w:sz w:val="18"/>
          <w:szCs w:val="18"/>
          <w:color w:val="auto"/>
        </w:rPr>
      </w:pPr>
    </w:p>
    <w:p>
      <w:pPr>
        <w:ind w:left="700" w:right="40" w:firstLine="218"/>
        <w:spacing w:after="0" w:line="259" w:lineRule="auto"/>
        <w:tabs>
          <w:tab w:leader="none" w:pos="11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Interest shall accrue from the date of each Term Loan at the rate specified in Section 2.3(a), and shall be payable monthly on the first day of each month. The entire principal amount of any Term Loans outstanding as of November 3, 2009, and any accrued and unpaid interest thereon, shall be due and payable on the Term Loan Maturity Date, Term Loans, once repaid, may not be reborrowed. Borrower may prepay any Term Loan without penalty or premium.</w:t>
      </w:r>
    </w:p>
    <w:p>
      <w:pPr>
        <w:spacing w:after="0" w:line="78"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Section 2.5(c) of the Loan Agreement is hereby amended and restated, in its entirety, as follows:</w:t>
      </w:r>
    </w:p>
    <w:p>
      <w:pPr>
        <w:spacing w:after="0" w:line="113" w:lineRule="exact"/>
        <w:rPr>
          <w:rFonts w:ascii="Arial" w:cs="Arial" w:eastAsia="Arial" w:hAnsi="Arial"/>
          <w:sz w:val="18"/>
          <w:szCs w:val="18"/>
          <w:color w:val="auto"/>
        </w:rPr>
      </w:pPr>
    </w:p>
    <w:p>
      <w:pPr>
        <w:ind w:left="1160" w:hanging="246"/>
        <w:spacing w:after="0"/>
        <w:tabs>
          <w:tab w:leader="none" w:pos="116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Success Fee/Earnout Payments.</w:t>
      </w:r>
    </w:p>
    <w:p>
      <w:pPr>
        <w:spacing w:after="0" w:line="121" w:lineRule="exact"/>
        <w:rPr>
          <w:rFonts w:ascii="Arial" w:cs="Arial" w:eastAsia="Arial" w:hAnsi="Arial"/>
          <w:sz w:val="18"/>
          <w:szCs w:val="18"/>
          <w:b w:val="1"/>
          <w:bCs w:val="1"/>
          <w:color w:val="auto"/>
        </w:rPr>
      </w:pPr>
    </w:p>
    <w:p>
      <w:pPr>
        <w:ind w:left="1580" w:hanging="213"/>
        <w:spacing w:after="0"/>
        <w:tabs>
          <w:tab w:leader="none" w:pos="1580" w:val="left"/>
        </w:tabs>
        <w:numPr>
          <w:ilvl w:val="2"/>
          <w:numId w:val="104"/>
        </w:numPr>
        <w:rPr>
          <w:rFonts w:ascii="Arial" w:cs="Arial" w:eastAsia="Arial" w:hAnsi="Arial"/>
          <w:sz w:val="18"/>
          <w:szCs w:val="18"/>
          <w:b w:val="1"/>
          <w:bCs w:val="1"/>
          <w:color w:val="auto"/>
        </w:rPr>
      </w:pPr>
      <w:r>
        <w:rPr>
          <w:rFonts w:ascii="Arial" w:cs="Arial" w:eastAsia="Arial" w:hAnsi="Arial"/>
          <w:sz w:val="18"/>
          <w:szCs w:val="18"/>
          <w:color w:val="auto"/>
        </w:rPr>
        <w:t>On November 3, 2009, Borrower shall pay to Bank a success fee, in Cash, in the amount of $10,000.</w:t>
      </w:r>
    </w:p>
    <w:p>
      <w:pPr>
        <w:spacing w:after="0" w:line="117" w:lineRule="exact"/>
        <w:rPr>
          <w:rFonts w:ascii="Arial" w:cs="Arial" w:eastAsia="Arial" w:hAnsi="Arial"/>
          <w:sz w:val="18"/>
          <w:szCs w:val="18"/>
          <w:b w:val="1"/>
          <w:bCs w:val="1"/>
          <w:color w:val="auto"/>
        </w:rPr>
      </w:pPr>
    </w:p>
    <w:p>
      <w:pPr>
        <w:ind w:left="700" w:right="140" w:firstLine="667"/>
        <w:spacing w:after="0" w:line="297" w:lineRule="auto"/>
        <w:tabs>
          <w:tab w:leader="none" w:pos="1640" w:val="left"/>
        </w:tabs>
        <w:numPr>
          <w:ilvl w:val="2"/>
          <w:numId w:val="104"/>
        </w:numPr>
        <w:rPr>
          <w:rFonts w:ascii="Arial" w:cs="Arial" w:eastAsia="Arial" w:hAnsi="Arial"/>
          <w:sz w:val="16"/>
          <w:szCs w:val="16"/>
          <w:b w:val="1"/>
          <w:bCs w:val="1"/>
          <w:color w:val="auto"/>
        </w:rPr>
      </w:pPr>
      <w:r>
        <w:rPr>
          <w:rFonts w:ascii="Arial" w:cs="Arial" w:eastAsia="Arial" w:hAnsi="Arial"/>
          <w:sz w:val="16"/>
          <w:szCs w:val="16"/>
          <w:color w:val="auto"/>
        </w:rPr>
        <w:t>If Earnout Consideration is paid pursuant to Section 2.01(g) of that certain Agreement and Plan of Merger, dated as of November 3, 2009, by and among ClearOne Communications, Inc., Alta-Wasatch Acquisition Corporation, NetStreams, Inc., Austin Ventures VIII, L.P., and the Incentive Plan Representative named therein (the “</w:t>
      </w:r>
      <w:r>
        <w:rPr>
          <w:rFonts w:ascii="Arial" w:cs="Arial" w:eastAsia="Arial" w:hAnsi="Arial"/>
          <w:sz w:val="16"/>
          <w:szCs w:val="16"/>
          <w:b w:val="1"/>
          <w:bCs w:val="1"/>
          <w:color w:val="auto"/>
        </w:rPr>
        <w:t>Merger Agreement</w:t>
      </w:r>
      <w:r>
        <w:rPr>
          <w:rFonts w:ascii="Arial" w:cs="Arial" w:eastAsia="Arial" w:hAnsi="Arial"/>
          <w:sz w:val="16"/>
          <w:szCs w:val="16"/>
          <w:color w:val="auto"/>
        </w:rPr>
        <w:t>”) with respect to the Year 1 Earnout or the Year 2 Earnout (each as defined in the Merger Agreement), to the extent funds are available, Borrower shall pay to Bank a success fee, in Cash, in the amount of $15,000 upon the payment to the earnout beneficiaries of the Year 1 Earnout and $15,000 upon the payment to the earnout beneficiaries of the Year 2 Earnout.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provisions of this Section 2.5(c) shall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672" w:right="2280" w:hanging="672"/>
        <w:spacing w:after="0" w:line="375" w:lineRule="auto"/>
        <w:tabs>
          <w:tab w:leader="none" w:pos="4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following definition in Exhibit A to the Loan Agreement is hereby amended and restated, in its entirety, as follows: “</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December 15, 2009.</w:t>
      </w:r>
    </w:p>
    <w:p>
      <w:pPr>
        <w:spacing w:after="0" w:line="1" w:lineRule="exact"/>
        <w:rPr>
          <w:rFonts w:ascii="Arial" w:cs="Arial" w:eastAsia="Arial" w:hAnsi="Arial"/>
          <w:sz w:val="18"/>
          <w:szCs w:val="18"/>
          <w:color w:val="auto"/>
        </w:rPr>
      </w:pPr>
    </w:p>
    <w:p>
      <w:pPr>
        <w:ind w:left="452" w:hanging="452"/>
        <w:spacing w:after="0" w:line="276" w:lineRule="auto"/>
        <w:tabs>
          <w:tab w:leader="none" w:pos="45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Unless otherwise defined, all initially capitalized terms in this Amendment shall be as defined in the Loan Agreement. The Loan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Loan Agreement, as in effect prior to the date hereof. Borrower ratifies and reaffirms the continuing effectiveness of all agreements entered into in connection with the Loan Agreement.</w:t>
      </w:r>
    </w:p>
    <w:p>
      <w:pPr>
        <w:spacing w:after="0" w:line="77" w:lineRule="exact"/>
        <w:rPr>
          <w:rFonts w:ascii="Arial" w:cs="Arial" w:eastAsia="Arial" w:hAnsi="Arial"/>
          <w:sz w:val="17"/>
          <w:szCs w:val="17"/>
          <w:color w:val="auto"/>
        </w:rPr>
      </w:pPr>
    </w:p>
    <w:p>
      <w:pPr>
        <w:ind w:left="452" w:right="220" w:hanging="452"/>
        <w:spacing w:after="0" w:line="277"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128" w:lineRule="exact"/>
        <w:rPr>
          <w:rFonts w:ascii="Arial" w:cs="Arial" w:eastAsia="Arial" w:hAnsi="Arial"/>
          <w:sz w:val="17"/>
          <w:szCs w:val="17"/>
          <w:color w:val="auto"/>
        </w:rPr>
      </w:pPr>
    </w:p>
    <w:p>
      <w:pPr>
        <w:ind w:left="1112" w:hanging="437"/>
        <w:spacing w:after="0"/>
        <w:tabs>
          <w:tab w:leader="none" w:pos="11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130" w:lineRule="exact"/>
        <w:rPr>
          <w:rFonts w:ascii="Arial" w:cs="Arial" w:eastAsia="Arial" w:hAnsi="Arial"/>
          <w:sz w:val="18"/>
          <w:szCs w:val="18"/>
          <w:color w:val="auto"/>
        </w:rPr>
      </w:pPr>
    </w:p>
    <w:p>
      <w:pPr>
        <w:ind w:left="1112" w:right="120" w:hanging="437"/>
        <w:spacing w:after="0" w:line="277" w:lineRule="auto"/>
        <w:tabs>
          <w:tab w:leader="none" w:pos="11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payment of all Bank expenses, including Bank’s expenses for the documentation of this Amendment and any related documents, which may be debited from any of Borrower’s accounts; and</w:t>
      </w:r>
    </w:p>
    <w:p>
      <w:pPr>
        <w:spacing w:after="0" w:line="75" w:lineRule="exact"/>
        <w:rPr>
          <w:rFonts w:ascii="Arial" w:cs="Arial" w:eastAsia="Arial" w:hAnsi="Arial"/>
          <w:sz w:val="18"/>
          <w:szCs w:val="18"/>
          <w:color w:val="auto"/>
        </w:rPr>
      </w:pPr>
    </w:p>
    <w:p>
      <w:pPr>
        <w:ind w:left="1112" w:hanging="437"/>
        <w:spacing w:after="0"/>
        <w:tabs>
          <w:tab w:leader="none" w:pos="11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Bank may reasonably deem necessary or appropriate.</w:t>
      </w:r>
    </w:p>
    <w:p>
      <w:pPr>
        <w:spacing w:after="0" w:line="333"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CLEARONE COMMUNICATIONS, INC.</w:t>
            </w:r>
          </w:p>
        </w:tc>
        <w:tc>
          <w:tcPr>
            <w:tcW w:w="5280" w:type="dxa"/>
            <w:vAlign w:val="bottom"/>
            <w:gridSpan w:val="2"/>
          </w:tcPr>
          <w:p>
            <w:pPr>
              <w:ind w:left="740"/>
              <w:spacing w:after="0"/>
              <w:rPr>
                <w:sz w:val="20"/>
                <w:szCs w:val="20"/>
                <w:color w:val="auto"/>
              </w:rPr>
            </w:pPr>
            <w:r>
              <w:rPr>
                <w:rFonts w:ascii="Arial" w:cs="Arial" w:eastAsia="Arial" w:hAnsi="Arial"/>
                <w:sz w:val="18"/>
                <w:szCs w:val="18"/>
                <w:b w:val="1"/>
                <w:bCs w:val="1"/>
                <w:color w:val="auto"/>
              </w:rPr>
              <w:t>SQUARE 1 BANK</w:t>
            </w: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By: /s/ Zeynep Hakimoglu</w:t>
            </w:r>
          </w:p>
        </w:tc>
        <w:tc>
          <w:tcPr>
            <w:tcW w:w="5280" w:type="dxa"/>
            <w:vAlign w:val="bottom"/>
            <w:gridSpan w:val="2"/>
          </w:tcPr>
          <w:p>
            <w:pPr>
              <w:ind w:left="740"/>
              <w:spacing w:after="0"/>
              <w:rPr>
                <w:sz w:val="20"/>
                <w:szCs w:val="20"/>
                <w:color w:val="auto"/>
              </w:rPr>
            </w:pPr>
            <w:r>
              <w:rPr>
                <w:rFonts w:ascii="Arial" w:cs="Arial" w:eastAsia="Arial" w:hAnsi="Arial"/>
                <w:sz w:val="18"/>
                <w:szCs w:val="18"/>
                <w:color w:val="auto"/>
              </w:rPr>
              <w:t>By:  /s/ Tommy Deavenport</w:t>
            </w:r>
          </w:p>
        </w:tc>
      </w:tr>
      <w:tr>
        <w:trPr>
          <w:trHeight w:val="224"/>
        </w:trPr>
        <w:tc>
          <w:tcPr>
            <w:tcW w:w="38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President and CEO</w:t>
            </w:r>
          </w:p>
        </w:tc>
        <w:tc>
          <w:tcPr>
            <w:tcW w:w="112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SVP</w:t>
            </w:r>
          </w:p>
        </w:tc>
      </w:tr>
      <w:tr>
        <w:trPr>
          <w:trHeight w:val="445"/>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NETSTREAMS, INC.</w:t>
            </w:r>
          </w:p>
        </w:tc>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By: /s/ Kevin A. Reinis</w:t>
            </w:r>
          </w:p>
        </w:tc>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CEO</w:t>
            </w:r>
          </w:p>
        </w:tc>
        <w:tc>
          <w:tcPr>
            <w:tcW w:w="112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445"/>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NETSTREAMS, LLC</w:t>
            </w:r>
          </w:p>
        </w:tc>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By: /s/ Kevin A. Reinis</w:t>
            </w:r>
          </w:p>
        </w:tc>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24"/>
        </w:trPr>
        <w:tc>
          <w:tcPr>
            <w:tcW w:w="38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CEO</w:t>
            </w:r>
          </w:p>
        </w:tc>
        <w:tc>
          <w:tcPr>
            <w:tcW w:w="1120" w:type="dxa"/>
            <w:vAlign w:val="bottom"/>
          </w:tcPr>
          <w:p>
            <w:pPr>
              <w:spacing w:after="0"/>
              <w:rPr>
                <w:sz w:val="19"/>
                <w:szCs w:val="19"/>
                <w:color w:val="auto"/>
              </w:rPr>
            </w:pPr>
          </w:p>
        </w:tc>
        <w:tc>
          <w:tcPr>
            <w:tcW w:w="4160" w:type="dxa"/>
            <w:vAlign w:val="bottom"/>
          </w:tcPr>
          <w:p>
            <w:pPr>
              <w:spacing w:after="0"/>
              <w:rPr>
                <w:sz w:val="19"/>
                <w:szCs w:val="19"/>
                <w:color w:val="auto"/>
              </w:rPr>
            </w:pPr>
          </w:p>
        </w:tc>
      </w:tr>
    </w:tbl>
    <w:p>
      <w:pPr>
        <w:spacing w:after="0" w:line="322"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[Signature Page to Seventh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NETSTREAMS,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93" w:name="page94"/>
    <w:bookmarkEnd w:id="93"/>
    <w:p>
      <w:pPr>
        <w:spacing w:after="0" w:line="308" w:lineRule="auto"/>
        <w:rPr>
          <w:sz w:val="20"/>
          <w:szCs w:val="20"/>
          <w:color w:val="auto"/>
        </w:rPr>
      </w:pPr>
      <w:r>
        <w:rPr>
          <w:rFonts w:ascii="Arial" w:cs="Arial" w:eastAsia="Arial" w:hAnsi="Arial"/>
          <w:sz w:val="17"/>
          <w:szCs w:val="17"/>
          <w:color w:val="auto"/>
        </w:rPr>
        <w:t>This LOAN AND SECURITY AGREEMENT (the “Agreement”) is entered into as of November 12, 2008, by and between Square 1 Bank (“Bank”) and each of NetStreams, Inc. (“Parent” and a “Borrower”) and NetStreams, LLC (a “Borrower”; collectively with Parent referred to herein as “Borrowers”).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DEFINITIONS AND CONSTRUCTION</w:t>
      </w:r>
      <w:r>
        <w:rPr>
          <w:rFonts w:ascii="Arial" w:cs="Arial" w:eastAsia="Arial" w:hAnsi="Arial"/>
          <w:sz w:val="18"/>
          <w:szCs w:val="18"/>
          <w:color w:val="auto"/>
        </w:rPr>
        <w:t>.</w:t>
      </w:r>
    </w:p>
    <w:p>
      <w:pPr>
        <w:spacing w:after="0" w:line="117" w:lineRule="exact"/>
        <w:rPr>
          <w:sz w:val="20"/>
          <w:szCs w:val="20"/>
          <w:color w:val="auto"/>
        </w:rPr>
      </w:pPr>
    </w:p>
    <w:p>
      <w:pPr>
        <w:ind w:left="240" w:right="260" w:firstLine="225"/>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As used in this Agreement, all capitalized terms shall have the definitions set forth on Exhibit A. Any term used in the Code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 given to the term in the Code.</w:t>
      </w:r>
    </w:p>
    <w:p>
      <w:pPr>
        <w:spacing w:after="0" w:line="54" w:lineRule="exact"/>
        <w:rPr>
          <w:sz w:val="20"/>
          <w:szCs w:val="20"/>
          <w:color w:val="auto"/>
        </w:rPr>
      </w:pPr>
    </w:p>
    <w:p>
      <w:pPr>
        <w:ind w:left="240" w:right="160" w:firstLine="225"/>
        <w:spacing w:after="0" w:line="258" w:lineRule="auto"/>
        <w:rPr>
          <w:sz w:val="20"/>
          <w:szCs w:val="20"/>
          <w:color w:val="auto"/>
        </w:rPr>
      </w:pPr>
      <w:r>
        <w:rPr>
          <w:rFonts w:ascii="Arial" w:cs="Arial" w:eastAsia="Arial" w:hAnsi="Arial"/>
          <w:sz w:val="18"/>
          <w:szCs w:val="18"/>
          <w:b w:val="1"/>
          <w:bCs w:val="1"/>
          <w:color w:val="auto"/>
        </w:rPr>
        <w:t>1.2 Accounting Terms</w:t>
      </w:r>
      <w:r>
        <w:rPr>
          <w:rFonts w:ascii="Arial" w:cs="Arial" w:eastAsia="Arial" w:hAnsi="Arial"/>
          <w:sz w:val="18"/>
          <w:szCs w:val="18"/>
          <w:color w:val="auto"/>
        </w:rPr>
        <w:t>. Any accounting term not specifically defined on Exhibit A shall be construed in accordance with GAAP and all calculations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in accordance with GAAP (except (i) for non-compliance with FAS 123R in monthly reporting, (ii) the absence of footnotes and subject to year end adjustments for unaudited financial statements, (iii) accruals are invoice based for unaudited financial statements, (iii) for the absence of depreciation calculations for unaudited financial statements, (iv) for the absence of payroll accruals). The term “financial statements” shall include the accompanying notes and schedules.</w:t>
      </w:r>
    </w:p>
    <w:p>
      <w:pPr>
        <w:spacing w:after="0" w:line="76" w:lineRule="exact"/>
        <w:rPr>
          <w:sz w:val="20"/>
          <w:szCs w:val="20"/>
          <w:color w:val="auto"/>
        </w:rPr>
      </w:pPr>
    </w:p>
    <w:p>
      <w:pPr>
        <w:ind w:left="420" w:hanging="187"/>
        <w:spacing w:after="0"/>
        <w:tabs>
          <w:tab w:leader="none" w:pos="4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LOAN AND TERMS OF PAYMENT</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Credit Extensions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40" w:right="100" w:firstLine="446"/>
        <w:spacing w:after="0" w:line="266" w:lineRule="auto"/>
        <w:tabs>
          <w:tab w:leader="none" w:pos="945"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Promise to Pay</w:t>
      </w:r>
      <w:r>
        <w:rPr>
          <w:rFonts w:ascii="Arial" w:cs="Arial" w:eastAsia="Arial" w:hAnsi="Arial"/>
          <w:sz w:val="18"/>
          <w:szCs w:val="18"/>
          <w:color w:val="auto"/>
        </w:rPr>
        <w:t>. Borrower promises to pay to Bank, in lawful money of the United States of America, the aggregate unpaid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Credit Extensions made by Bank to Borrower, together with interest on the unpaid principal amount of such Credit Extensions at rates in accordance with the terms hereof.</w:t>
      </w:r>
    </w:p>
    <w:p>
      <w:pPr>
        <w:spacing w:after="0" w:line="68" w:lineRule="exact"/>
        <w:rPr>
          <w:rFonts w:ascii="Arial" w:cs="Arial" w:eastAsia="Arial" w:hAnsi="Arial"/>
          <w:sz w:val="18"/>
          <w:szCs w:val="18"/>
          <w:b w:val="1"/>
          <w:bCs w:val="1"/>
          <w:color w:val="auto"/>
        </w:rPr>
      </w:pPr>
    </w:p>
    <w:p>
      <w:pPr>
        <w:ind w:left="940" w:hanging="254"/>
        <w:spacing w:after="0"/>
        <w:tabs>
          <w:tab w:leader="none" w:pos="94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Advances Under Formula Revolving Line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60" w:firstLine="683"/>
        <w:spacing w:after="0" w:line="261" w:lineRule="auto"/>
        <w:tabs>
          <w:tab w:leader="none" w:pos="88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Amount</w:t>
      </w:r>
      <w:r>
        <w:rPr>
          <w:rFonts w:ascii="Arial" w:cs="Arial" w:eastAsia="Arial" w:hAnsi="Arial"/>
          <w:sz w:val="18"/>
          <w:szCs w:val="18"/>
          <w:color w:val="auto"/>
        </w:rPr>
        <w:t>. Subject to and upon the terms and conditions of this Agreement, Borrower may request Advances in an aggregate outstanding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not to exceed the lesser of: (A) the Formula Revolving Line; or (B) the Borrowing Base, less any amounts outstanding under the Ancillary Services Sublimit. Amounts borrowed pursuant to this Section 2.1(b) may be repaid and reborrowed at any time prior to the Formula Revolving Maturity Date, at which time all Advances under this Section 2.1(b) shall be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LSA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immediately due and payable. Borrower may prepay any Advances without penalty or premium.</w:t>
      </w:r>
    </w:p>
    <w:p>
      <w:pPr>
        <w:spacing w:after="0" w:line="113" w:lineRule="exact"/>
        <w:rPr>
          <w:sz w:val="20"/>
          <w:szCs w:val="20"/>
          <w:color w:val="auto"/>
        </w:rPr>
      </w:pPr>
    </w:p>
    <w:p>
      <w:pPr>
        <w:ind w:firstLine="683"/>
        <w:spacing w:after="0" w:line="285" w:lineRule="auto"/>
        <w:tabs>
          <w:tab w:leader="none" w:pos="94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Form of Request</w:t>
      </w:r>
      <w:r>
        <w:rPr>
          <w:rFonts w:ascii="Arial" w:cs="Arial" w:eastAsia="Arial" w:hAnsi="Arial"/>
          <w:sz w:val="16"/>
          <w:szCs w:val="16"/>
          <w:color w:val="auto"/>
        </w:rPr>
        <w:t>. Whenever Borrower desires an Advance, Borrower will notify Bank by facsimile transmission, telephone or email no later</w:t>
      </w:r>
      <w:r>
        <w:rPr>
          <w:rFonts w:ascii="Arial" w:cs="Arial" w:eastAsia="Arial" w:hAnsi="Arial"/>
          <w:sz w:val="16"/>
          <w:szCs w:val="16"/>
          <w:b w:val="1"/>
          <w:bCs w:val="1"/>
          <w:color w:val="auto"/>
        </w:rPr>
        <w:t xml:space="preserve"> </w:t>
      </w:r>
      <w:r>
        <w:rPr>
          <w:rFonts w:ascii="Arial" w:cs="Arial" w:eastAsia="Arial" w:hAnsi="Arial"/>
          <w:sz w:val="16"/>
          <w:szCs w:val="16"/>
          <w:color w:val="auto"/>
        </w:rPr>
        <w:t>than 5:30 p.m. Eastern time (4:30 p.m. Eastern time for wire transfers), on the Business Day that the Advance is to be made. Each such notification shall be promptly confirmed by a Loan Advance/Paydown Request Form in substantially the form of Exhibit C. Bank is authorized to make Advances under this Agreement, based upon instructions received from a Responsible Officer or a designee of a Responsible Officer, or without instructions if in Bank’s discretion such Advances are necessary to meet Obligations which have become due and remain unpaid. Bank shall be entitled to rely on any telephonic or email notice given by a person whom Bank reasonably believes to be a Responsible Officer or a designee thereof, and Borrower shall indemnify and hold Bank harmless for any damages, loss, costs and expenses suffered by Bank as a result of such reliance. Bank will credit the amount of Advances made under this</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2.1(b) to Borrower’s deposit account.</w:t>
      </w:r>
    </w:p>
    <w:p>
      <w:pPr>
        <w:spacing w:after="0" w:line="98" w:lineRule="exact"/>
        <w:rPr>
          <w:rFonts w:ascii="Arial" w:cs="Arial" w:eastAsia="Arial" w:hAnsi="Arial"/>
          <w:sz w:val="16"/>
          <w:szCs w:val="16"/>
          <w:b w:val="1"/>
          <w:bCs w:val="1"/>
          <w:color w:val="auto"/>
        </w:rPr>
      </w:pPr>
    </w:p>
    <w:p>
      <w:pPr>
        <w:ind w:firstLine="683"/>
        <w:spacing w:after="0" w:line="290" w:lineRule="auto"/>
        <w:tabs>
          <w:tab w:leader="none" w:pos="98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Ancillary Services Sublimit</w:t>
      </w:r>
      <w:r>
        <w:rPr>
          <w:rFonts w:ascii="Arial" w:cs="Arial" w:eastAsia="Arial" w:hAnsi="Arial"/>
          <w:sz w:val="16"/>
          <w:szCs w:val="16"/>
          <w:color w:val="auto"/>
        </w:rPr>
        <w:t>. Subject to the availability under the Formula Revolving Line, at any time and from time to time from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through the Business Day immediately prior to the Formula Revolving Maturity Date, Borrower may request the provision of Ancillary Services from Bank. The aggregate limit of the Ancillary Services shall not exceed the Ancillary Services Sublimit, provided that availability under the Formula Revolving Line shall be reduced by the aggregate limits of (i) any outstanding and undrawn amounts under all Letters of Credit issued hereunder, (ii) corporate credit card services provided to Borrower, (iii) the total amount of any Automated Clearing House processing reserves, (iv) the applicable Foreign Exchange Reserve Percentage, and (v) any other reserves taken by Bank in connection with other treasury management services requested by Borrower and approved by Bank. In addition, Bank may, in its sole discretion, charge as Advances any amounts for which Bank becomes liable to third parties in connection with the provision of the Ancillary Services. The terms and conditions (including repayment and fees) of such Ancillary Services shall be subject to the terms and conditions of the Bank’s standard forms of application and agreement for the applicable Ancillary Services, which Borrower hereby agrees to execute.</w:t>
      </w:r>
    </w:p>
    <w:p>
      <w:pPr>
        <w:spacing w:after="0" w:line="51" w:lineRule="exact"/>
        <w:rPr>
          <w:rFonts w:ascii="Arial" w:cs="Arial" w:eastAsia="Arial" w:hAnsi="Arial"/>
          <w:sz w:val="16"/>
          <w:szCs w:val="16"/>
          <w:b w:val="1"/>
          <w:bCs w:val="1"/>
          <w:color w:val="auto"/>
        </w:rPr>
      </w:pPr>
    </w:p>
    <w:p>
      <w:pPr>
        <w:ind w:right="80" w:firstLine="683"/>
        <w:spacing w:after="0" w:line="255" w:lineRule="auto"/>
        <w:tabs>
          <w:tab w:leader="none" w:pos="9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Collateralization of Obligations Extending Beyond Maturity</w:t>
      </w:r>
      <w:r>
        <w:rPr>
          <w:rFonts w:ascii="Arial" w:cs="Arial" w:eastAsia="Arial" w:hAnsi="Arial"/>
          <w:sz w:val="18"/>
          <w:szCs w:val="18"/>
          <w:color w:val="auto"/>
        </w:rPr>
        <w:t>. If Borrower has not secured to Bank’s satisfaction its obligations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Ancillary Services by the Formula Revolving Maturity Date, then, effective as of such date, the balance in any deposit accounts held by Bank and the certificates of deposit or time deposit accounts issued by Bank in Borrower’s name (and any interest paid thereon or proceeds thereof, including any amounts payable upon the maturity or liquidation of such certificates or accounts), shall automatically secure such obligations to the extent of the then continuing or outstanding Ancillary Services. Borrower authorizes Bank to hold such balances in pledge and to decline to honor any drafts thereon or any requests by Borrower or any other Person to pay or otherwise transfer any part of such balances for so long as the applicable Ancillary Services are outstanding or continue.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ind w:left="640"/>
        <w:spacing w:after="0"/>
        <w:rPr>
          <w:sz w:val="20"/>
          <w:szCs w:val="20"/>
          <w:color w:val="auto"/>
        </w:rPr>
      </w:pPr>
      <w:r>
        <w:rPr>
          <w:rFonts w:ascii="Arial" w:cs="Arial" w:eastAsia="Arial" w:hAnsi="Arial"/>
          <w:sz w:val="18"/>
          <w:szCs w:val="18"/>
          <w:b w:val="1"/>
          <w:bCs w:val="1"/>
          <w:color w:val="auto"/>
        </w:rPr>
        <w:t>(c) Term Loan</w:t>
      </w:r>
      <w:r>
        <w:rPr>
          <w:rFonts w:ascii="Arial" w:cs="Arial" w:eastAsia="Arial" w:hAnsi="Arial"/>
          <w:sz w:val="18"/>
          <w:szCs w:val="18"/>
          <w:color w:val="auto"/>
        </w:rPr>
        <w:t>.</w:t>
      </w:r>
    </w:p>
    <w:p>
      <w:pPr>
        <w:spacing w:after="0" w:line="121" w:lineRule="exact"/>
        <w:rPr>
          <w:sz w:val="20"/>
          <w:szCs w:val="20"/>
          <w:color w:val="auto"/>
        </w:rPr>
      </w:pPr>
    </w:p>
    <w:p>
      <w:pPr>
        <w:ind w:left="-40" w:right="260" w:firstLine="683"/>
        <w:spacing w:after="0" w:line="259" w:lineRule="auto"/>
        <w:tabs>
          <w:tab w:leader="none" w:pos="85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Subject to and upon the terms and conditions of this Agreement, Bank agrees to make one (1) or more term loans to Borrower in an aggregate principal amount not to exceed Two Million Dollars ($2,000,000) (each a “Term Loan “ and collectively the “Term Loans”). Borrower may request Term Loans at any time from the date hereof through the Availability End Date. The proceeds of the Term Loans shall be used to refinance Borrower’s existing credit facility with Comerica.</w:t>
      </w:r>
    </w:p>
    <w:p>
      <w:pPr>
        <w:spacing w:after="0" w:line="78" w:lineRule="exact"/>
        <w:rPr>
          <w:rFonts w:ascii="Arial" w:cs="Arial" w:eastAsia="Arial" w:hAnsi="Arial"/>
          <w:sz w:val="18"/>
          <w:szCs w:val="18"/>
          <w:b w:val="1"/>
          <w:bCs w:val="1"/>
          <w:color w:val="auto"/>
        </w:rPr>
      </w:pPr>
    </w:p>
    <w:p>
      <w:pPr>
        <w:ind w:left="-40" w:firstLine="683"/>
        <w:spacing w:after="0" w:line="255" w:lineRule="auto"/>
        <w:tabs>
          <w:tab w:leader="none" w:pos="90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Interest shall accrue from the date of each Term Loan at the rate specified in Section 2.3(a), and prior to the Availability End Date for the applicable Term Loan shall be payable monthly beginning on the first day of the month next following such Term Loan, and continuing on the same day of each month thereafter. Any Term Loans that are outstanding on the Availability End Date shall be payable in 30 equal monthly installments of principal, plus all accrued interest, beginning on the first day of the month immediately following the Availability End Date, and continuing on the same day of each month thereafter through the Term Loan Maturity Date, at which time all amounts due in connection with the Term Loans and any other amounts due under this Agreement shall be immediately due and payable. Term Loans, once repaid, may not be reborrowed. Borrower may prepay any Term Loan without penalty or premium.</w:t>
      </w:r>
    </w:p>
    <w:p>
      <w:pPr>
        <w:spacing w:after="0" w:line="81" w:lineRule="exact"/>
        <w:rPr>
          <w:rFonts w:ascii="Arial" w:cs="Arial" w:eastAsia="Arial" w:hAnsi="Arial"/>
          <w:sz w:val="18"/>
          <w:szCs w:val="18"/>
          <w:b w:val="1"/>
          <w:bCs w:val="1"/>
          <w:color w:val="auto"/>
        </w:rPr>
      </w:pPr>
    </w:p>
    <w:p>
      <w:pPr>
        <w:ind w:left="-40" w:right="140" w:firstLine="683"/>
        <w:spacing w:after="0" w:line="264" w:lineRule="auto"/>
        <w:tabs>
          <w:tab w:leader="none" w:pos="95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When Borrower desires to obtain a Term Loan, Borrower shall notify Bank (which notice shall be irrevocable) by facsimile transmission to be received no later than 5:30 p.m. Eastern time on the day on which the Term Loan is to be made. Such notice shall be substantially in the form of Exhibit C. The notice shall be signed by a Responsible Officer or its designee.</w:t>
      </w:r>
    </w:p>
    <w:p>
      <w:pPr>
        <w:spacing w:after="0" w:line="69" w:lineRule="exact"/>
        <w:rPr>
          <w:sz w:val="20"/>
          <w:szCs w:val="20"/>
          <w:color w:val="auto"/>
        </w:rPr>
      </w:pPr>
    </w:p>
    <w:p>
      <w:pPr>
        <w:ind w:left="200" w:right="180" w:firstLine="225"/>
        <w:spacing w:after="0" w:line="282" w:lineRule="auto"/>
        <w:rPr>
          <w:sz w:val="20"/>
          <w:szCs w:val="20"/>
          <w:color w:val="auto"/>
        </w:rPr>
      </w:pPr>
      <w:r>
        <w:rPr>
          <w:rFonts w:ascii="Arial" w:cs="Arial" w:eastAsia="Arial" w:hAnsi="Arial"/>
          <w:sz w:val="18"/>
          <w:szCs w:val="18"/>
          <w:b w:val="1"/>
          <w:bCs w:val="1"/>
          <w:color w:val="auto"/>
        </w:rPr>
        <w:t>2.2 Overadvances</w:t>
      </w:r>
      <w:r>
        <w:rPr>
          <w:rFonts w:ascii="Arial" w:cs="Arial" w:eastAsia="Arial" w:hAnsi="Arial"/>
          <w:sz w:val="18"/>
          <w:szCs w:val="18"/>
          <w:color w:val="auto"/>
        </w:rPr>
        <w:t>. If the aggregate amount of the outstanding Advances exceeds the lesser of the Formula Revolving Line or the Borrowing Base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Borrower shall immediately pay to Bank, in cash, the amount of such excess.</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2.3 Interest Rates, Payments, and Calculations</w:t>
      </w:r>
      <w:r>
        <w:rPr>
          <w:rFonts w:ascii="Arial" w:cs="Arial" w:eastAsia="Arial" w:hAnsi="Arial"/>
          <w:sz w:val="18"/>
          <w:szCs w:val="18"/>
          <w:color w:val="auto"/>
        </w:rPr>
        <w: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 Interest Rates</w:t>
      </w:r>
      <w:r>
        <w:rPr>
          <w:rFonts w:ascii="Arial" w:cs="Arial" w:eastAsia="Arial" w:hAnsi="Arial"/>
          <w:sz w:val="18"/>
          <w:szCs w:val="18"/>
          <w:color w:val="auto"/>
        </w:rPr>
        <w:t>.</w:t>
      </w:r>
    </w:p>
    <w:p>
      <w:pPr>
        <w:spacing w:after="0" w:line="117" w:lineRule="exact"/>
        <w:rPr>
          <w:sz w:val="20"/>
          <w:szCs w:val="20"/>
          <w:color w:val="auto"/>
        </w:rPr>
      </w:pPr>
    </w:p>
    <w:p>
      <w:pPr>
        <w:ind w:left="-40" w:right="40" w:firstLine="683"/>
        <w:spacing w:after="0" w:line="261" w:lineRule="auto"/>
        <w:tabs>
          <w:tab w:leader="none" w:pos="85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Formula Advances</w:t>
      </w:r>
      <w:r>
        <w:rPr>
          <w:rFonts w:ascii="Arial" w:cs="Arial" w:eastAsia="Arial" w:hAnsi="Arial"/>
          <w:sz w:val="18"/>
          <w:szCs w:val="18"/>
          <w:color w:val="auto"/>
        </w:rPr>
        <w:t>. Except as set forth in Section 2.3(b), the Advances shall bear interest, on the outstanding daily balance thereof, at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rate equal to 1.25% above the Prime Rate then in effect; provided that following Borrower’s completion of the Funding Milestone set forth in Section 6.7, the Advances shall bear interest, on the outstanding daily balance thereof, at a variable annual rate equal to 0.75% above the Prime Rate then in effect.</w:t>
      </w:r>
    </w:p>
    <w:p>
      <w:pPr>
        <w:spacing w:after="0" w:line="71" w:lineRule="exact"/>
        <w:rPr>
          <w:rFonts w:ascii="Arial" w:cs="Arial" w:eastAsia="Arial" w:hAnsi="Arial"/>
          <w:sz w:val="18"/>
          <w:szCs w:val="18"/>
          <w:b w:val="1"/>
          <w:bCs w:val="1"/>
          <w:color w:val="auto"/>
        </w:rPr>
      </w:pPr>
    </w:p>
    <w:p>
      <w:pPr>
        <w:jc w:val="both"/>
        <w:ind w:left="-40" w:right="40" w:firstLine="683"/>
        <w:spacing w:after="0" w:line="314" w:lineRule="auto"/>
        <w:tabs>
          <w:tab w:leader="none" w:pos="89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Term Loans</w:t>
      </w:r>
      <w:r>
        <w:rPr>
          <w:rFonts w:ascii="Arial" w:cs="Arial" w:eastAsia="Arial" w:hAnsi="Arial"/>
          <w:sz w:val="16"/>
          <w:szCs w:val="16"/>
          <w:color w:val="auto"/>
        </w:rPr>
        <w:t>. Except as set forth in Section 2.3(b), the Term Loans shall bear interest, on the outstanding daily balance thereof, at a variable rate</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2.00% above the Prime Rate then in effect; provided that following Borrower’s completion of the Funding Milestone set forth in Section 6.7 hereof, the Term Loans shall bear interest, on the outstanding daily balance thereof, at a variable rate equal to 1.50% above the Prime Rate then in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96" w:name="page97"/>
    <w:bookmarkEnd w:id="96"/>
    <w:p>
      <w:pPr>
        <w:ind w:firstLine="446"/>
        <w:spacing w:after="0" w:line="261" w:lineRule="auto"/>
        <w:tabs>
          <w:tab w:leader="none" w:pos="715"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Late Fee; Default Rate</w:t>
      </w:r>
      <w:r>
        <w:rPr>
          <w:rFonts w:ascii="Arial" w:cs="Arial" w:eastAsia="Arial" w:hAnsi="Arial"/>
          <w:sz w:val="18"/>
          <w:szCs w:val="18"/>
          <w:color w:val="auto"/>
        </w:rPr>
        <w:t>. If any payment is not made within 15 days after the date such payment is due, Borrower shall pay Bank a late fee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lesser of (i) 5% of the amount of such unpaid amount or (ii) the maximum amount permitted to be charged under applicable law. All Obligations shall bear interest, from and after the occurrence and during the continuance of an Event of Default, at a rate equal to 5 percentage points above the interest rate applicable immediately prior to the occurrence of the Event of Default.</w:t>
      </w:r>
    </w:p>
    <w:p>
      <w:pPr>
        <w:spacing w:after="0" w:line="71" w:lineRule="exact"/>
        <w:rPr>
          <w:rFonts w:ascii="Arial" w:cs="Arial" w:eastAsia="Arial" w:hAnsi="Arial"/>
          <w:sz w:val="18"/>
          <w:szCs w:val="18"/>
          <w:b w:val="1"/>
          <w:bCs w:val="1"/>
          <w:color w:val="auto"/>
        </w:rPr>
      </w:pPr>
    </w:p>
    <w:p>
      <w:pPr>
        <w:ind w:right="60" w:firstLine="446"/>
        <w:spacing w:after="0" w:line="303" w:lineRule="auto"/>
        <w:tabs>
          <w:tab w:leader="none" w:pos="695"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Payments</w:t>
      </w:r>
      <w:r>
        <w:rPr>
          <w:rFonts w:ascii="Arial" w:cs="Arial" w:eastAsia="Arial" w:hAnsi="Arial"/>
          <w:sz w:val="16"/>
          <w:szCs w:val="16"/>
          <w:color w:val="auto"/>
        </w:rPr>
        <w:t>. Interest under the Formula Revolving Line shall be due and payable on the first calendar day of each month during the term hereof.</w:t>
      </w:r>
      <w:r>
        <w:rPr>
          <w:rFonts w:ascii="Arial" w:cs="Arial" w:eastAsia="Arial" w:hAnsi="Arial"/>
          <w:sz w:val="16"/>
          <w:szCs w:val="16"/>
          <w:b w:val="1"/>
          <w:bCs w:val="1"/>
          <w:color w:val="auto"/>
        </w:rPr>
        <w:t xml:space="preserve"> </w:t>
      </w:r>
      <w:r>
        <w:rPr>
          <w:rFonts w:ascii="Arial" w:cs="Arial" w:eastAsia="Arial" w:hAnsi="Arial"/>
          <w:sz w:val="16"/>
          <w:szCs w:val="16"/>
          <w:color w:val="auto"/>
        </w:rPr>
        <w:t>Bank shall, at its option, charge such interest, all Bank Expenses, and all Periodic Payments against any of Borrower’s deposit accounts or against the Formula Revolving Line, in which case those amounts shall thereafter accrue interest at the rate then applicable hereunder. Any interest not paid when due shall be compounded by becoming a part of the Obligations, and such interest shall thereafter accrue interest at the rate then applicable hereunder.</w:t>
      </w:r>
    </w:p>
    <w:p>
      <w:pPr>
        <w:spacing w:after="0" w:line="43" w:lineRule="exact"/>
        <w:rPr>
          <w:rFonts w:ascii="Arial" w:cs="Arial" w:eastAsia="Arial" w:hAnsi="Arial"/>
          <w:sz w:val="16"/>
          <w:szCs w:val="16"/>
          <w:b w:val="1"/>
          <w:bCs w:val="1"/>
          <w:color w:val="auto"/>
        </w:rPr>
      </w:pPr>
    </w:p>
    <w:p>
      <w:pPr>
        <w:jc w:val="both"/>
        <w:ind w:right="100" w:firstLine="446"/>
        <w:spacing w:after="0" w:line="266" w:lineRule="auto"/>
        <w:tabs>
          <w:tab w:leader="none" w:pos="715"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w:t>
      </w:r>
      <w:r>
        <w:rPr>
          <w:rFonts w:ascii="Arial" w:cs="Arial" w:eastAsia="Arial" w:hAnsi="Arial"/>
          <w:sz w:val="18"/>
          <w:szCs w:val="18"/>
          <w:color w:val="auto"/>
        </w:rPr>
        <w:t>. In the event the Prime Rate is changed from time to time hereafter, the applicable rate of interest hereunder shall be increased or</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effective as of the day the Prime Rate is changed, by an amount equal to such change in the Prime Rate. All interest chargeable under the Loan Documents shall be computed on the basis of a 360 day year for the actual number of days elapsed.</w:t>
      </w:r>
    </w:p>
    <w:p>
      <w:pPr>
        <w:spacing w:after="0" w:line="6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2.4 Crediting Payments</w:t>
      </w:r>
      <w:r>
        <w:rPr>
          <w:rFonts w:ascii="Arial" w:cs="Arial" w:eastAsia="Arial" w:hAnsi="Arial"/>
          <w:sz w:val="17"/>
          <w:szCs w:val="17"/>
          <w:color w:val="auto"/>
        </w:rPr>
        <w:t>. If no Event of Default exists, Bank shall credit a wire transfer of funds, check or other item of payment to such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or Obligation as Borrower specifies. During the existence of an Event of Default, Bank shall have the right, in its sole discretion, to immediately apply any wire transfer of funds, check, or other item of payment Bank may receive to conditionally reduce Obligations, but such applications of funds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5:30 p.m. Eastern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2.5 Fees</w:t>
      </w:r>
      <w:r>
        <w:rPr>
          <w:rFonts w:ascii="Arial" w:cs="Arial" w:eastAsia="Arial" w:hAnsi="Arial"/>
          <w:sz w:val="18"/>
          <w:szCs w:val="18"/>
          <w:color w:val="auto"/>
        </w:rPr>
        <w:t>. Borrower shall pay to Bank the following:</w:t>
      </w:r>
    </w:p>
    <w:p>
      <w:pPr>
        <w:spacing w:after="0" w:line="117" w:lineRule="exact"/>
        <w:rPr>
          <w:sz w:val="20"/>
          <w:szCs w:val="20"/>
          <w:color w:val="auto"/>
        </w:rPr>
      </w:pPr>
    </w:p>
    <w:p>
      <w:pPr>
        <w:ind w:left="700" w:hanging="254"/>
        <w:spacing w:after="0"/>
        <w:tabs>
          <w:tab w:leader="none" w:pos="7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Facility Fee</w:t>
      </w:r>
      <w:r>
        <w:rPr>
          <w:rFonts w:ascii="Arial" w:cs="Arial" w:eastAsia="Arial" w:hAnsi="Arial"/>
          <w:sz w:val="18"/>
          <w:szCs w:val="18"/>
          <w:color w:val="auto"/>
        </w:rPr>
        <w:t>. On or before the Closing Date, a fee equal to $10,000, which shall be nonrefundable;</w:t>
      </w:r>
    </w:p>
    <w:p>
      <w:pPr>
        <w:spacing w:after="0" w:line="117" w:lineRule="exact"/>
        <w:rPr>
          <w:rFonts w:ascii="Arial" w:cs="Arial" w:eastAsia="Arial" w:hAnsi="Arial"/>
          <w:sz w:val="18"/>
          <w:szCs w:val="18"/>
          <w:b w:val="1"/>
          <w:bCs w:val="1"/>
          <w:color w:val="auto"/>
        </w:rPr>
      </w:pPr>
    </w:p>
    <w:p>
      <w:pPr>
        <w:ind w:right="140" w:firstLine="446"/>
        <w:spacing w:after="0" w:line="282" w:lineRule="auto"/>
        <w:tabs>
          <w:tab w:leader="none" w:pos="715"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Bank Expenses</w:t>
      </w:r>
      <w:r>
        <w:rPr>
          <w:rFonts w:ascii="Arial" w:cs="Arial" w:eastAsia="Arial" w:hAnsi="Arial"/>
          <w:sz w:val="18"/>
          <w:szCs w:val="18"/>
          <w:color w:val="auto"/>
        </w:rPr>
        <w:t>. On the Closing Date, all Bank Expenses incurred through the Closing Date, and, after the Closing Date, all Bank Expenses, as</w:t>
      </w:r>
      <w:r>
        <w:rPr>
          <w:rFonts w:ascii="Arial" w:cs="Arial" w:eastAsia="Arial" w:hAnsi="Arial"/>
          <w:sz w:val="18"/>
          <w:szCs w:val="18"/>
          <w:b w:val="1"/>
          <w:bCs w:val="1"/>
          <w:color w:val="auto"/>
        </w:rPr>
        <w:t xml:space="preserve"> </w:t>
      </w:r>
      <w:r>
        <w:rPr>
          <w:rFonts w:ascii="Arial" w:cs="Arial" w:eastAsia="Arial" w:hAnsi="Arial"/>
          <w:sz w:val="18"/>
          <w:szCs w:val="18"/>
          <w:color w:val="auto"/>
        </w:rPr>
        <w:t>and when they become due.</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1" w:right="239" w:bottom="1440" w:gutter="0" w:footer="0" w:header="0"/>
        </w:sectPr>
      </w:pPr>
    </w:p>
    <w:bookmarkStart w:id="97" w:name="page98"/>
    <w:bookmarkEnd w:id="97"/>
    <w:p>
      <w:pPr>
        <w:ind w:firstLine="225"/>
        <w:spacing w:after="0" w:line="261" w:lineRule="auto"/>
        <w:rPr>
          <w:sz w:val="20"/>
          <w:szCs w:val="20"/>
          <w:color w:val="auto"/>
        </w:rPr>
      </w:pPr>
      <w:r>
        <w:rPr>
          <w:rFonts w:ascii="Arial" w:cs="Arial" w:eastAsia="Arial" w:hAnsi="Arial"/>
          <w:sz w:val="18"/>
          <w:szCs w:val="18"/>
          <w:b w:val="1"/>
          <w:bCs w:val="1"/>
          <w:color w:val="auto"/>
        </w:rPr>
        <w:t>2.6 Term</w:t>
      </w:r>
      <w:r>
        <w:rPr>
          <w:rFonts w:ascii="Arial" w:cs="Arial" w:eastAsia="Arial" w:hAnsi="Arial"/>
          <w:sz w:val="18"/>
          <w:szCs w:val="18"/>
          <w:color w:val="auto"/>
        </w:rPr>
        <w:t>. This Agreement shall become effective on the Closing Date and, subject to Section 12.7, shall continue in full force and effect for so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Obligations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CONDITIONS OF LOANS</w:t>
      </w:r>
      <w:r>
        <w:rPr>
          <w:rFonts w:ascii="Arial" w:cs="Arial" w:eastAsia="Arial" w:hAnsi="Arial"/>
          <w:sz w:val="18"/>
          <w:szCs w:val="18"/>
          <w:color w:val="auto"/>
        </w:rPr>
        <w:t>.</w:t>
      </w:r>
    </w:p>
    <w:p>
      <w:pPr>
        <w:spacing w:after="0" w:line="117" w:lineRule="exact"/>
        <w:rPr>
          <w:sz w:val="20"/>
          <w:szCs w:val="20"/>
          <w:color w:val="auto"/>
        </w:rPr>
      </w:pPr>
    </w:p>
    <w:p>
      <w:pPr>
        <w:ind w:right="540" w:firstLine="225"/>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The obligation of Bank to make the initial Credit Extension is subject to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that Bank shall have received, in form and substance satisfactory to Bank, each the following items and completed each of the following requirements:</w:t>
      </w:r>
    </w:p>
    <w:p>
      <w:pPr>
        <w:spacing w:after="0" w:line="72" w:lineRule="exact"/>
        <w:rPr>
          <w:sz w:val="20"/>
          <w:szCs w:val="20"/>
          <w:color w:val="auto"/>
        </w:rPr>
      </w:pPr>
    </w:p>
    <w:p>
      <w:pPr>
        <w:ind w:left="700" w:hanging="254"/>
        <w:spacing w:after="0"/>
        <w:tabs>
          <w:tab w:leader="none" w:pos="70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this Agreement;</w:t>
      </w:r>
    </w:p>
    <w:p>
      <w:pPr>
        <w:spacing w:after="0" w:line="117" w:lineRule="exact"/>
        <w:rPr>
          <w:rFonts w:ascii="Arial" w:cs="Arial" w:eastAsia="Arial" w:hAnsi="Arial"/>
          <w:sz w:val="18"/>
          <w:szCs w:val="18"/>
          <w:b w:val="1"/>
          <w:bCs w:val="1"/>
          <w:color w:val="auto"/>
        </w:rPr>
      </w:pPr>
    </w:p>
    <w:p>
      <w:pPr>
        <w:ind w:left="720" w:hanging="274"/>
        <w:spacing w:after="0"/>
        <w:tabs>
          <w:tab w:leader="none" w:pos="72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an officer’s certificate of each Borrower with respect to incumbency and resolutions authorizing the execution and delivery of this Agreement;</w:t>
      </w:r>
    </w:p>
    <w:p>
      <w:pPr>
        <w:spacing w:after="0" w:line="140" w:lineRule="exact"/>
        <w:rPr>
          <w:rFonts w:ascii="Arial" w:cs="Arial" w:eastAsia="Arial" w:hAnsi="Arial"/>
          <w:sz w:val="16"/>
          <w:szCs w:val="16"/>
          <w:b w:val="1"/>
          <w:bCs w:val="1"/>
          <w:color w:val="auto"/>
        </w:rPr>
      </w:pPr>
    </w:p>
    <w:p>
      <w:pPr>
        <w:ind w:left="700" w:hanging="254"/>
        <w:spacing w:after="0"/>
        <w:tabs>
          <w:tab w:leader="none" w:pos="70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a financing statement (Form UCC-1) for each Borrower;</w:t>
      </w:r>
    </w:p>
    <w:p>
      <w:pPr>
        <w:spacing w:after="0" w:line="117" w:lineRule="exact"/>
        <w:rPr>
          <w:rFonts w:ascii="Arial" w:cs="Arial" w:eastAsia="Arial" w:hAnsi="Arial"/>
          <w:sz w:val="18"/>
          <w:szCs w:val="18"/>
          <w:b w:val="1"/>
          <w:bCs w:val="1"/>
          <w:color w:val="auto"/>
        </w:rPr>
      </w:pPr>
    </w:p>
    <w:p>
      <w:pPr>
        <w:ind w:left="720" w:hanging="274"/>
        <w:spacing w:after="0"/>
        <w:tabs>
          <w:tab w:leader="none" w:pos="72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an intellectual property security agreement for each Borrower;</w:t>
      </w:r>
    </w:p>
    <w:p>
      <w:pPr>
        <w:spacing w:after="0" w:line="117" w:lineRule="exact"/>
        <w:rPr>
          <w:rFonts w:ascii="Arial" w:cs="Arial" w:eastAsia="Arial" w:hAnsi="Arial"/>
          <w:sz w:val="18"/>
          <w:szCs w:val="18"/>
          <w:b w:val="1"/>
          <w:bCs w:val="1"/>
          <w:color w:val="auto"/>
        </w:rPr>
      </w:pPr>
    </w:p>
    <w:p>
      <w:pPr>
        <w:ind w:left="700" w:hanging="254"/>
        <w:spacing w:after="0"/>
        <w:tabs>
          <w:tab w:leader="none" w:pos="70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payment of the fees and Bank Expenses then due specified in Section 2.5, which may be debited from any of Borrower’s accounts with Bank;</w:t>
      </w:r>
    </w:p>
    <w:p>
      <w:pPr>
        <w:spacing w:after="0" w:line="140" w:lineRule="exact"/>
        <w:rPr>
          <w:rFonts w:ascii="Arial" w:cs="Arial" w:eastAsia="Arial" w:hAnsi="Arial"/>
          <w:sz w:val="16"/>
          <w:szCs w:val="16"/>
          <w:b w:val="1"/>
          <w:bCs w:val="1"/>
          <w:color w:val="auto"/>
        </w:rPr>
      </w:pPr>
    </w:p>
    <w:p>
      <w:pPr>
        <w:ind w:right="140" w:firstLine="446"/>
        <w:spacing w:after="0" w:line="277" w:lineRule="auto"/>
        <w:tabs>
          <w:tab w:leader="none" w:pos="675"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current SOS Reports for each Borrower indicating that except for Permitted Liens, there are no other security interests or Liens of record in the Collateral;</w:t>
      </w:r>
    </w:p>
    <w:p>
      <w:pPr>
        <w:spacing w:after="0" w:line="62" w:lineRule="exact"/>
        <w:rPr>
          <w:rFonts w:ascii="Arial" w:cs="Arial" w:eastAsia="Arial" w:hAnsi="Arial"/>
          <w:sz w:val="18"/>
          <w:szCs w:val="18"/>
          <w:b w:val="1"/>
          <w:bCs w:val="1"/>
          <w:color w:val="auto"/>
        </w:rPr>
      </w:pPr>
    </w:p>
    <w:p>
      <w:pPr>
        <w:ind w:right="100" w:firstLine="446"/>
        <w:spacing w:after="0" w:line="279" w:lineRule="auto"/>
        <w:tabs>
          <w:tab w:leader="none" w:pos="705"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current financial statements, including audited statements (or such other level required by the Investment Agreement) for Borrower’s most recently ended fiscal year, together with an unqualified opinion (or an opinion qualified only for going concern so long as Borrower’s investors provide additional equity as needed), company prepared consolidated and consolidating balance sheets and income statements for the most recently ended month in accordance with Section 6.2, and such other updated financial information as Bank may reasonably request;</w:t>
      </w:r>
    </w:p>
    <w:p>
      <w:pPr>
        <w:spacing w:after="0" w:line="63" w:lineRule="exact"/>
        <w:rPr>
          <w:rFonts w:ascii="Arial" w:cs="Arial" w:eastAsia="Arial" w:hAnsi="Arial"/>
          <w:sz w:val="17"/>
          <w:szCs w:val="17"/>
          <w:b w:val="1"/>
          <w:bCs w:val="1"/>
          <w:color w:val="auto"/>
        </w:rPr>
      </w:pPr>
    </w:p>
    <w:p>
      <w:pPr>
        <w:ind w:left="720" w:hanging="274"/>
        <w:spacing w:after="0"/>
        <w:tabs>
          <w:tab w:leader="none" w:pos="72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current Compliance Certificate in accordance with Section 6.2;</w:t>
      </w:r>
    </w:p>
    <w:p>
      <w:pPr>
        <w:spacing w:after="0" w:line="117" w:lineRule="exact"/>
        <w:rPr>
          <w:rFonts w:ascii="Arial" w:cs="Arial" w:eastAsia="Arial" w:hAnsi="Arial"/>
          <w:sz w:val="18"/>
          <w:szCs w:val="18"/>
          <w:b w:val="1"/>
          <w:bCs w:val="1"/>
          <w:color w:val="auto"/>
        </w:rPr>
      </w:pPr>
    </w:p>
    <w:p>
      <w:pPr>
        <w:ind w:left="660" w:hanging="214"/>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a Warrant in form and substance satisfactory to Bank;</w:t>
      </w:r>
    </w:p>
    <w:p>
      <w:pPr>
        <w:spacing w:after="0" w:line="117" w:lineRule="exact"/>
        <w:rPr>
          <w:rFonts w:ascii="Arial" w:cs="Arial" w:eastAsia="Arial" w:hAnsi="Arial"/>
          <w:sz w:val="18"/>
          <w:szCs w:val="18"/>
          <w:b w:val="1"/>
          <w:bCs w:val="1"/>
          <w:color w:val="auto"/>
        </w:rPr>
      </w:pPr>
    </w:p>
    <w:p>
      <w:pPr>
        <w:ind w:left="680" w:hanging="234"/>
        <w:spacing w:after="0"/>
        <w:tabs>
          <w:tab w:leader="none" w:pos="68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a Subordination Agreement from Austin Ventures, in form and substance satisfactory to Bank;</w:t>
      </w:r>
    </w:p>
    <w:p>
      <w:pPr>
        <w:spacing w:after="0" w:line="117" w:lineRule="exact"/>
        <w:rPr>
          <w:rFonts w:ascii="Arial" w:cs="Arial" w:eastAsia="Arial" w:hAnsi="Arial"/>
          <w:sz w:val="18"/>
          <w:szCs w:val="18"/>
          <w:b w:val="1"/>
          <w:bCs w:val="1"/>
          <w:color w:val="auto"/>
        </w:rPr>
      </w:pPr>
    </w:p>
    <w:p>
      <w:pPr>
        <w:ind w:left="720" w:hanging="274"/>
        <w:spacing w:after="0"/>
        <w:tabs>
          <w:tab w:leader="none" w:pos="72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a Borrower Information Certificate;</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1" w:right="319" w:bottom="1440" w:gutter="0" w:footer="0" w:header="0"/>
        </w:sectPr>
      </w:pPr>
    </w:p>
    <w:bookmarkStart w:id="98" w:name="page99"/>
    <w:bookmarkEnd w:id="98"/>
    <w:p>
      <w:pPr>
        <w:ind w:left="667" w:hanging="214"/>
        <w:spacing w:after="0"/>
        <w:tabs>
          <w:tab w:leader="none" w:pos="667"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Borrower shall have opened and funded not less than $50,000 in deposit accounts held with Bank; and</w:t>
      </w:r>
    </w:p>
    <w:p>
      <w:pPr>
        <w:spacing w:after="0" w:line="117" w:lineRule="exact"/>
        <w:rPr>
          <w:rFonts w:ascii="Arial" w:cs="Arial" w:eastAsia="Arial" w:hAnsi="Arial"/>
          <w:sz w:val="18"/>
          <w:szCs w:val="18"/>
          <w:b w:val="1"/>
          <w:bCs w:val="1"/>
          <w:color w:val="auto"/>
        </w:rPr>
      </w:pPr>
    </w:p>
    <w:p>
      <w:pPr>
        <w:ind w:left="767" w:hanging="314"/>
        <w:spacing w:after="0"/>
        <w:tabs>
          <w:tab w:leader="none" w:pos="767"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such other documents or certificates, and completion of such other matters, as Bank may reasonably request.</w:t>
      </w:r>
    </w:p>
    <w:p>
      <w:pPr>
        <w:spacing w:after="0" w:line="113" w:lineRule="exact"/>
        <w:rPr>
          <w:sz w:val="20"/>
          <w:szCs w:val="20"/>
          <w:color w:val="auto"/>
        </w:rPr>
      </w:pPr>
    </w:p>
    <w:p>
      <w:pPr>
        <w:ind w:left="227"/>
        <w:spacing w:after="0"/>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w:t>
      </w:r>
    </w:p>
    <w:p>
      <w:pPr>
        <w:spacing w:after="0" w:line="121" w:lineRule="exact"/>
        <w:rPr>
          <w:sz w:val="20"/>
          <w:szCs w:val="20"/>
          <w:color w:val="auto"/>
        </w:rPr>
      </w:pPr>
    </w:p>
    <w:p>
      <w:pPr>
        <w:ind w:left="7" w:right="420" w:firstLine="446"/>
        <w:spacing w:after="0" w:line="277" w:lineRule="auto"/>
        <w:tabs>
          <w:tab w:leader="none" w:pos="712" w:val="left"/>
        </w:tabs>
        <w:numPr>
          <w:ilvl w:val="1"/>
          <w:numId w:val="115"/>
        </w:numPr>
        <w:rPr>
          <w:rFonts w:ascii="Arial" w:cs="Arial" w:eastAsia="Arial" w:hAnsi="Arial"/>
          <w:sz w:val="18"/>
          <w:szCs w:val="18"/>
          <w:b w:val="1"/>
          <w:bCs w:val="1"/>
          <w:color w:val="auto"/>
        </w:rPr>
      </w:pPr>
      <w:r>
        <w:rPr>
          <w:rFonts w:ascii="Arial" w:cs="Arial" w:eastAsia="Arial" w:hAnsi="Arial"/>
          <w:sz w:val="18"/>
          <w:szCs w:val="18"/>
          <w:color w:val="auto"/>
        </w:rPr>
        <w:t>The obligation of Bank to make each Credit Extension, including the initial Credit Extension, is further subject to the following conditions: timely receipt by Bank of the Loan Advance/Paydown Request Form as provided in Section 2.1; and</w:t>
      </w:r>
    </w:p>
    <w:p>
      <w:pPr>
        <w:spacing w:after="0" w:line="62" w:lineRule="exact"/>
        <w:rPr>
          <w:rFonts w:ascii="Arial" w:cs="Arial" w:eastAsia="Arial" w:hAnsi="Arial"/>
          <w:sz w:val="18"/>
          <w:szCs w:val="18"/>
          <w:b w:val="1"/>
          <w:bCs w:val="1"/>
          <w:color w:val="auto"/>
        </w:rPr>
      </w:pPr>
    </w:p>
    <w:p>
      <w:pPr>
        <w:ind w:left="7" w:right="40" w:firstLine="446"/>
        <w:spacing w:after="0" w:line="255" w:lineRule="auto"/>
        <w:tabs>
          <w:tab w:leader="none" w:pos="722" w:val="left"/>
        </w:tabs>
        <w:numPr>
          <w:ilvl w:val="1"/>
          <w:numId w:val="115"/>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Section 5 shall be true and correct in all material respects on and as of the date of such Loan Advance/Paydown Request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shall be true, correct and complete in all material respects as of such date). The making of each Credit Extension shall be deemed to be a representation and warranty by Borrower on the date of such Credit Extension as to the accuracy of the facts referred to in this Section 3.2.</w:t>
      </w:r>
    </w:p>
    <w:p>
      <w:pPr>
        <w:spacing w:after="0" w:line="81" w:lineRule="exact"/>
        <w:rPr>
          <w:rFonts w:ascii="Arial" w:cs="Arial" w:eastAsia="Arial" w:hAnsi="Arial"/>
          <w:sz w:val="18"/>
          <w:szCs w:val="18"/>
          <w:b w:val="1"/>
          <w:bCs w:val="1"/>
          <w:color w:val="auto"/>
        </w:rPr>
      </w:pPr>
    </w:p>
    <w:p>
      <w:pPr>
        <w:ind w:left="187" w:hanging="187"/>
        <w:spacing w:after="0"/>
        <w:tabs>
          <w:tab w:leader="none" w:pos="187"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CREATION OF SECURITY INTEREST</w:t>
      </w:r>
      <w:r>
        <w:rPr>
          <w:rFonts w:ascii="Arial" w:cs="Arial" w:eastAsia="Arial" w:hAnsi="Arial"/>
          <w:sz w:val="18"/>
          <w:szCs w:val="18"/>
          <w:color w:val="auto"/>
        </w:rPr>
        <w:t>.</w:t>
      </w:r>
    </w:p>
    <w:p>
      <w:pPr>
        <w:spacing w:after="0" w:line="117" w:lineRule="exact"/>
        <w:rPr>
          <w:sz w:val="20"/>
          <w:szCs w:val="20"/>
          <w:color w:val="auto"/>
        </w:rPr>
      </w:pPr>
    </w:p>
    <w:p>
      <w:pPr>
        <w:ind w:left="7" w:firstLine="225"/>
        <w:spacing w:after="0" w:line="298" w:lineRule="auto"/>
        <w:rPr>
          <w:sz w:val="20"/>
          <w:szCs w:val="20"/>
          <w:color w:val="auto"/>
        </w:rPr>
      </w:pPr>
      <w:r>
        <w:rPr>
          <w:rFonts w:ascii="Arial" w:cs="Arial" w:eastAsia="Arial" w:hAnsi="Arial"/>
          <w:sz w:val="16"/>
          <w:szCs w:val="16"/>
          <w:b w:val="1"/>
          <w:bCs w:val="1"/>
          <w:color w:val="auto"/>
        </w:rPr>
        <w:t>4.1 Grant of Security Interest</w:t>
      </w:r>
      <w:r>
        <w:rPr>
          <w:rFonts w:ascii="Arial" w:cs="Arial" w:eastAsia="Arial" w:hAnsi="Arial"/>
          <w:sz w:val="16"/>
          <w:szCs w:val="16"/>
          <w:color w:val="auto"/>
        </w:rPr>
        <w:t>. Borrower grants and pledges to Bank a continuing security interest in the Collateral to secure prompt repayment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Obligations and to secure prompt performance by Borrower of each of its covenants and duties under the Loan Documents. Except for Permitted Liens or as disclosed in the Schedule, such security interest constitutes a valid, first priority security interest in the presently existing Collateral, and will constitute a valid, first priority security interest in later-acquired Collateral. Notwithstanding any termination, of this Agreement or of any filings undertaken related to Bank’s rights under the Code, Bank’s Lien on the Collateral shall remain in effect for so long as any Obligations are outstanding.</w:t>
      </w:r>
    </w:p>
    <w:p>
      <w:pPr>
        <w:spacing w:after="0" w:line="46" w:lineRule="exact"/>
        <w:rPr>
          <w:sz w:val="20"/>
          <w:szCs w:val="20"/>
          <w:color w:val="auto"/>
        </w:rPr>
      </w:pPr>
    </w:p>
    <w:p>
      <w:pPr>
        <w:ind w:left="7" w:right="60" w:firstLine="225"/>
        <w:spacing w:after="0" w:line="255" w:lineRule="auto"/>
        <w:rPr>
          <w:sz w:val="20"/>
          <w:szCs w:val="20"/>
          <w:color w:val="auto"/>
        </w:rPr>
      </w:pPr>
      <w:r>
        <w:rPr>
          <w:rFonts w:ascii="Arial" w:cs="Arial" w:eastAsia="Arial" w:hAnsi="Arial"/>
          <w:sz w:val="18"/>
          <w:szCs w:val="18"/>
          <w:b w:val="1"/>
          <w:bCs w:val="1"/>
          <w:color w:val="auto"/>
        </w:rPr>
        <w:t>4.2 Perfection of Security Interest</w:t>
      </w:r>
      <w:r>
        <w:rPr>
          <w:rFonts w:ascii="Arial" w:cs="Arial" w:eastAsia="Arial" w:hAnsi="Arial"/>
          <w:sz w:val="18"/>
          <w:szCs w:val="18"/>
          <w:color w:val="auto"/>
        </w:rPr>
        <w:t>. Borrower authorizes Bank to file at any time financing statements, continuation statements, and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that (i) either specifically describe the Collateral or describe the Collateral as all assets of Borrower of the kind pledged hereunder, and (ii) contain any other information required by the Code for the sufficiency of filing office acceptance of any financing statement, continuation statement, or amendment, including whether Borrower is an organization, the type of organization and any organizational identification number issued to Borrower, if applicable. Borrower shall have possession of the Collateral, except where expressly otherwise provided in this Agreement or where Bank chooses to perfect its security interest by possession in addition to the filing of a financing statement. Where Collateral is in possession of a third party bailee, Borrower shall take such steps as Bank reasonably</w:t>
      </w:r>
    </w:p>
    <w:p>
      <w:pPr>
        <w:spacing w:after="0" w:line="166"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99" w:name="page100"/>
    <w:bookmarkEnd w:id="99"/>
    <w:p>
      <w:pPr>
        <w:ind w:left="7" w:right="40"/>
        <w:spacing w:after="0" w:line="253" w:lineRule="auto"/>
        <w:rPr>
          <w:sz w:val="20"/>
          <w:szCs w:val="20"/>
          <w:color w:val="auto"/>
        </w:rPr>
      </w:pPr>
      <w:r>
        <w:rPr>
          <w:rFonts w:ascii="Arial" w:cs="Arial" w:eastAsia="Arial" w:hAnsi="Arial"/>
          <w:sz w:val="18"/>
          <w:szCs w:val="18"/>
          <w:color w:val="auto"/>
        </w:rPr>
        <w:t>requests for Bank to (i) subject to Section 7.10 below, obtain an acknowledgment, in form and substance satisfactory to Bank, of the bailee that the bailee holds such Collateral for the benefit of Bank, and (ii) obtain “control” of any Collateral consisting of investment property, deposit accounts, letter-of-credit rights or electronic chattel paper (as such items and the term “control” are defined in Revised Article 9 of the Code) by causing the securities intermediary or depositary institution or issuing bank to execute a control agreement in form and substance satisfactory to Bank. Borrower will not create any chattel paper without placing a legend on the chattel paper acceptable to Bank indicating that Bank has a security interest in the chattel paper. Borrower from time to time may deposit with Bank specific cash collateral to secure specific Obligations; Borrower authorizes Bank to hold such specific balances in pledge and to decline to honor any drafts thereon or any request by Borrower or any other Person to pay or otherwise transfer any part of such balances for so long as the specific Obligations are outstanding. Borrower shall take such other actions as Bank requests to perfect its security interests granted under this Agreement.</w:t>
      </w:r>
    </w:p>
    <w:p>
      <w:pPr>
        <w:spacing w:after="0" w:line="85" w:lineRule="exact"/>
        <w:rPr>
          <w:sz w:val="20"/>
          <w:szCs w:val="20"/>
          <w:color w:val="auto"/>
        </w:rPr>
      </w:pPr>
    </w:p>
    <w:p>
      <w:pPr>
        <w:ind w:left="7" w:right="7520" w:hanging="7"/>
        <w:spacing w:after="0" w:line="397" w:lineRule="auto"/>
        <w:tabs>
          <w:tab w:leader="none" w:pos="187"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represents and warrants as follows:</w:t>
      </w:r>
    </w:p>
    <w:p>
      <w:pPr>
        <w:spacing w:after="0" w:line="2" w:lineRule="exact"/>
        <w:rPr>
          <w:sz w:val="20"/>
          <w:szCs w:val="20"/>
          <w:color w:val="auto"/>
        </w:rPr>
      </w:pPr>
    </w:p>
    <w:p>
      <w:pPr>
        <w:ind w:left="7" w:right="160" w:firstLine="225"/>
        <w:spacing w:after="0" w:line="289" w:lineRule="auto"/>
        <w:rPr>
          <w:sz w:val="20"/>
          <w:szCs w:val="20"/>
          <w:color w:val="auto"/>
        </w:rPr>
      </w:pPr>
      <w:r>
        <w:rPr>
          <w:rFonts w:ascii="Arial" w:cs="Arial" w:eastAsia="Arial" w:hAnsi="Arial"/>
          <w:sz w:val="17"/>
          <w:szCs w:val="17"/>
          <w:b w:val="1"/>
          <w:bCs w:val="1"/>
          <w:color w:val="auto"/>
        </w:rPr>
        <w:t>5.1 Due Organization and Qualification</w:t>
      </w:r>
      <w:r>
        <w:rPr>
          <w:rFonts w:ascii="Arial" w:cs="Arial" w:eastAsia="Arial" w:hAnsi="Arial"/>
          <w:sz w:val="17"/>
          <w:szCs w:val="17"/>
          <w:color w:val="auto"/>
        </w:rPr>
        <w:t>. Borrower and each Subsidiary is a corporation or limited liability company duly existing under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in which it is organized and qualified and licensed to do business in any state in which the conduct of its business or its ownership of property requires that it be so qualified, except where the failure to do so would not reasonably be expected to cause a Material Adverse Effect.</w:t>
      </w:r>
    </w:p>
    <w:p>
      <w:pPr>
        <w:spacing w:after="0" w:line="50" w:lineRule="exact"/>
        <w:rPr>
          <w:sz w:val="20"/>
          <w:szCs w:val="20"/>
          <w:color w:val="auto"/>
        </w:rPr>
      </w:pPr>
    </w:p>
    <w:p>
      <w:pPr>
        <w:ind w:left="7" w:right="40" w:firstLine="225"/>
        <w:spacing w:after="0" w:line="258" w:lineRule="auto"/>
        <w:rPr>
          <w:sz w:val="20"/>
          <w:szCs w:val="20"/>
          <w:color w:val="auto"/>
        </w:rPr>
      </w:pPr>
      <w:r>
        <w:rPr>
          <w:rFonts w:ascii="Arial" w:cs="Arial" w:eastAsia="Arial" w:hAnsi="Arial"/>
          <w:sz w:val="18"/>
          <w:szCs w:val="18"/>
          <w:b w:val="1"/>
          <w:bCs w:val="1"/>
          <w:color w:val="auto"/>
        </w:rPr>
        <w:t>5.2 Due Authorization; No Conflict</w:t>
      </w:r>
      <w:r>
        <w:rPr>
          <w:rFonts w:ascii="Arial" w:cs="Arial" w:eastAsia="Arial" w:hAnsi="Arial"/>
          <w:sz w:val="18"/>
          <w:szCs w:val="18"/>
          <w:color w:val="auto"/>
        </w:rPr>
        <w:t>. The execution, delivery, and performance of the Loan Documents are within Borrower’s powers,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are not in conflict with nor constitute a breach of any provision contained in Borrower’s Articles of Incorporation or Bylaws, or Articles of Organization or Operating Agreement, as applicable, nor will they constitute an event of default under any material agreement by which Borrower is bound. Borrower is not in default under any agreement by which it is bound, except to the extent such default would not reasonably be expected to cause a Material Adverse Effect.</w:t>
      </w:r>
    </w:p>
    <w:p>
      <w:pPr>
        <w:spacing w:after="0" w:line="76" w:lineRule="exact"/>
        <w:rPr>
          <w:sz w:val="20"/>
          <w:szCs w:val="20"/>
          <w:color w:val="auto"/>
        </w:rPr>
      </w:pPr>
    </w:p>
    <w:p>
      <w:pPr>
        <w:ind w:left="7" w:firstLine="225"/>
        <w:spacing w:after="0" w:line="255" w:lineRule="auto"/>
        <w:rPr>
          <w:sz w:val="20"/>
          <w:szCs w:val="20"/>
          <w:color w:val="auto"/>
        </w:rPr>
      </w:pPr>
      <w:r>
        <w:rPr>
          <w:rFonts w:ascii="Arial" w:cs="Arial" w:eastAsia="Arial" w:hAnsi="Arial"/>
          <w:sz w:val="18"/>
          <w:szCs w:val="18"/>
          <w:b w:val="1"/>
          <w:bCs w:val="1"/>
          <w:color w:val="auto"/>
        </w:rPr>
        <w:t>5.3 Collateral</w:t>
      </w:r>
      <w:r>
        <w:rPr>
          <w:rFonts w:ascii="Arial" w:cs="Arial" w:eastAsia="Arial" w:hAnsi="Arial"/>
          <w:sz w:val="18"/>
          <w:szCs w:val="18"/>
          <w:color w:val="auto"/>
        </w:rPr>
        <w:t>. Borrower has rights in or the power to transfer the Collateral, and its title to the Collateral is free and clear of Liens, adverse claims,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or pledge except for Permitted Liens. Other than movable items of personal property such as laptop computers, all Collateral having an aggregate book value in excess of $100,000, is located solely in the Collateral States. The Eligible Accounts are bona fide existing obligations. The property or services giving rise to such Eligible Accounts has been delivered or rendered to the account debtor or its agent for immediate shipment to and unconditional acceptance by the account debtor. Borrower has not received notice of actual or imminent Insolvency Proceeding of any account debtor whose accounts are included in any Borrowing Base Certificate as an Eligible Account. All Inventory is in all material respects of good and merchantable quality, free</w:t>
      </w:r>
    </w:p>
    <w:p>
      <w:pPr>
        <w:spacing w:after="0" w:line="166"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100" w:name="page101"/>
    <w:bookmarkEnd w:id="100"/>
    <w:p>
      <w:pPr>
        <w:ind w:right="160"/>
        <w:spacing w:after="0" w:line="277" w:lineRule="auto"/>
        <w:rPr>
          <w:sz w:val="20"/>
          <w:szCs w:val="20"/>
          <w:color w:val="auto"/>
        </w:rPr>
      </w:pPr>
      <w:r>
        <w:rPr>
          <w:rFonts w:ascii="Arial" w:cs="Arial" w:eastAsia="Arial" w:hAnsi="Arial"/>
          <w:sz w:val="18"/>
          <w:szCs w:val="18"/>
          <w:color w:val="auto"/>
        </w:rPr>
        <w:t>from all material defects, except for Inventory for which adequate reserves have been made. Except as set forth in the Schedule, none of the Borrower’s Cash is maintained or invested with a Person other than Bank or Bank’s affiliates.</w:t>
      </w:r>
    </w:p>
    <w:p>
      <w:pPr>
        <w:spacing w:after="0" w:line="58"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5.4 Intellectual Property Collateral</w:t>
      </w:r>
      <w:r>
        <w:rPr>
          <w:rFonts w:ascii="Arial" w:cs="Arial" w:eastAsia="Arial" w:hAnsi="Arial"/>
          <w:sz w:val="18"/>
          <w:szCs w:val="18"/>
          <w:color w:val="auto"/>
        </w:rPr>
        <w:t>. Borrower is the sole owner of the Intellectual Property Collateral, except for licenses granted by Borrower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the ordinary course of business. To the best of Borrower’s knowledge, each of the Copyrights, Trademarks and Patents is valid and enforceable, and no part of the Intellectual Property Collateral has been judged invalid or unenforceable, in whole or in part, and no claim has been made to Borrower that any part of the Intellectual Property Collateral violates the rights of any third party except to the extent such claim would not reasonably be expected to cause a Material Adverse Effect.</w:t>
      </w:r>
    </w:p>
    <w:p>
      <w:pPr>
        <w:spacing w:after="0" w:line="76"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5.5 Name; Location of Chief Executive Office</w:t>
      </w:r>
      <w:r>
        <w:rPr>
          <w:rFonts w:ascii="Arial" w:cs="Arial" w:eastAsia="Arial" w:hAnsi="Arial"/>
          <w:sz w:val="18"/>
          <w:szCs w:val="18"/>
          <w:color w:val="auto"/>
        </w:rPr>
        <w:t>. Except as disclosed in the Schedule, Borrower has not done business under any name other than that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on the signature page hereof, and its exact legal name is as set forth in the first paragraph of this Agreement. The chief executive office of Borrower is located at the address indicated in Section 10 hereof.</w:t>
      </w:r>
    </w:p>
    <w:p>
      <w:pPr>
        <w:spacing w:after="0" w:line="68"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5.6 Litigation</w:t>
      </w:r>
      <w:r>
        <w:rPr>
          <w:rFonts w:ascii="Arial" w:cs="Arial" w:eastAsia="Arial" w:hAnsi="Arial"/>
          <w:sz w:val="18"/>
          <w:szCs w:val="18"/>
          <w:color w:val="auto"/>
        </w:rPr>
        <w:t>. Except as set forth in the Schedule, there are no actions or proceedings pending by or against Borrower or any Subsidiary before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or administrative agency that could reasonably be expected to have a Material Adverse Effect.</w:t>
      </w:r>
    </w:p>
    <w:p>
      <w:pPr>
        <w:spacing w:after="0" w:line="54"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5.7 No Material Adverse Change in Financial Statements</w:t>
      </w:r>
      <w:r>
        <w:rPr>
          <w:rFonts w:ascii="Arial" w:cs="Arial" w:eastAsia="Arial" w:hAnsi="Arial"/>
          <w:sz w:val="18"/>
          <w:szCs w:val="18"/>
          <w:color w:val="auto"/>
        </w:rPr>
        <w:t>. All consolidated and consolidating financial statements related to Borrower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that are delivered by Borrower to Bank fairly present in all material respects Borrower’s consolidated and consolidating financial condition as of the date thereof and Borrower’s consolidated and consolidating results of operations for the period then ended. There has not been a material adverse change in the consolidated or in the consolidating financial condition of Borrower since the date of the most recent of such financial statements submitted to Bank.</w:t>
      </w:r>
    </w:p>
    <w:p>
      <w:pPr>
        <w:spacing w:after="0" w:line="76"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5.8 Solvency, Payment of Debts</w:t>
      </w:r>
      <w:r>
        <w:rPr>
          <w:rFonts w:ascii="Arial" w:cs="Arial" w:eastAsia="Arial" w:hAnsi="Arial"/>
          <w:sz w:val="18"/>
          <w:szCs w:val="18"/>
          <w:color w:val="auto"/>
        </w:rPr>
        <w:t>. Borrower is able to pay its debts (including trade debts) as they mature; the fair saleable value of Borrower’s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goodwill minus disposition costs) exceeds the fair value of its liabilities; and Borrower is not left with unreasonably small capital after the transactions contemplated by this Agreement.</w:t>
      </w:r>
    </w:p>
    <w:p>
      <w:pPr>
        <w:spacing w:after="0" w:line="68"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5.9 Compliance with Laws and Regulations</w:t>
      </w:r>
      <w:r>
        <w:rPr>
          <w:rFonts w:ascii="Arial" w:cs="Arial" w:eastAsia="Arial" w:hAnsi="Arial"/>
          <w:sz w:val="18"/>
          <w:szCs w:val="18"/>
          <w:color w:val="auto"/>
        </w:rPr>
        <w:t>. Borrower and each Subsidiary have met the minimum funding requirements of ERISA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 not engaged principally, or as one of its important activities, in the business of extending credit for the</w:t>
      </w:r>
    </w:p>
    <w:p>
      <w:pPr>
        <w:spacing w:after="0" w:line="16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480" w:top="935" w:right="339" w:bottom="1440" w:gutter="0" w:footer="0" w:header="0"/>
        </w:sectPr>
      </w:pPr>
    </w:p>
    <w:bookmarkStart w:id="101" w:name="page102"/>
    <w:bookmarkEnd w:id="101"/>
    <w:p>
      <w:pPr>
        <w:ind w:left="240" w:right="20"/>
        <w:spacing w:after="0" w:line="276" w:lineRule="auto"/>
        <w:rPr>
          <w:sz w:val="20"/>
          <w:szCs w:val="20"/>
          <w:color w:val="auto"/>
        </w:rPr>
      </w:pPr>
      <w:r>
        <w:rPr>
          <w:rFonts w:ascii="Arial" w:cs="Arial" w:eastAsia="Arial" w:hAnsi="Arial"/>
          <w:sz w:val="17"/>
          <w:szCs w:val="17"/>
          <w:color w:val="auto"/>
        </w:rPr>
        <w:t>purpose of purchasing or carrying margin stock (within the meaning of Regulations T and U of the Board of Governors of the Federal Reserve System). Borrower has not violated any statutes, laws, ordinances or rules applicable to it, the violation of which would reasonably be expected to have a Material Adverse Effect. Parent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would not reasonably be expected to have a Material Adverse Effect.</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5.10 Subsidiaries</w:t>
      </w:r>
      <w:r>
        <w:rPr>
          <w:rFonts w:ascii="Arial" w:cs="Arial" w:eastAsia="Arial" w:hAnsi="Arial"/>
          <w:sz w:val="16"/>
          <w:szCs w:val="16"/>
          <w:color w:val="auto"/>
        </w:rPr>
        <w:t>. Borrower does not own any stock, partnership interest or other equity securities of any Person, except for Permitted Investments.</w:t>
      </w:r>
    </w:p>
    <w:p>
      <w:pPr>
        <w:spacing w:after="0" w:line="140" w:lineRule="exact"/>
        <w:rPr>
          <w:sz w:val="20"/>
          <w:szCs w:val="20"/>
          <w:color w:val="auto"/>
        </w:rPr>
      </w:pPr>
    </w:p>
    <w:p>
      <w:pPr>
        <w:ind w:left="240" w:right="280" w:firstLine="450"/>
        <w:spacing w:after="0" w:line="289" w:lineRule="auto"/>
        <w:rPr>
          <w:sz w:val="20"/>
          <w:szCs w:val="20"/>
          <w:color w:val="auto"/>
        </w:rPr>
      </w:pPr>
      <w:r>
        <w:rPr>
          <w:rFonts w:ascii="Arial" w:cs="Arial" w:eastAsia="Arial" w:hAnsi="Arial"/>
          <w:sz w:val="17"/>
          <w:szCs w:val="17"/>
          <w:b w:val="1"/>
          <w:bCs w:val="1"/>
          <w:color w:val="auto"/>
        </w:rPr>
        <w:t>5.11 Government Consents</w:t>
      </w:r>
      <w:r>
        <w:rPr>
          <w:rFonts w:ascii="Arial" w:cs="Arial" w:eastAsia="Arial" w:hAnsi="Arial"/>
          <w:sz w:val="17"/>
          <w:szCs w:val="17"/>
          <w:color w:val="auto"/>
        </w:rPr>
        <w:t>. Borrower and each Subsidiary have obtained all consents, approvals and authorizations of, made all declarations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filings with, and given all notices to, all governmental authorities that are necessary for the continued operation of Borrower’s business as currently conducted, except where the failure to do so would not reasonably be expected to cause a Material Adverse Effect.</w:t>
      </w:r>
    </w:p>
    <w:p>
      <w:pPr>
        <w:spacing w:after="0" w:line="50" w:lineRule="exact"/>
        <w:rPr>
          <w:sz w:val="20"/>
          <w:szCs w:val="20"/>
          <w:color w:val="auto"/>
        </w:rPr>
      </w:pPr>
    </w:p>
    <w:p>
      <w:pPr>
        <w:jc w:val="both"/>
        <w:ind w:left="240" w:right="180" w:firstLine="450"/>
        <w:spacing w:after="0" w:line="266" w:lineRule="auto"/>
        <w:rPr>
          <w:sz w:val="20"/>
          <w:szCs w:val="20"/>
          <w:color w:val="auto"/>
        </w:rPr>
      </w:pPr>
      <w:r>
        <w:rPr>
          <w:rFonts w:ascii="Arial" w:cs="Arial" w:eastAsia="Arial" w:hAnsi="Arial"/>
          <w:sz w:val="18"/>
          <w:szCs w:val="18"/>
          <w:b w:val="1"/>
          <w:bCs w:val="1"/>
          <w:color w:val="auto"/>
        </w:rPr>
        <w:t>5.12 Inbound Licenses</w:t>
      </w:r>
      <w:r>
        <w:rPr>
          <w:rFonts w:ascii="Arial" w:cs="Arial" w:eastAsia="Arial" w:hAnsi="Arial"/>
          <w:sz w:val="18"/>
          <w:szCs w:val="18"/>
          <w:color w:val="auto"/>
        </w:rPr>
        <w:t>. Except as disclosed on the Schedule, Borrower is not a party to, nor is bound by, any material license or other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for the conduct of Borrower’s business that prohibits or otherwise restricts Borrower from granting a security interest in Borrower’s interest in such license or agreement, other than this Agreement or the other Loan Documents.</w:t>
      </w:r>
    </w:p>
    <w:p>
      <w:pPr>
        <w:spacing w:after="0" w:line="68" w:lineRule="exact"/>
        <w:rPr>
          <w:sz w:val="20"/>
          <w:szCs w:val="20"/>
          <w:color w:val="auto"/>
        </w:rPr>
      </w:pPr>
    </w:p>
    <w:p>
      <w:pPr>
        <w:ind w:left="240" w:firstLine="450"/>
        <w:spacing w:after="0" w:line="256" w:lineRule="auto"/>
        <w:rPr>
          <w:sz w:val="20"/>
          <w:szCs w:val="20"/>
          <w:color w:val="auto"/>
        </w:rPr>
      </w:pPr>
      <w:r>
        <w:rPr>
          <w:rFonts w:ascii="Arial" w:cs="Arial" w:eastAsia="Arial" w:hAnsi="Arial"/>
          <w:sz w:val="18"/>
          <w:szCs w:val="18"/>
          <w:b w:val="1"/>
          <w:bCs w:val="1"/>
          <w:color w:val="auto"/>
        </w:rPr>
        <w:t>5.13 Full Disclosure</w:t>
      </w:r>
      <w:r>
        <w:rPr>
          <w:rFonts w:ascii="Arial" w:cs="Arial" w:eastAsia="Arial" w:hAnsi="Arial"/>
          <w:sz w:val="18"/>
          <w:szCs w:val="18"/>
          <w:color w:val="auto"/>
        </w:rPr>
        <w:t>. No representation, warranty or other statement made by Borrower in any certificate or written statement furnished to Bank</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with all such certificates and written statements furnished to Bank contains any untrue statement of a material fact or omits to state a material fact necessary in order to make the statements contained in such certificates or statements not misleading in light of the circumstances in which they were made, it being recognized by Bank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AFFIRMATIVE COVENANTS</w:t>
      </w:r>
      <w:r>
        <w:rPr>
          <w:rFonts w:ascii="Arial" w:cs="Arial" w:eastAsia="Arial" w:hAnsi="Arial"/>
          <w:sz w:val="18"/>
          <w:szCs w:val="18"/>
          <w:color w:val="auto"/>
        </w:rPr>
        <w:t>.</w:t>
      </w:r>
    </w:p>
    <w:p>
      <w:pPr>
        <w:spacing w:after="0" w:line="121"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Borrower covenants that, until payment in full of all outstanding Obligations, and for so long as Bank may have any commitment to make a Credit Extension hereunder, Borrower shall do all of the following:</w:t>
      </w:r>
    </w:p>
    <w:p>
      <w:pPr>
        <w:spacing w:after="0" w:line="58" w:lineRule="exact"/>
        <w:rPr>
          <w:sz w:val="20"/>
          <w:szCs w:val="20"/>
          <w:color w:val="auto"/>
        </w:rPr>
      </w:pPr>
    </w:p>
    <w:p>
      <w:pPr>
        <w:ind w:left="240" w:right="60" w:firstLine="450"/>
        <w:spacing w:after="0" w:line="289" w:lineRule="auto"/>
        <w:rPr>
          <w:sz w:val="20"/>
          <w:szCs w:val="20"/>
          <w:color w:val="auto"/>
        </w:rPr>
      </w:pPr>
      <w:r>
        <w:rPr>
          <w:rFonts w:ascii="Arial" w:cs="Arial" w:eastAsia="Arial" w:hAnsi="Arial"/>
          <w:sz w:val="17"/>
          <w:szCs w:val="17"/>
          <w:b w:val="1"/>
          <w:bCs w:val="1"/>
          <w:color w:val="auto"/>
        </w:rPr>
        <w:t>6.1 Good Standing and Government Compliance</w:t>
      </w:r>
      <w:r>
        <w:rPr>
          <w:rFonts w:ascii="Arial" w:cs="Arial" w:eastAsia="Arial" w:hAnsi="Arial"/>
          <w:sz w:val="17"/>
          <w:szCs w:val="17"/>
          <w:color w:val="auto"/>
        </w:rPr>
        <w:t>. Borrower shall maintain its and each of its Subsidiaries’ corporate existence and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in the respective states of formation, shall maintain qualification and good standing in each other jurisdiction in which the failure to so qualify would reasonably be expected to have a Material Adverse Effect, and shall furnish to Bank the organizational identification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left="4" w:right="160"/>
        <w:spacing w:after="0" w:line="257" w:lineRule="auto"/>
        <w:rPr>
          <w:sz w:val="20"/>
          <w:szCs w:val="20"/>
          <w:color w:val="auto"/>
        </w:rPr>
      </w:pPr>
      <w:r>
        <w:rPr>
          <w:rFonts w:ascii="Arial" w:cs="Arial" w:eastAsia="Arial" w:hAnsi="Arial"/>
          <w:sz w:val="18"/>
          <w:szCs w:val="18"/>
          <w:color w:val="auto"/>
        </w:rPr>
        <w:t>number issued to Borrower by the authorities of the state in which Borrower is organized, if applicable. Borrower shall meet, and shall cause each Subsidiary to meet, the minimum funding requirements of ERISA with respect to any employee benefit plans subject to ERISA. Borrower shall comply, and shall cause each Subsidiary to comply, with all statutes, laws, ordinances and government rules and regulations to which it is subject, and shall maintain, and shall cause each of its Subsidiaries to maintain, in force all licenses, approvals and agreements, the loss of which or failure to comply with which would reasonably be expected to have a Material Adverse Effect.</w:t>
      </w:r>
    </w:p>
    <w:p>
      <w:pPr>
        <w:spacing w:after="0" w:line="76" w:lineRule="exact"/>
        <w:rPr>
          <w:sz w:val="20"/>
          <w:szCs w:val="20"/>
          <w:color w:val="auto"/>
        </w:rPr>
      </w:pPr>
    </w:p>
    <w:p>
      <w:pPr>
        <w:ind w:left="4" w:firstLine="450"/>
        <w:spacing w:after="0" w:line="283" w:lineRule="auto"/>
        <w:rPr>
          <w:sz w:val="20"/>
          <w:szCs w:val="20"/>
          <w:color w:val="auto"/>
        </w:rPr>
      </w:pPr>
      <w:r>
        <w:rPr>
          <w:rFonts w:ascii="Arial" w:cs="Arial" w:eastAsia="Arial" w:hAnsi="Arial"/>
          <w:sz w:val="16"/>
          <w:szCs w:val="16"/>
          <w:b w:val="1"/>
          <w:bCs w:val="1"/>
          <w:color w:val="auto"/>
        </w:rPr>
        <w:t>6.2 Financial Statements, Reports, Certificates</w:t>
      </w:r>
      <w:r>
        <w:rPr>
          <w:rFonts w:ascii="Arial" w:cs="Arial" w:eastAsia="Arial" w:hAnsi="Arial"/>
          <w:sz w:val="16"/>
          <w:szCs w:val="16"/>
          <w:color w:val="auto"/>
        </w:rPr>
        <w:t>. Parent shall deliver to Bank: (i) as soon as available, but in any event within 30 days after the end</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calendar month, a company prepared consolidated and consolidating balance sheet and income statement covering Borrower’s operations during such period, in a form reasonably acceptable to Bank and certified by a Responsible Officer; (ii) as soon as available, but in any event within 180 days after the end of Borrower’s fiscal year, audited (or such other level as is required by the Investment Agreement) consolidated and consolidating financial statements of Borrower prepared in accordance with GAAP, consistently applied, together with an opinion which is either unqualified, qualified only for going concern so long as Borrower’s investors provide additional equity as needed or otherwise consented to in writing by Bank on such financial statements of an independent certified public accounting firm reasonably acceptable to Bank; (iii) a 2009 monthly, Board approved operating plan, including income statement and balance sheet, no later than December 15, 2008; (iv) annual budget approved by Borrower’s Board of Directors as soon as available but not later than 60 days after the beginning of the applicable fiscal year; (v) if applicable, copies of all statements, reports and notices sent or made available generally by Borrower to its security holders or to any holders of Subordinated Debt and all reports on Forms 10-K and 10-Q filed with the Securities and Exchange Commission; (vi) promptly upon receipt of notice thereof, a report of any legal actions pending or threatened in writing against Borrower or any Subsidiary that could reasonably be expected to result in damages or costs to Borrower or any Subsidiary of $250,000 or more;</w:t>
      </w:r>
    </w:p>
    <w:p>
      <w:pPr>
        <w:spacing w:after="0" w:line="8" w:lineRule="exact"/>
        <w:rPr>
          <w:sz w:val="20"/>
          <w:szCs w:val="20"/>
          <w:color w:val="auto"/>
        </w:rPr>
      </w:pPr>
    </w:p>
    <w:p>
      <w:pPr>
        <w:ind w:left="4" w:hanging="4"/>
        <w:spacing w:after="0" w:line="288" w:lineRule="auto"/>
        <w:tabs>
          <w:tab w:leader="none" w:pos="35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promptly upon receipt, each management letter prepared by Borrower’s independent certified public accounting firm regarding Borrower’s management control systems, (viii) such budgets, sales projections, operating plans or other financial information generally prepared by Borrower in the ordinary course of business as Bank may reasonably request from time to time; and (ix) within 30 days of the last day of each fiscal quarter, a report signed by Borrower, in form reasonably acceptable to Bank, listing any applications or registrations that Borrower has made or filed in respect of any Patents, Copyrights or Trademarks and the status of any outstanding applications or registrations, as well as any material change in Borrower’s Intellectual Property Collateral, including but not limited to any subsequent ownership right of Borrower in or to any Trademark, Patent or Copyright not specified in Exhibits A, B, and C of any Intellectual Property Security Agreement delivered to Bank by Borrower in connection with this Agreement.</w:t>
      </w:r>
    </w:p>
    <w:p>
      <w:pPr>
        <w:spacing w:after="0" w:line="60" w:lineRule="exact"/>
        <w:rPr>
          <w:rFonts w:ascii="Arial" w:cs="Arial" w:eastAsia="Arial" w:hAnsi="Arial"/>
          <w:sz w:val="16"/>
          <w:szCs w:val="16"/>
          <w:color w:val="auto"/>
        </w:rPr>
      </w:pPr>
    </w:p>
    <w:p>
      <w:pPr>
        <w:ind w:left="924" w:hanging="249"/>
        <w:spacing w:after="0"/>
        <w:tabs>
          <w:tab w:leader="none" w:pos="924" w:val="left"/>
        </w:tabs>
        <w:numPr>
          <w:ilvl w:val="1"/>
          <w:numId w:val="118"/>
        </w:numPr>
        <w:rPr>
          <w:rFonts w:ascii="Arial" w:cs="Arial" w:eastAsia="Arial" w:hAnsi="Arial"/>
          <w:sz w:val="16"/>
          <w:szCs w:val="16"/>
          <w:b w:val="1"/>
          <w:bCs w:val="1"/>
          <w:color w:val="auto"/>
        </w:rPr>
      </w:pPr>
      <w:r>
        <w:rPr>
          <w:rFonts w:ascii="Arial" w:cs="Arial" w:eastAsia="Arial" w:hAnsi="Arial"/>
          <w:sz w:val="16"/>
          <w:szCs w:val="16"/>
          <w:color w:val="auto"/>
        </w:rPr>
        <w:t>Within 30 days after the last day of each month, Parent shall deliver to Bank a Borrowing Base Certificate signed by a Responsible Officer in</w:t>
      </w:r>
    </w:p>
    <w:p>
      <w:pPr>
        <w:spacing w:after="0" w:line="221"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03" w:name="page104"/>
    <w:bookmarkEnd w:id="103"/>
    <w:p>
      <w:pPr>
        <w:ind w:left="240"/>
        <w:spacing w:after="0"/>
        <w:rPr>
          <w:sz w:val="20"/>
          <w:szCs w:val="20"/>
          <w:color w:val="auto"/>
        </w:rPr>
      </w:pPr>
      <w:r>
        <w:rPr>
          <w:rFonts w:ascii="Arial" w:cs="Arial" w:eastAsia="Arial" w:hAnsi="Arial"/>
          <w:sz w:val="18"/>
          <w:szCs w:val="18"/>
          <w:color w:val="auto"/>
        </w:rPr>
        <w:t>substantially the form of Exhibit D hereto, together with aged listings by invoice date of accounts receivable and accounts payable.</w:t>
      </w:r>
    </w:p>
    <w:p>
      <w:pPr>
        <w:spacing w:after="0" w:line="117" w:lineRule="exact"/>
        <w:rPr>
          <w:sz w:val="20"/>
          <w:szCs w:val="20"/>
          <w:color w:val="auto"/>
        </w:rPr>
      </w:pPr>
    </w:p>
    <w:p>
      <w:pPr>
        <w:ind w:left="240" w:right="120" w:firstLine="671"/>
        <w:spacing w:after="0" w:line="308" w:lineRule="auto"/>
        <w:tabs>
          <w:tab w:leader="none" w:pos="1180"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Within 30 days after the last day of each month, Parent shall deliver to Bank with the monthly financial statements a Compliance Certificate certified as of the last day of the applicable month and signed by a Responsible Officer in substantially the form of Exhibit E hereto.</w:t>
      </w:r>
    </w:p>
    <w:p>
      <w:pPr>
        <w:spacing w:after="0" w:line="38" w:lineRule="exact"/>
        <w:rPr>
          <w:rFonts w:ascii="Arial" w:cs="Arial" w:eastAsia="Arial" w:hAnsi="Arial"/>
          <w:sz w:val="17"/>
          <w:szCs w:val="17"/>
          <w:b w:val="1"/>
          <w:bCs w:val="1"/>
          <w:color w:val="auto"/>
        </w:rPr>
      </w:pPr>
    </w:p>
    <w:p>
      <w:pPr>
        <w:ind w:left="240" w:right="120" w:firstLine="671"/>
        <w:spacing w:after="0" w:line="264" w:lineRule="auto"/>
        <w:tabs>
          <w:tab w:leader="none" w:pos="1159"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As soon as possible and in any event within 3 Business Days after becoming aware of the occurrence or existence of an Event of Default hereunder, a written statement of a Responsible Officer setting forth details of the Event of Default, and the action which Borrower has taken or proposes to take with respect thereto.</w:t>
      </w:r>
    </w:p>
    <w:p>
      <w:pPr>
        <w:spacing w:after="0" w:line="73" w:lineRule="exact"/>
        <w:rPr>
          <w:rFonts w:ascii="Arial" w:cs="Arial" w:eastAsia="Arial" w:hAnsi="Arial"/>
          <w:sz w:val="18"/>
          <w:szCs w:val="18"/>
          <w:b w:val="1"/>
          <w:bCs w:val="1"/>
          <w:color w:val="auto"/>
        </w:rPr>
      </w:pPr>
    </w:p>
    <w:p>
      <w:pPr>
        <w:ind w:left="240" w:right="160" w:firstLine="671"/>
        <w:spacing w:after="0" w:line="255" w:lineRule="auto"/>
        <w:tabs>
          <w:tab w:leader="none" w:pos="1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Bank (through any of its officers, employees, or agents) shall have the right, upon reasonable prior notice, from time to time during Borrower’s usual business hours but no more than twice a year (unless an Event of Default has occurred and is continuing), to inspect Borrower’s Books and to make copies thereof and to check, test, inspect, audit and appraise the Collateral at Borrower’s expense in order to verify Borrower’s financial condition or the amount, condition of, or any other matter relating to, the Collateral. Notwithstanding the foregoing, Borrower and Bank agree that Bank shall complete its initial audit of the Collateral within 30 days following the date hereof, and Borrower shall take all reasonable steps in connection therewith.</w:t>
      </w:r>
    </w:p>
    <w:p>
      <w:pPr>
        <w:spacing w:after="0" w:line="8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Borrower may deliver to Bank on an electronic basis any certificates, reports or information required pursuant to this Section 6.2, and Bank shall be entitled to rely on the information contained in the electronic files, provided that Bank in good faith believes that the files were delivered by a Responsible Officer. Borrower shall include a submission date on any certificates and reports to be delivered electronically.</w:t>
      </w:r>
    </w:p>
    <w:p>
      <w:pPr>
        <w:spacing w:after="0" w:line="69" w:lineRule="exact"/>
        <w:rPr>
          <w:sz w:val="20"/>
          <w:szCs w:val="20"/>
          <w:color w:val="auto"/>
        </w:rPr>
      </w:pPr>
    </w:p>
    <w:p>
      <w:pPr>
        <w:ind w:left="240" w:firstLine="450"/>
        <w:spacing w:after="0" w:line="256" w:lineRule="auto"/>
        <w:rPr>
          <w:sz w:val="20"/>
          <w:szCs w:val="20"/>
          <w:color w:val="auto"/>
        </w:rPr>
      </w:pPr>
      <w:r>
        <w:rPr>
          <w:rFonts w:ascii="Arial" w:cs="Arial" w:eastAsia="Arial" w:hAnsi="Arial"/>
          <w:sz w:val="18"/>
          <w:szCs w:val="18"/>
          <w:b w:val="1"/>
          <w:bCs w:val="1"/>
          <w:color w:val="auto"/>
        </w:rPr>
        <w:t>6.3 Inventory and Equipment; Returns</w:t>
      </w:r>
      <w:r>
        <w:rPr>
          <w:rFonts w:ascii="Arial" w:cs="Arial" w:eastAsia="Arial" w:hAnsi="Arial"/>
          <w:sz w:val="18"/>
          <w:szCs w:val="18"/>
          <w:color w:val="auto"/>
        </w:rPr>
        <w:t>. Borrower shall keep all Inventory and Equipment in good and merchantable condition, free from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defects except for Inventory and Equipment (i) sold in the ordinary course of business, and (ii) for which adequate reserves have been made, in all cases in the United States and such other locations as to which Borrower gives prior written notice. Returns and allowances, if any, as between Borrower and its account debtors shall be on the same basis and in accordance with the usual customary practices of Borrower, as they exist on the Closing Date. Borrower shall promptly notify Bank of all returns and recoveries and of all disputes and claims involving inventory having a book value of more than $100,000.</w:t>
      </w:r>
    </w:p>
    <w:p>
      <w:pPr>
        <w:spacing w:after="0" w:line="80" w:lineRule="exact"/>
        <w:rPr>
          <w:sz w:val="20"/>
          <w:szCs w:val="20"/>
          <w:color w:val="auto"/>
        </w:rPr>
      </w:pPr>
    </w:p>
    <w:p>
      <w:pPr>
        <w:ind w:left="240" w:firstLine="450"/>
        <w:spacing w:after="0" w:line="261" w:lineRule="auto"/>
        <w:rPr>
          <w:sz w:val="20"/>
          <w:szCs w:val="20"/>
          <w:color w:val="auto"/>
        </w:rPr>
      </w:pPr>
      <w:r>
        <w:rPr>
          <w:rFonts w:ascii="Arial" w:cs="Arial" w:eastAsia="Arial" w:hAnsi="Arial"/>
          <w:sz w:val="18"/>
          <w:szCs w:val="18"/>
          <w:b w:val="1"/>
          <w:bCs w:val="1"/>
          <w:color w:val="auto"/>
        </w:rPr>
        <w:t>6.4 Taxes</w:t>
      </w:r>
      <w:r>
        <w:rPr>
          <w:rFonts w:ascii="Arial" w:cs="Arial" w:eastAsia="Arial" w:hAnsi="Arial"/>
          <w:sz w:val="18"/>
          <w:szCs w:val="18"/>
          <w:color w:val="auto"/>
        </w:rPr>
        <w:t>. Borrower shall make, and cause each Subsidiary to make, due and timely payment or deposit of all material federal, state, and local taxes,</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assessments, or contributions required of it by law, including, but not limited to, those laws concerning income taxes, F.I.C.A., F.U.T.A. and state disability, and will execute and deliver to Bank, on demand, proof satisfactory to Bank indicating that Borrower or a Subsidiary has made such payments or deposits and any appropriate certificates attesting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4" w:name="page105"/>
    <w:bookmarkEnd w:id="104"/>
    <w:p>
      <w:pPr>
        <w:ind w:right="600"/>
        <w:spacing w:after="0" w:line="342" w:lineRule="auto"/>
        <w:rPr>
          <w:sz w:val="20"/>
          <w:szCs w:val="20"/>
          <w:color w:val="auto"/>
        </w:rPr>
      </w:pPr>
      <w:r>
        <w:rPr>
          <w:rFonts w:ascii="Arial" w:cs="Arial" w:eastAsia="Arial" w:hAnsi="Arial"/>
          <w:sz w:val="16"/>
          <w:szCs w:val="16"/>
          <w:color w:val="auto"/>
        </w:rPr>
        <w:t>to the payment or deposit thereof; provided that Borrower or a Subsidiary need not make any payment if the amount or validity of such payment is contested in good faith by appropriate proceedings and is reserved against (to the extent required by GAAP) by Borrower or such Subsidiary.</w:t>
      </w:r>
    </w:p>
    <w:p>
      <w:pPr>
        <w:spacing w:after="0" w:line="12"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b w:val="1"/>
          <w:bCs w:val="1"/>
          <w:color w:val="auto"/>
        </w:rPr>
        <w:t>6.5 Insurance</w:t>
      </w:r>
      <w:r>
        <w:rPr>
          <w:rFonts w:ascii="Arial" w:cs="Arial" w:eastAsia="Arial" w:hAnsi="Arial"/>
          <w:sz w:val="17"/>
          <w:szCs w:val="17"/>
          <w:color w:val="auto"/>
        </w:rPr>
        <w:t>. Borrower, at its expense, shall (i) keep the Collateral insured against loss or damage, and (ii) maintain liability and other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in each case in as ordinarily insured against by other owners in businesses similar to Borrower’s. All such policies of insurance shall be in such form, with such companies, and in such amounts as reasonably satisfactory to Bank. All policies of property insurance shall contain a lender’s loss payable endorsement, in a form satisfactory to Bank, showing Bank as an additional loss payee, and all liability insurance policies shall show Bank as an additional insured and specify that the insurer must give at least 20 days notice to Bank before canceling its policy for any reason. Within 30 days of the Closing Date, Borrower shall cause to be furnished to Bank a copy of its policies or certificate of insurance including any endorsements covering Bank or showing Bank as an additional insured. Upon Bank’s request, Borrower shall deliver to Bank certified copies of the policies of insurance and evidence of all premium payments. Proceeds payable under any casualty policy will, at Borrower’s option, be payable to Borrower to replace the property subject to the claim, provided that any such replacement property shall be deemed Collateral in which Bank has been granted a first priority security interest, provided that if an Event of Default has occurred and is continuing, all proceeds payable under any such policy shall, at Bank’s option, be payable to Bank to be applied on account of the Obligations.</w:t>
      </w:r>
    </w:p>
    <w:p>
      <w:pPr>
        <w:spacing w:after="0" w:line="66"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color w:val="auto"/>
        </w:rPr>
        <w:t xml:space="preserve">6.6 “Primary Depository”. </w:t>
      </w:r>
      <w:r>
        <w:rPr>
          <w:rFonts w:ascii="Arial" w:cs="Arial" w:eastAsia="Arial" w:hAnsi="Arial"/>
          <w:sz w:val="18"/>
          <w:szCs w:val="18"/>
          <w:color w:val="auto"/>
        </w:rPr>
        <w:t>Subject to the provisions of Section 3.1(l), Borrower within 30 days of the Closing Date shall maintain all its depository</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operating accounts with Bank and its primary investment accounts with Bank or Bank’s affiliates; provided that Borrower shall be permitted to maintain up to $200,000 in Cash at Comerica Bank for a period of up to 60 days.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6.7 Financial/Other Covenants.</w:t>
      </w:r>
    </w:p>
    <w:p>
      <w:pPr>
        <w:spacing w:after="0" w:line="117" w:lineRule="exact"/>
        <w:rPr>
          <w:sz w:val="20"/>
          <w:szCs w:val="20"/>
          <w:color w:val="auto"/>
        </w:rPr>
      </w:pPr>
    </w:p>
    <w:p>
      <w:pPr>
        <w:ind w:right="80" w:firstLine="671"/>
        <w:spacing w:after="0" w:line="289" w:lineRule="auto"/>
        <w:tabs>
          <w:tab w:leader="none" w:pos="93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Funding Milestone. </w:t>
      </w:r>
      <w:r>
        <w:rPr>
          <w:rFonts w:ascii="Arial" w:cs="Arial" w:eastAsia="Arial" w:hAnsi="Arial"/>
          <w:sz w:val="17"/>
          <w:szCs w:val="17"/>
          <w:color w:val="auto"/>
        </w:rPr>
        <w:t>On or before November 30, 2008, Parent shall provide Bank with a signed term sheet with respect to the issuance of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$4,000,000 of Parent’s convertible debt or equity securities (inclusive of $1,000,000 in convertible debt issued and outstanding to Austin Ventures as of the Closing Date), which transaction shall close on or before January 15, 2009 (the “Funding Milestone”).</w:t>
      </w:r>
    </w:p>
    <w:p>
      <w:pPr>
        <w:spacing w:after="0" w:line="50" w:lineRule="exact"/>
        <w:rPr>
          <w:rFonts w:ascii="Arial" w:cs="Arial" w:eastAsia="Arial" w:hAnsi="Arial"/>
          <w:sz w:val="17"/>
          <w:szCs w:val="17"/>
          <w:b w:val="1"/>
          <w:bCs w:val="1"/>
          <w:color w:val="auto"/>
        </w:rPr>
      </w:pPr>
    </w:p>
    <w:p>
      <w:pPr>
        <w:ind w:right="320" w:firstLine="671"/>
        <w:spacing w:after="0" w:line="282" w:lineRule="auto"/>
        <w:tabs>
          <w:tab w:leader="none" w:pos="9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Adjusted Liquidity Ratio. </w:t>
      </w:r>
      <w:r>
        <w:rPr>
          <w:rFonts w:ascii="Arial" w:cs="Arial" w:eastAsia="Arial" w:hAnsi="Arial"/>
          <w:sz w:val="18"/>
          <w:szCs w:val="18"/>
          <w:color w:val="auto"/>
        </w:rPr>
        <w:t>Following Parent’s achievement of the Funding Milestone, Borrowers shall at all times, but reported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 Adjusted Liquidity Ratio of 1.00 to 1.00.</w:t>
      </w:r>
    </w:p>
    <w:p>
      <w:pPr>
        <w:spacing w:after="0" w:line="53" w:lineRule="exact"/>
        <w:rPr>
          <w:rFonts w:ascii="Arial" w:cs="Arial" w:eastAsia="Arial" w:hAnsi="Arial"/>
          <w:sz w:val="18"/>
          <w:szCs w:val="18"/>
          <w:b w:val="1"/>
          <w:bCs w:val="1"/>
          <w:color w:val="auto"/>
        </w:rPr>
      </w:pPr>
    </w:p>
    <w:p>
      <w:pPr>
        <w:ind w:right="180" w:firstLine="671"/>
        <w:spacing w:after="0" w:line="266" w:lineRule="auto"/>
        <w:tabs>
          <w:tab w:leader="none" w:pos="9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EBITDA to Plan</w:t>
      </w:r>
      <w:r>
        <w:rPr>
          <w:rFonts w:ascii="Arial" w:cs="Arial" w:eastAsia="Arial" w:hAnsi="Arial"/>
          <w:sz w:val="18"/>
          <w:szCs w:val="18"/>
          <w:color w:val="auto"/>
        </w:rPr>
        <w:t>. Following Parent’s achievement of the Funding Milestone, measured monthly and calculated on a rolling three month</w:t>
      </w:r>
      <w:r>
        <w:rPr>
          <w:rFonts w:ascii="Arial" w:cs="Arial" w:eastAsia="Arial" w:hAnsi="Arial"/>
          <w:sz w:val="18"/>
          <w:szCs w:val="18"/>
          <w:b w:val="1"/>
          <w:bCs w:val="1"/>
          <w:color w:val="auto"/>
        </w:rPr>
        <w:t xml:space="preserve"> </w:t>
      </w:r>
      <w:r>
        <w:rPr>
          <w:rFonts w:ascii="Arial" w:cs="Arial" w:eastAsia="Arial" w:hAnsi="Arial"/>
          <w:sz w:val="18"/>
          <w:szCs w:val="18"/>
          <w:color w:val="auto"/>
        </w:rPr>
        <w:t>basis, Borrowers shall maintain certain levels of GAAP EBITDA, as set forth in the table immediately below. Levels for subsequent fiscal years shall be determined based upon</w:t>
      </w:r>
    </w:p>
    <w:p>
      <w:pPr>
        <w:spacing w:after="0" w:line="15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20" w:type="dxa"/>
            <w:vAlign w:val="bottom"/>
          </w:tcPr>
          <w:p>
            <w:pPr>
              <w:ind w:left="220"/>
              <w:spacing w:after="0"/>
              <w:rPr>
                <w:sz w:val="20"/>
                <w:szCs w:val="20"/>
                <w:color w:val="auto"/>
              </w:rPr>
            </w:pPr>
            <w:r>
              <w:rPr>
                <w:rFonts w:ascii="Arial" w:cs="Arial" w:eastAsia="Arial" w:hAnsi="Arial"/>
                <w:sz w:val="18"/>
                <w:szCs w:val="18"/>
                <w:color w:val="auto"/>
                <w:w w:val="96"/>
              </w:rPr>
              <w:t>Borrowers’ monthly operating plan which shall be provided to Bank no later than December 15 of the then-current fiscal year.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December 2008</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January 2009</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($896,094)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February 2009</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March 2009</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($882,540)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April 2009</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May 2009</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($677,976)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June 2009</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July 2009</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($539,821)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August 2009</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September 2009</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($425,773)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October 2009</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November 2009</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($226,512)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December 2009</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($347,080)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6.8 Registration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left="240" w:right="420" w:firstLine="671"/>
        <w:spacing w:after="0" w:line="277" w:lineRule="auto"/>
        <w:tabs>
          <w:tab w:leader="none" w:pos="1169"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w:t>
      </w:r>
    </w:p>
    <w:p>
      <w:pPr>
        <w:spacing w:after="0" w:line="62" w:lineRule="exact"/>
        <w:rPr>
          <w:rFonts w:ascii="Arial" w:cs="Arial" w:eastAsia="Arial" w:hAnsi="Arial"/>
          <w:sz w:val="18"/>
          <w:szCs w:val="18"/>
          <w:b w:val="1"/>
          <w:bCs w:val="1"/>
          <w:color w:val="auto"/>
        </w:rPr>
      </w:pPr>
    </w:p>
    <w:p>
      <w:pPr>
        <w:ind w:left="240" w:right="40" w:firstLine="671"/>
        <w:spacing w:after="0" w:line="254" w:lineRule="auto"/>
        <w:tabs>
          <w:tab w:leader="none" w:pos="1180"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Borrower shall (i) give Bank not less than 5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(ii) prior to the filing of any such applications or registrations, execute such documents as Bank may reasonably request for Bank to maintain its perfection in such intellectual property rights to be registered by Borrower; (iii) upon the request of Bank, either deliver to Bank or file such documents simultaneously with the filing of any such applications or registrations; (iv) upon filing any such applications or registrations, promptly provide Bank with a copy of such applications or registrations together with any exhibits, evidence of the filing of any documents requested by Bank to be filed for Bank to maintain the perfection and priority of its security interest in such intellectual property rights, and the date of such filing.</w:t>
      </w:r>
    </w:p>
    <w:p>
      <w:pPr>
        <w:spacing w:after="0" w:line="84" w:lineRule="exact"/>
        <w:rPr>
          <w:rFonts w:ascii="Arial" w:cs="Arial" w:eastAsia="Arial" w:hAnsi="Arial"/>
          <w:sz w:val="18"/>
          <w:szCs w:val="18"/>
          <w:b w:val="1"/>
          <w:bCs w:val="1"/>
          <w:color w:val="auto"/>
        </w:rPr>
      </w:pPr>
    </w:p>
    <w:p>
      <w:pPr>
        <w:ind w:left="240" w:right="160" w:firstLine="671"/>
        <w:spacing w:after="0" w:line="277" w:lineRule="auto"/>
        <w:tabs>
          <w:tab w:leader="none" w:pos="1159"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Borrower shall execute and deliver such additional instruments and documents from time to time as Bank shall reasonably request to perfect and maintain the perfection and priority of Bank’s security interest in the Intellectual Property Collateral.</w:t>
      </w:r>
    </w:p>
    <w:p>
      <w:pPr>
        <w:spacing w:after="0" w:line="62" w:lineRule="exact"/>
        <w:rPr>
          <w:rFonts w:ascii="Arial" w:cs="Arial" w:eastAsia="Arial" w:hAnsi="Arial"/>
          <w:sz w:val="18"/>
          <w:szCs w:val="18"/>
          <w:b w:val="1"/>
          <w:bCs w:val="1"/>
          <w:color w:val="auto"/>
        </w:rPr>
      </w:pPr>
    </w:p>
    <w:p>
      <w:pPr>
        <w:ind w:left="1180" w:hanging="269"/>
        <w:spacing w:after="0"/>
        <w:tabs>
          <w:tab w:leader="none" w:pos="1180" w:val="left"/>
        </w:tabs>
        <w:numPr>
          <w:ilvl w:val="1"/>
          <w:numId w:val="121"/>
        </w:numPr>
        <w:rPr>
          <w:rFonts w:ascii="Arial" w:cs="Arial" w:eastAsia="Arial" w:hAnsi="Arial"/>
          <w:sz w:val="17"/>
          <w:szCs w:val="17"/>
          <w:b w:val="1"/>
          <w:bCs w:val="1"/>
          <w:color w:val="auto"/>
        </w:rPr>
      </w:pPr>
      <w:r>
        <w:rPr>
          <w:rFonts w:ascii="Arial" w:cs="Arial" w:eastAsia="Arial" w:hAnsi="Arial"/>
          <w:sz w:val="17"/>
          <w:szCs w:val="17"/>
          <w:color w:val="auto"/>
        </w:rPr>
        <w:t>Borrower shall (i) protect, defend and maintain the validity and enforceability of the trade secrets, Trademarks, Patents and Copyrights,</w:t>
      </w:r>
    </w:p>
    <w:p>
      <w:pPr>
        <w:spacing w:after="0" w:line="34" w:lineRule="exact"/>
        <w:rPr>
          <w:rFonts w:ascii="Arial" w:cs="Arial" w:eastAsia="Arial" w:hAnsi="Arial"/>
          <w:sz w:val="17"/>
          <w:szCs w:val="17"/>
          <w:b w:val="1"/>
          <w:bCs w:val="1"/>
          <w:color w:val="auto"/>
        </w:rPr>
      </w:pPr>
    </w:p>
    <w:p>
      <w:pPr>
        <w:ind w:left="500" w:hanging="264"/>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ind w:left="240"/>
        <w:spacing w:after="0" w:line="264" w:lineRule="auto"/>
        <w:rPr>
          <w:sz w:val="20"/>
          <w:szCs w:val="20"/>
          <w:color w:val="auto"/>
        </w:rPr>
      </w:pPr>
      <w:r>
        <w:rPr>
          <w:rFonts w:ascii="Arial" w:cs="Arial" w:eastAsia="Arial" w:hAnsi="Arial"/>
          <w:sz w:val="18"/>
          <w:szCs w:val="18"/>
          <w:color w:val="auto"/>
        </w:rPr>
        <w:t>commercially reasonable efforts to detect infringements of the Trademarks, Patents and Copyrights and promptly advise Bank in writing of material infringements detected and (iii) not allow any material Trademarks, Patents or Copyrights to be abandoned, forfeited or dedicated to the public without the written consent of Bank, which shall not be unreasonably withheld.</w:t>
      </w:r>
    </w:p>
    <w:p>
      <w:pPr>
        <w:spacing w:after="0" w:line="73" w:lineRule="exact"/>
        <w:rPr>
          <w:sz w:val="20"/>
          <w:szCs w:val="20"/>
          <w:color w:val="auto"/>
        </w:rPr>
      </w:pPr>
    </w:p>
    <w:p>
      <w:pPr>
        <w:ind w:left="240" w:right="220" w:firstLine="671"/>
        <w:spacing w:after="0" w:line="264" w:lineRule="auto"/>
        <w:tabs>
          <w:tab w:leader="none" w:pos="1159"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Bank shall have the right, but not the obligation, to take, at Borrower’s sole expense, any actions that Borrower is required under this Section 6.8 to take but which Borrower fails to take, after 15 days’ notice to Borrower. Borrower shall reimburse and indemnify Bank for all reasonable costs and reasonable expenses incurred in the reasonable exercise of its rights under this Section 6.8.</w:t>
      </w:r>
    </w:p>
    <w:p>
      <w:pPr>
        <w:spacing w:after="0" w:line="69" w:lineRule="exact"/>
        <w:rPr>
          <w:sz w:val="20"/>
          <w:szCs w:val="20"/>
          <w:color w:val="auto"/>
        </w:rPr>
      </w:pPr>
    </w:p>
    <w:p>
      <w:pPr>
        <w:jc w:val="both"/>
        <w:ind w:left="240" w:right="300" w:firstLine="450"/>
        <w:spacing w:after="0" w:line="347" w:lineRule="auto"/>
        <w:rPr>
          <w:sz w:val="20"/>
          <w:szCs w:val="20"/>
          <w:color w:val="auto"/>
        </w:rPr>
      </w:pPr>
      <w:r>
        <w:rPr>
          <w:rFonts w:ascii="Arial" w:cs="Arial" w:eastAsia="Arial" w:hAnsi="Arial"/>
          <w:sz w:val="16"/>
          <w:szCs w:val="16"/>
          <w:b w:val="1"/>
          <w:bCs w:val="1"/>
          <w:color w:val="auto"/>
        </w:rPr>
        <w:t xml:space="preserve">6.9 Inbound Licensors. </w:t>
      </w:r>
      <w:r>
        <w:rPr>
          <w:rFonts w:ascii="Arial" w:cs="Arial" w:eastAsia="Arial" w:hAnsi="Arial"/>
          <w:sz w:val="16"/>
          <w:szCs w:val="16"/>
          <w:color w:val="auto"/>
        </w:rPr>
        <w:t>Prior to entering into or becoming bound by any material inbound license or agreement, Borrower shall provide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Bank of the material terms of such license or agreement with a description of its likely impact on Borrower’s business or financial condition.</w:t>
      </w:r>
    </w:p>
    <w:p>
      <w:pPr>
        <w:spacing w:after="0" w:line="8" w:lineRule="exact"/>
        <w:rPr>
          <w:sz w:val="20"/>
          <w:szCs w:val="20"/>
          <w:color w:val="auto"/>
        </w:rPr>
      </w:pPr>
    </w:p>
    <w:p>
      <w:pPr>
        <w:ind w:left="240" w:right="340" w:firstLine="450"/>
        <w:spacing w:after="0" w:line="282"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At any time and from time to time Borrower shall execute and deliver such further instruments and take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as may reasonably be requested by Bank to effect the purposes of this Agreement.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 NEGATIVE COVENANTS</w:t>
      </w:r>
      <w:r>
        <w:rPr>
          <w:rFonts w:ascii="Arial" w:cs="Arial" w:eastAsia="Arial" w:hAnsi="Arial"/>
          <w:sz w:val="18"/>
          <w:szCs w:val="18"/>
          <w:color w:val="auto"/>
        </w:rPr>
        <w:t>.</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Borrower covenants and agrees that, so long as any credit hereunder shall be available and until the outstanding Obligations are paid in full or for so long as Bank may have any commitment to make any Credit Extensions, Borrower will not do any of the following without Bank’s prior written consent, which shall not be unreasonably withheld:</w:t>
      </w:r>
    </w:p>
    <w:p>
      <w:pPr>
        <w:spacing w:after="0" w:line="69" w:lineRule="exact"/>
        <w:rPr>
          <w:sz w:val="20"/>
          <w:szCs w:val="20"/>
          <w:color w:val="auto"/>
        </w:rPr>
      </w:pPr>
    </w:p>
    <w:p>
      <w:pPr>
        <w:ind w:left="240" w:right="160" w:firstLine="450"/>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license, transfer or otherwise dispose of (collectively, to “Transfer”),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or move cash balances on deposit with Bank to accounts opened at another financial institution, other than Permitted Transfers.</w:t>
      </w:r>
    </w:p>
    <w:p>
      <w:pPr>
        <w:spacing w:after="0" w:line="68" w:lineRule="exact"/>
        <w:rPr>
          <w:sz w:val="20"/>
          <w:szCs w:val="20"/>
          <w:color w:val="auto"/>
        </w:rPr>
      </w:pPr>
    </w:p>
    <w:p>
      <w:pPr>
        <w:ind w:left="240" w:right="40" w:firstLine="450"/>
        <w:spacing w:after="0" w:line="255" w:lineRule="auto"/>
        <w:rPr>
          <w:sz w:val="20"/>
          <w:szCs w:val="20"/>
          <w:color w:val="auto"/>
        </w:rPr>
      </w:pPr>
      <w:r>
        <w:rPr>
          <w:rFonts w:ascii="Arial" w:cs="Arial" w:eastAsia="Arial" w:hAnsi="Arial"/>
          <w:sz w:val="18"/>
          <w:szCs w:val="18"/>
          <w:b w:val="1"/>
          <w:bCs w:val="1"/>
          <w:color w:val="auto"/>
        </w:rPr>
        <w:t>7.2 Change in Name, Location, Executive Office, or Executive Management; Change in Business; Change in Fiscal Year; Change in Control</w:t>
      </w:r>
      <w:r>
        <w:rPr>
          <w:rFonts w:ascii="Arial" w:cs="Arial" w:eastAsia="Arial" w:hAnsi="Arial"/>
          <w:sz w:val="18"/>
          <w:szCs w:val="18"/>
          <w:color w:val="auto"/>
        </w:rPr>
        <w:t>. Change its name or the state of Borrower’s formation or relocate its chief executive office without 30 days prior written notification to Bank;</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or suffer the departure of its chief executive officer or chief financial officer without delivering written notification to Bank within 10 days; fail to appoint an interim replacement or fill a vacancy in the position of chief executive officer or chief financial officer for more than 30 consecutive days; take action to liquidate, wind up, or otherwise cease to conduct business in the ordinary course; engage in any business, or permit any of its Subsidiaries to engage in any business, other than or reasonably related or incidental to the businesses currently engaged in by Borrower; change its fiscal year end; have a Change in Control.</w:t>
      </w:r>
    </w:p>
    <w:p>
      <w:pPr>
        <w:spacing w:after="0" w:line="81" w:lineRule="exact"/>
        <w:rPr>
          <w:sz w:val="20"/>
          <w:szCs w:val="20"/>
          <w:color w:val="auto"/>
        </w:rPr>
      </w:pPr>
    </w:p>
    <w:p>
      <w:pPr>
        <w:ind w:left="240" w:right="520" w:firstLine="450"/>
        <w:spacing w:after="0" w:line="282"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or into any other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(other than mergers or consolidations of a Subsidiary into another Subsidiary or into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7" w:name="page108"/>
    <w:bookmarkEnd w:id="107"/>
    <w:p>
      <w:pPr>
        <w:ind w:left="4"/>
        <w:spacing w:after="0"/>
        <w:rPr>
          <w:sz w:val="20"/>
          <w:szCs w:val="20"/>
          <w:color w:val="auto"/>
        </w:rPr>
      </w:pPr>
      <w:r>
        <w:rPr>
          <w:rFonts w:ascii="Arial" w:cs="Arial" w:eastAsia="Arial" w:hAnsi="Arial"/>
          <w:sz w:val="16"/>
          <w:szCs w:val="16"/>
          <w:color w:val="auto"/>
        </w:rPr>
        <w:t>Borrower), or acquire, or permit any of its Subsidiaries to acquire, all or substantially all of the capital stock or property of another Person except where</w:t>
      </w:r>
    </w:p>
    <w:p>
      <w:pPr>
        <w:spacing w:after="0" w:line="46" w:lineRule="exact"/>
        <w:rPr>
          <w:sz w:val="20"/>
          <w:szCs w:val="20"/>
          <w:color w:val="auto"/>
        </w:rPr>
      </w:pPr>
    </w:p>
    <w:p>
      <w:pPr>
        <w:jc w:val="both"/>
        <w:ind w:left="4" w:right="60" w:hanging="4"/>
        <w:spacing w:after="0" w:line="273" w:lineRule="auto"/>
        <w:tabs>
          <w:tab w:leader="none" w:pos="24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each of the following conditions is applicable: (i) the consideration paid in connection with such transactions (including assumption of liabilities) does not in the aggregate exceed $250,000 during any fiscal year, (ii) no Event of Default has occurred, is continuing or would exist after giving effect to such transactions, (iii) such transactions do not result in a Change in Control, and (iv) Borrower is the surviving entity; or (b) the Obligations are repaid in full concurrently with the closing of any merger or consolidation of Borrower in which Borrower is not the surviving entity.</w:t>
      </w:r>
    </w:p>
    <w:p>
      <w:pPr>
        <w:spacing w:after="0" w:line="65" w:lineRule="exact"/>
        <w:rPr>
          <w:sz w:val="20"/>
          <w:szCs w:val="20"/>
          <w:color w:val="auto"/>
        </w:rPr>
      </w:pPr>
    </w:p>
    <w:p>
      <w:pPr>
        <w:ind w:left="4" w:right="60" w:firstLine="450"/>
        <w:spacing w:after="0" w:line="293" w:lineRule="auto"/>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guarantee or be or remain liable with respect to any Indebtedness, or permit any Subsidiary so to do,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Permitted Indebtedness, or prepay any Indebtedness or take any actions which impose on Borrower an obligation to prepay any Indebtedness, except</w:t>
      </w:r>
    </w:p>
    <w:p>
      <w:pPr>
        <w:spacing w:after="0" w:line="1" w:lineRule="exact"/>
        <w:rPr>
          <w:sz w:val="20"/>
          <w:szCs w:val="20"/>
          <w:color w:val="auto"/>
        </w:rPr>
      </w:pPr>
    </w:p>
    <w:p>
      <w:pPr>
        <w:ind w:left="4" w:right="460" w:hanging="4"/>
        <w:spacing w:after="0" w:line="261" w:lineRule="auto"/>
        <w:tabs>
          <w:tab w:leader="none" w:pos="2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Indebtedness to Bank or (ii) the conversion of Subordinated Indebtedness to equity securities and the payment of cash in lieu of issuing fractional shares.</w:t>
      </w:r>
    </w:p>
    <w:p>
      <w:pPr>
        <w:spacing w:after="0" w:line="72" w:lineRule="exact"/>
        <w:rPr>
          <w:sz w:val="20"/>
          <w:szCs w:val="20"/>
          <w:color w:val="auto"/>
        </w:rPr>
      </w:pPr>
    </w:p>
    <w:p>
      <w:pPr>
        <w:ind w:left="4" w:right="60" w:firstLine="450"/>
        <w:spacing w:after="0" w:line="293" w:lineRule="auto"/>
        <w:rPr>
          <w:sz w:val="20"/>
          <w:szCs w:val="20"/>
          <w:color w:val="auto"/>
        </w:rPr>
      </w:pPr>
      <w:r>
        <w:rPr>
          <w:rFonts w:ascii="Arial" w:cs="Arial" w:eastAsia="Arial" w:hAnsi="Arial"/>
          <w:sz w:val="16"/>
          <w:szCs w:val="16"/>
          <w:b w:val="1"/>
          <w:bCs w:val="1"/>
          <w:color w:val="auto"/>
        </w:rPr>
        <w:t>7.5 Encumbrances</w:t>
      </w:r>
      <w:r>
        <w:rPr>
          <w:rFonts w:ascii="Arial" w:cs="Arial" w:eastAsia="Arial" w:hAnsi="Arial"/>
          <w:sz w:val="16"/>
          <w:szCs w:val="16"/>
          <w:color w:val="auto"/>
        </w:rPr>
        <w:t>. Create, incur, assume or allow any Lien with respect to its property, or assign or otherwise convey any right to receive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sale of any Accounts, or permit any of its Subsidiaries so to do, except for Permitted Liens, or covenant to any other Person (other than</w:t>
      </w:r>
    </w:p>
    <w:p>
      <w:pPr>
        <w:spacing w:after="0" w:line="1" w:lineRule="exact"/>
        <w:rPr>
          <w:sz w:val="20"/>
          <w:szCs w:val="20"/>
          <w:color w:val="auto"/>
        </w:rPr>
      </w:pPr>
    </w:p>
    <w:p>
      <w:pPr>
        <w:jc w:val="both"/>
        <w:ind w:left="4" w:right="80" w:hanging="4"/>
        <w:spacing w:after="0" w:line="255" w:lineRule="auto"/>
        <w:tabs>
          <w:tab w:leader="none" w:pos="21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licensors of in-licensed property with respect to such property or (ii) the lessors of specific equipment or lenders financing specific equipment with respect to such leased or financed equipment that Borrower in the future will refrain from creating, incurring, assuming or allowing any Lien with respect to any of Borrower’s property.</w:t>
      </w:r>
    </w:p>
    <w:p>
      <w:pPr>
        <w:spacing w:after="0" w:line="78" w:lineRule="exact"/>
        <w:rPr>
          <w:sz w:val="20"/>
          <w:szCs w:val="20"/>
          <w:color w:val="auto"/>
        </w:rPr>
      </w:pPr>
    </w:p>
    <w:p>
      <w:pPr>
        <w:ind w:left="4" w:right="80" w:firstLine="450"/>
        <w:spacing w:after="0" w:line="258" w:lineRule="auto"/>
        <w:rPr>
          <w:sz w:val="20"/>
          <w:szCs w:val="20"/>
          <w:color w:val="auto"/>
        </w:rPr>
      </w:pPr>
      <w:r>
        <w:rPr>
          <w:rFonts w:ascii="Arial" w:cs="Arial" w:eastAsia="Arial" w:hAnsi="Arial"/>
          <w:sz w:val="18"/>
          <w:szCs w:val="18"/>
          <w:b w:val="1"/>
          <w:bCs w:val="1"/>
          <w:color w:val="auto"/>
        </w:rPr>
        <w:t>7.6 Distributions</w:t>
      </w:r>
      <w:r>
        <w:rPr>
          <w:rFonts w:ascii="Arial" w:cs="Arial" w:eastAsia="Arial" w:hAnsi="Arial"/>
          <w:sz w:val="18"/>
          <w:szCs w:val="18"/>
          <w:color w:val="auto"/>
        </w:rPr>
        <w:t>. Pay any dividends or make any other distribution or payment on account of or in redemption, retirement or purchase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except that Borrower may (i) repurchase the stock of former employees pursuant to stock repurchase agreements as long as an Event of Default does not exist prior to such repurchase or would not exist after giving effect to such repurchase, (ii) repurchase the stock of former employees pursuant to stock repurchase agreements by the cancellation of indebtedness owed by such former employees to Borrower regardless of whether an Event of Default exists.</w:t>
      </w:r>
    </w:p>
    <w:p>
      <w:pPr>
        <w:spacing w:after="0" w:line="76" w:lineRule="exact"/>
        <w:rPr>
          <w:sz w:val="20"/>
          <w:szCs w:val="20"/>
          <w:color w:val="auto"/>
        </w:rPr>
      </w:pPr>
    </w:p>
    <w:p>
      <w:pPr>
        <w:ind w:left="4" w:firstLine="450"/>
        <w:spacing w:after="0" w:line="258" w:lineRule="auto"/>
        <w:rPr>
          <w:sz w:val="20"/>
          <w:szCs w:val="20"/>
          <w:color w:val="auto"/>
        </w:rPr>
      </w:pPr>
      <w:r>
        <w:rPr>
          <w:rFonts w:ascii="Arial" w:cs="Arial" w:eastAsia="Arial" w:hAnsi="Arial"/>
          <w:sz w:val="18"/>
          <w:szCs w:val="18"/>
          <w:b w:val="1"/>
          <w:bCs w:val="1"/>
          <w:color w:val="auto"/>
        </w:rPr>
        <w:t>7.7 Investments</w:t>
      </w:r>
      <w:r>
        <w:rPr>
          <w:rFonts w:ascii="Arial" w:cs="Arial" w:eastAsia="Arial" w:hAnsi="Arial"/>
          <w:sz w:val="18"/>
          <w:szCs w:val="18"/>
          <w:color w:val="auto"/>
        </w:rPr>
        <w:t>. Directly or indirectly acquire or own, or make any Investment in or to any Person, or permit any of its Subsidiaries so to do,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Permitted Investments, or maintain or invest any of its Investment Property with a Person other than Bank or Bank’s Affiliates or permit any Subsidiary to do (unless, in each case, Borrower is in compliance with the terms of Section 6.6) so unless such Person has entered into a control agreement with Bank, in form and substance satisfactory to Bank, or suffer or permit any Subsidiary to be a party to, or be bound by, an agreement that restricts such Subsidiary from paying dividends or otherwise distributing property to Borrower.</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Borrower except</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(i)</w:t>
      </w:r>
    </w:p>
    <w:p>
      <w:pPr>
        <w:spacing w:after="0" w:line="184"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6" w:right="279" w:bottom="1440" w:gutter="0" w:footer="0" w:header="0"/>
        </w:sectPr>
      </w:pPr>
    </w:p>
    <w:bookmarkStart w:id="108" w:name="page109"/>
    <w:bookmarkEnd w:id="108"/>
    <w:p>
      <w:pPr>
        <w:jc w:val="both"/>
        <w:ind w:left="20" w:right="280"/>
        <w:spacing w:after="0" w:line="264" w:lineRule="auto"/>
        <w:rPr>
          <w:sz w:val="20"/>
          <w:szCs w:val="20"/>
          <w:color w:val="auto"/>
        </w:rPr>
      </w:pPr>
      <w:r>
        <w:rPr>
          <w:rFonts w:ascii="Arial" w:cs="Arial" w:eastAsia="Arial" w:hAnsi="Arial"/>
          <w:sz w:val="18"/>
          <w:szCs w:val="18"/>
          <w:color w:val="auto"/>
        </w:rPr>
        <w:t>transactions that are in the ordinary course of Borrower’s business, upon fair and reasonable terms that are no less favorable to Borrower than would be obtained in an arm’s length transaction with a non-affiliated Person and (ii) transactions between each Borrower that are not otherwise prohibited under Article 7.</w:t>
      </w:r>
    </w:p>
    <w:p>
      <w:pPr>
        <w:spacing w:after="0" w:line="69" w:lineRule="exact"/>
        <w:rPr>
          <w:sz w:val="20"/>
          <w:szCs w:val="20"/>
          <w:color w:val="auto"/>
        </w:rPr>
      </w:pPr>
    </w:p>
    <w:p>
      <w:pPr>
        <w:ind w:left="20" w:firstLine="450"/>
        <w:spacing w:after="0" w:line="266"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Make any payment in respect of any Subordinated Debt, or permit any of its Subsidiaries to make any such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compliance with the terms of such Subordinated Debt, or amend any provision affecting Bank’s rights contained in any documentation relating to the Subordinated Debt without Bank’s prior written consent.</w:t>
      </w:r>
    </w:p>
    <w:p>
      <w:pPr>
        <w:spacing w:after="0" w:line="68" w:lineRule="exact"/>
        <w:rPr>
          <w:sz w:val="20"/>
          <w:szCs w:val="20"/>
          <w:color w:val="auto"/>
        </w:rPr>
      </w:pPr>
    </w:p>
    <w:p>
      <w:pPr>
        <w:ind w:left="20" w:right="120" w:firstLine="450"/>
        <w:spacing w:after="0" w:line="255" w:lineRule="auto"/>
        <w:rPr>
          <w:sz w:val="20"/>
          <w:szCs w:val="20"/>
          <w:color w:val="auto"/>
        </w:rPr>
      </w:pPr>
      <w:r>
        <w:rPr>
          <w:rFonts w:ascii="Arial" w:cs="Arial" w:eastAsia="Arial" w:hAnsi="Arial"/>
          <w:sz w:val="18"/>
          <w:szCs w:val="18"/>
          <w:b w:val="1"/>
          <w:bCs w:val="1"/>
          <w:color w:val="auto"/>
        </w:rPr>
        <w:t>7.10 Inventory and Equipment</w:t>
      </w:r>
      <w:r>
        <w:rPr>
          <w:rFonts w:ascii="Arial" w:cs="Arial" w:eastAsia="Arial" w:hAnsi="Arial"/>
          <w:sz w:val="18"/>
          <w:szCs w:val="18"/>
          <w:color w:val="auto"/>
        </w:rPr>
        <w:t>. Store the Inventory or the Equipment of a book value in excess of $100,000 with a bailee, warehouseman,</w:t>
      </w:r>
      <w:r>
        <w:rPr>
          <w:rFonts w:ascii="Arial" w:cs="Arial" w:eastAsia="Arial" w:hAnsi="Arial"/>
          <w:sz w:val="18"/>
          <w:szCs w:val="18"/>
          <w:b w:val="1"/>
          <w:bCs w:val="1"/>
          <w:color w:val="auto"/>
        </w:rPr>
        <w:t xml:space="preserve"> </w:t>
      </w:r>
      <w:r>
        <w:rPr>
          <w:rFonts w:ascii="Arial" w:cs="Arial" w:eastAsia="Arial" w:hAnsi="Arial"/>
          <w:sz w:val="18"/>
          <w:szCs w:val="18"/>
          <w:color w:val="auto"/>
        </w:rPr>
        <w:t>collocation facility or similar third party unless the third party has been notified of Bank’s security interest and Bank (a) has received an acknowledgment from the third party that it is holding or will hold the Inventory or Equipment for Bank’s benefit or (b) is in possession of the warehouse receipt, where negotiable, covering such Inventory or Equipment. Except for Inventory sold in the ordinary course of business and for movable items of personal property having an aggregate book value not in excess of $100,000, and except for such other locations as Bank may approve in writing, Borrower shall keep the Inventory and Equipment only at the location set forth in Section 10 and such other locations of which Borrower gives Bank prior written notice and as to which Bank is able to take such actions as may be necessary to perfect its security interest or to obtain a bailee’s acknowledgment of Bank’s rights in the Collateral.</w:t>
      </w:r>
    </w:p>
    <w:p>
      <w:pPr>
        <w:spacing w:after="0" w:line="77" w:lineRule="exact"/>
        <w:rPr>
          <w:sz w:val="20"/>
          <w:szCs w:val="20"/>
          <w:color w:val="auto"/>
        </w:rPr>
      </w:pPr>
    </w:p>
    <w:p>
      <w:pPr>
        <w:jc w:val="both"/>
        <w:ind w:left="20" w:right="40" w:firstLine="450"/>
        <w:spacing w:after="0" w:line="266" w:lineRule="auto"/>
        <w:rPr>
          <w:sz w:val="20"/>
          <w:szCs w:val="20"/>
          <w:color w:val="auto"/>
        </w:rPr>
      </w:pPr>
      <w:r>
        <w:rPr>
          <w:rFonts w:ascii="Arial" w:cs="Arial" w:eastAsia="Arial" w:hAnsi="Arial"/>
          <w:sz w:val="18"/>
          <w:szCs w:val="18"/>
          <w:b w:val="1"/>
          <w:bCs w:val="1"/>
          <w:color w:val="auto"/>
        </w:rPr>
        <w:t>7.11 No Investment Company; Margin Regulation</w:t>
      </w:r>
      <w:r>
        <w:rPr>
          <w:rFonts w:ascii="Arial" w:cs="Arial" w:eastAsia="Arial" w:hAnsi="Arial"/>
          <w:sz w:val="18"/>
          <w:szCs w:val="18"/>
          <w:color w:val="auto"/>
        </w:rPr>
        <w:t>. Become or be controlled by an “investment company,” within the meaning of the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Act of 1940, or become principally engaged in, or undertake as one of its important activities, the business of extending credit for the purpose of purchasing or carrying margin stock, or use the proceeds of any Credit Extension for such purpose.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EVENTS OF DEFAULT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one or more of the following events shall constitute an Event of Default by Borrower under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If Borrower fails to pay any of the Obligations when due and such failure is not cured within 3 Business Days;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121" w:lineRule="exact"/>
        <w:rPr>
          <w:sz w:val="20"/>
          <w:szCs w:val="20"/>
          <w:color w:val="auto"/>
        </w:rPr>
      </w:pPr>
    </w:p>
    <w:p>
      <w:pPr>
        <w:ind w:left="20" w:right="60" w:firstLine="671"/>
        <w:spacing w:after="0" w:line="277" w:lineRule="auto"/>
        <w:tabs>
          <w:tab w:leader="none" w:pos="949"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If Borrower fails to perform any obligation under Sections 6.2 (financial reporting), 6.4 (taxes), 6.5 (insurance), 6.6 (primary accounts) or 6.7 (financial covenants), or violates any of the covenants contained in Article 7 of this Agreement; or</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109" w:name="page110"/>
    <w:bookmarkEnd w:id="109"/>
    <w:p>
      <w:pPr>
        <w:ind w:right="220" w:firstLine="671"/>
        <w:spacing w:after="0" w:line="291" w:lineRule="auto"/>
        <w:tabs>
          <w:tab w:leader="none" w:pos="940"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15 days after Borrower receives notice thereof or any officer of Borrower becomes aware thereof; provided, however, that if the default cannot by its nature be cured within the 15 day period or cannot after diligent attempts by Borrower be cured within such 15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55" w:lineRule="exact"/>
        <w:rPr>
          <w:sz w:val="20"/>
          <w:szCs w:val="20"/>
          <w:color w:val="auto"/>
        </w:rPr>
      </w:pPr>
    </w:p>
    <w:p>
      <w:pPr>
        <w:ind w:right="440" w:firstLine="450"/>
        <w:spacing w:after="0" w:line="282" w:lineRule="auto"/>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If there occurs any circumstance or any circumstances which would reasonably be expected to have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w:t>
      </w:r>
    </w:p>
    <w:p>
      <w:pPr>
        <w:spacing w:after="0" w:line="54"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b w:val="1"/>
          <w:bCs w:val="1"/>
          <w:color w:val="auto"/>
        </w:rPr>
        <w:t>8.4 Attachment</w:t>
      </w:r>
      <w:r>
        <w:rPr>
          <w:rFonts w:ascii="Arial" w:cs="Arial" w:eastAsia="Arial" w:hAnsi="Arial"/>
          <w:sz w:val="18"/>
          <w:szCs w:val="18"/>
          <w:color w:val="auto"/>
        </w:rPr>
        <w:t>. If any material portion of Borrower’s assets is attached, seized, subjected to a writ or distress warrant, or is levied upon, or comes</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possession of any trustee, receiver or person acting in a similar capacity and such attachment, seizure, writ or distress warrant or levy has not been removed, discharged or rescinded within 10 days, or if Borrower is enjoined, restrained, or in any way prevented by court order from continuing to conduct all or any material part of its business affairs, or if a judgment or other claim becomes a lien or encumbrance upon any material portion of Borrower’s assets, or if a notice of lien, levy, or assessment is filed of record with respect to any material portion of Borrower’s assets by the United States Government, or any department, agency, or instrumentality thereof, or by any state, county, municipal, or governmental agency, and the same is not paid within ten days after Borrower receives notice thereof, provided that none of the foregoing shall constitute an Event of Default where such action or event is stayed or an adequate bond has been posted pending a good faith contest by Borrower (provided that no Credit Extensions will be made during such cure period);</w:t>
      </w:r>
    </w:p>
    <w:p>
      <w:pPr>
        <w:spacing w:after="0" w:line="81"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If Borrower becomes insolvent, or if an Insolvency Proceeding is commenced by Borrower, or if an Insolvency Proceeding is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commenced against Borrower and is not dismissed or stayed within 30 days (provided that no Credit Extensions will be made prior to the dismissal of such Insolvency Proceeding);</w:t>
      </w:r>
    </w:p>
    <w:p>
      <w:pPr>
        <w:spacing w:after="0" w:line="68" w:lineRule="exact"/>
        <w:rPr>
          <w:sz w:val="20"/>
          <w:szCs w:val="20"/>
          <w:color w:val="auto"/>
        </w:rPr>
      </w:pPr>
    </w:p>
    <w:p>
      <w:pPr>
        <w:ind w:right="260" w:firstLine="450"/>
        <w:spacing w:after="0" w:line="266"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If there is a default or other failure to perform in any agreement to which Borrower is a party with a third party 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 excess of $350,000 or that would reasonably be expected to have a Material Adverse Effect;</w:t>
      </w:r>
    </w:p>
    <w:p>
      <w:pPr>
        <w:spacing w:after="0" w:line="68" w:lineRule="exact"/>
        <w:rPr>
          <w:sz w:val="20"/>
          <w:szCs w:val="20"/>
          <w:color w:val="auto"/>
        </w:rPr>
      </w:pPr>
    </w:p>
    <w:p>
      <w:pPr>
        <w:ind w:right="360" w:firstLine="450"/>
        <w:spacing w:after="0" w:line="282" w:lineRule="auto"/>
        <w:rPr>
          <w:sz w:val="20"/>
          <w:szCs w:val="20"/>
          <w:color w:val="auto"/>
        </w:rPr>
      </w:pPr>
      <w:r>
        <w:rPr>
          <w:rFonts w:ascii="Arial" w:cs="Arial" w:eastAsia="Arial" w:hAnsi="Arial"/>
          <w:sz w:val="18"/>
          <w:szCs w:val="18"/>
          <w:b w:val="1"/>
          <w:bCs w:val="1"/>
          <w:color w:val="auto"/>
        </w:rPr>
        <w:t>8.7 Judgments</w:t>
      </w:r>
      <w:r>
        <w:rPr>
          <w:rFonts w:ascii="Arial" w:cs="Arial" w:eastAsia="Arial" w:hAnsi="Arial"/>
          <w:sz w:val="18"/>
          <w:szCs w:val="18"/>
          <w:color w:val="auto"/>
        </w:rPr>
        <w:t>. If a final, uninsured judgment or judgments for the payment of money in an amount, individually or in the aggregate, of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$350,000 shall be rendered against Borrower and shall remain unsatisfied and unstayed for a period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of 10 days (provided that no Credit Extensions will be made prior to the satisfaction or stay of the judgment); or</w:t>
      </w:r>
    </w:p>
    <w:p>
      <w:pPr>
        <w:spacing w:after="0" w:line="113" w:lineRule="exact"/>
        <w:rPr>
          <w:sz w:val="20"/>
          <w:szCs w:val="20"/>
          <w:color w:val="auto"/>
        </w:rPr>
      </w:pPr>
    </w:p>
    <w:p>
      <w:pPr>
        <w:ind w:right="100" w:firstLine="450"/>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If any material misrepresentation or material misstatement exists now or hereafter in any warranty or representation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or in any certificate delivered to Bank by any Responsible Officer pursuant to this Agreement or to induce Bank to enter into this Agreement or any other Loan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BANK’S RIGHTS AND REMEDIES</w:t>
      </w:r>
      <w:r>
        <w:rPr>
          <w:rFonts w:ascii="Arial" w:cs="Arial" w:eastAsia="Arial" w:hAnsi="Arial"/>
          <w:sz w:val="18"/>
          <w:szCs w:val="18"/>
          <w:color w:val="auto"/>
        </w:rPr>
        <w:t>.</w:t>
      </w:r>
    </w:p>
    <w:p>
      <w:pPr>
        <w:spacing w:after="0" w:line="117" w:lineRule="exact"/>
        <w:rPr>
          <w:sz w:val="20"/>
          <w:szCs w:val="20"/>
          <w:color w:val="auto"/>
        </w:rPr>
      </w:pPr>
    </w:p>
    <w:p>
      <w:pPr>
        <w:ind w:right="140" w:firstLine="450"/>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at its election, without notice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without demand, do any one or more of the following, all of which are authorized by Borrower:</w:t>
      </w:r>
    </w:p>
    <w:p>
      <w:pPr>
        <w:spacing w:after="0" w:line="58" w:lineRule="exact"/>
        <w:rPr>
          <w:sz w:val="20"/>
          <w:szCs w:val="20"/>
          <w:color w:val="auto"/>
        </w:rPr>
      </w:pPr>
    </w:p>
    <w:p>
      <w:pPr>
        <w:ind w:right="240" w:firstLine="671"/>
        <w:spacing w:after="0" w:line="264" w:lineRule="auto"/>
        <w:tabs>
          <w:tab w:leader="none" w:pos="929"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Declare all Obligations, whether evidenced by this Agreement, by any of the other Loan Documents, or otherwise, immediately due and payable (provided that upon the occurrence of an Event of Default described in Section 8.5 (insolvency), all Obligations shall become immediately due and payable without any action by Bank);</w:t>
      </w:r>
    </w:p>
    <w:p>
      <w:pPr>
        <w:spacing w:after="0" w:line="73" w:lineRule="exact"/>
        <w:rPr>
          <w:rFonts w:ascii="Arial" w:cs="Arial" w:eastAsia="Arial" w:hAnsi="Arial"/>
          <w:sz w:val="18"/>
          <w:szCs w:val="18"/>
          <w:b w:val="1"/>
          <w:bCs w:val="1"/>
          <w:color w:val="auto"/>
        </w:rPr>
      </w:pPr>
    </w:p>
    <w:p>
      <w:pPr>
        <w:ind w:firstLine="671"/>
        <w:spacing w:after="0" w:line="286" w:lineRule="auto"/>
        <w:tabs>
          <w:tab w:leader="none" w:pos="940"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Demand that Borrower (i) deposit cash with Bank in an amount equal to the amount of any Letters of Credit remaining undrawn, as collateral security for the repayment of any future drawings under such Letters of Credit, and (ii) pay in advance all Letter of Credit fees scheduled to be paid or payable over the remaining term of the Letters of Credit, and Borrower shall promptly deposit and pay such amounts;</w:t>
      </w:r>
    </w:p>
    <w:p>
      <w:pPr>
        <w:spacing w:after="0" w:line="57" w:lineRule="exact"/>
        <w:rPr>
          <w:rFonts w:ascii="Arial" w:cs="Arial" w:eastAsia="Arial" w:hAnsi="Arial"/>
          <w:sz w:val="17"/>
          <w:szCs w:val="17"/>
          <w:b w:val="1"/>
          <w:bCs w:val="1"/>
          <w:color w:val="auto"/>
        </w:rPr>
      </w:pPr>
    </w:p>
    <w:p>
      <w:pPr>
        <w:ind w:right="260" w:firstLine="671"/>
        <w:spacing w:after="0" w:line="277" w:lineRule="auto"/>
        <w:tabs>
          <w:tab w:leader="none" w:pos="919"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Cease advancing money or extending credit to or for the benefit of Borrower under this Agreement or under any other agreement between Borrower and Bank;</w:t>
      </w:r>
    </w:p>
    <w:p>
      <w:pPr>
        <w:spacing w:after="0" w:line="62" w:lineRule="exact"/>
        <w:rPr>
          <w:rFonts w:ascii="Arial" w:cs="Arial" w:eastAsia="Arial" w:hAnsi="Arial"/>
          <w:sz w:val="18"/>
          <w:szCs w:val="18"/>
          <w:b w:val="1"/>
          <w:bCs w:val="1"/>
          <w:color w:val="auto"/>
        </w:rPr>
      </w:pPr>
    </w:p>
    <w:p>
      <w:pPr>
        <w:ind w:right="520" w:firstLine="671"/>
        <w:spacing w:after="0" w:line="277" w:lineRule="auto"/>
        <w:tabs>
          <w:tab w:leader="none" w:pos="94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Settle or adjust disputes and claims directly with account debtors for amounts, upon terms and in whatever order that Bank reasonably considers advisable;</w:t>
      </w:r>
    </w:p>
    <w:p>
      <w:pPr>
        <w:spacing w:after="0" w:line="62" w:lineRule="exact"/>
        <w:rPr>
          <w:rFonts w:ascii="Arial" w:cs="Arial" w:eastAsia="Arial" w:hAnsi="Arial"/>
          <w:sz w:val="18"/>
          <w:szCs w:val="18"/>
          <w:b w:val="1"/>
          <w:bCs w:val="1"/>
          <w:color w:val="auto"/>
        </w:rPr>
      </w:pPr>
    </w:p>
    <w:p>
      <w:pPr>
        <w:ind w:right="20" w:firstLine="671"/>
        <w:spacing w:after="0" w:line="255" w:lineRule="auto"/>
        <w:tabs>
          <w:tab w:leader="none" w:pos="919"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11" w:name="page112"/>
    <w:bookmarkEnd w:id="111"/>
    <w:p>
      <w:pPr>
        <w:ind w:left="240" w:right="20" w:firstLine="671"/>
        <w:spacing w:after="0" w:line="277" w:lineRule="auto"/>
        <w:tabs>
          <w:tab w:leader="none" w:pos="11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Set off and apply to the Obligations any and all (i) balances and deposits of Borrower held by Bank, and (ii) indebtedness at any time owing to or for the credit or the account of Borrower held by Bank;</w:t>
      </w:r>
    </w:p>
    <w:p>
      <w:pPr>
        <w:spacing w:after="0" w:line="62" w:lineRule="exact"/>
        <w:rPr>
          <w:rFonts w:ascii="Arial" w:cs="Arial" w:eastAsia="Arial" w:hAnsi="Arial"/>
          <w:sz w:val="18"/>
          <w:szCs w:val="18"/>
          <w:b w:val="1"/>
          <w:bCs w:val="1"/>
          <w:color w:val="auto"/>
        </w:rPr>
      </w:pPr>
    </w:p>
    <w:p>
      <w:pPr>
        <w:ind w:left="240" w:right="100" w:firstLine="671"/>
        <w:spacing w:after="0" w:line="297" w:lineRule="auto"/>
        <w:tabs>
          <w:tab w:leader="none" w:pos="1169"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50" w:lineRule="exact"/>
        <w:rPr>
          <w:rFonts w:ascii="Arial" w:cs="Arial" w:eastAsia="Arial" w:hAnsi="Arial"/>
          <w:sz w:val="16"/>
          <w:szCs w:val="16"/>
          <w:b w:val="1"/>
          <w:bCs w:val="1"/>
          <w:color w:val="auto"/>
        </w:rPr>
      </w:pPr>
    </w:p>
    <w:p>
      <w:pPr>
        <w:ind w:left="240" w:right="20" w:firstLine="671"/>
        <w:spacing w:after="0" w:line="255" w:lineRule="auto"/>
        <w:tabs>
          <w:tab w:leader="none" w:pos="1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Sell the Collateral at either a public or private sale, or both, by way of one or more contracts or transactions, for cash or on terms, in such manner and at such places (including Borrower’s premises) as Bank determines is commercially reasonable, and apply any proceeds to the Obligations in whatever manner or order Bank deems appropriate. Bank may sell the Collateral without giving any warranties as to the Collateral. Bank may specifically disclaim any warranties of title or the like. This procedure will not be considered adversely to affect the commercial reasonableness of any sale of the Collateral. If Bank sells any of the Collateral upon credit, Borrower will be credited only with payments actually made by the purchaser, received by Bank, and applied to the indebtedness of the purchaser. If the purchaser fails to pay for the Collateral, Bank may resell the Collateral and Borrower shall be credited with the proceeds of the sale;</w:t>
      </w:r>
    </w:p>
    <w:p>
      <w:pPr>
        <w:spacing w:after="0" w:line="81" w:lineRule="exact"/>
        <w:rPr>
          <w:rFonts w:ascii="Arial" w:cs="Arial" w:eastAsia="Arial" w:hAnsi="Arial"/>
          <w:sz w:val="18"/>
          <w:szCs w:val="18"/>
          <w:b w:val="1"/>
          <w:bCs w:val="1"/>
          <w:color w:val="auto"/>
        </w:rPr>
      </w:pPr>
    </w:p>
    <w:p>
      <w:pPr>
        <w:ind w:left="1120" w:hanging="209"/>
        <w:spacing w:after="0"/>
        <w:tabs>
          <w:tab w:leader="none" w:pos="112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Bank may credit bid and purchase at any public sale;</w:t>
      </w:r>
    </w:p>
    <w:p>
      <w:pPr>
        <w:spacing w:after="0" w:line="117" w:lineRule="exact"/>
        <w:rPr>
          <w:rFonts w:ascii="Arial" w:cs="Arial" w:eastAsia="Arial" w:hAnsi="Arial"/>
          <w:sz w:val="18"/>
          <w:szCs w:val="18"/>
          <w:b w:val="1"/>
          <w:bCs w:val="1"/>
          <w:color w:val="auto"/>
        </w:rPr>
      </w:pPr>
    </w:p>
    <w:p>
      <w:pPr>
        <w:jc w:val="both"/>
        <w:ind w:left="240" w:right="40" w:firstLine="671"/>
        <w:spacing w:after="0" w:line="342" w:lineRule="auto"/>
        <w:tabs>
          <w:tab w:leader="none" w:pos="1140"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15" w:lineRule="exact"/>
        <w:rPr>
          <w:rFonts w:ascii="Arial" w:cs="Arial" w:eastAsia="Arial" w:hAnsi="Arial"/>
          <w:sz w:val="16"/>
          <w:szCs w:val="16"/>
          <w:b w:val="1"/>
          <w:bCs w:val="1"/>
          <w:color w:val="auto"/>
        </w:rPr>
      </w:pPr>
    </w:p>
    <w:p>
      <w:pPr>
        <w:ind w:left="1180" w:hanging="269"/>
        <w:spacing w:after="0"/>
        <w:tabs>
          <w:tab w:leader="none" w:pos="1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Any deficiency that exists after disposition of the Collateral as provided above will be paid immediately by Borrower.</w:t>
      </w:r>
    </w:p>
    <w:p>
      <w:pPr>
        <w:spacing w:after="0" w:line="117" w:lineRule="exact"/>
        <w:rPr>
          <w:sz w:val="20"/>
          <w:szCs w:val="20"/>
          <w:color w:val="auto"/>
        </w:rPr>
      </w:pPr>
    </w:p>
    <w:p>
      <w:pPr>
        <w:ind w:firstLine="675"/>
        <w:spacing w:after="0" w:line="277" w:lineRule="auto"/>
        <w:rPr>
          <w:sz w:val="20"/>
          <w:szCs w:val="20"/>
          <w:color w:val="auto"/>
        </w:rPr>
      </w:pPr>
      <w:r>
        <w:rPr>
          <w:rFonts w:ascii="Arial" w:cs="Arial" w:eastAsia="Arial" w:hAnsi="Arial"/>
          <w:sz w:val="18"/>
          <w:szCs w:val="18"/>
          <w:color w:val="auto"/>
        </w:rPr>
        <w:t>Bank may comply with any applicable state or federal law requirements in connection with a disposition of the Collateral and compliance will not be considered adversely to affect the commercial reasonableness of any sale of the Collateral.</w:t>
      </w:r>
    </w:p>
    <w:p>
      <w:pPr>
        <w:spacing w:after="0" w:line="58" w:lineRule="exact"/>
        <w:rPr>
          <w:sz w:val="20"/>
          <w:szCs w:val="20"/>
          <w:color w:val="auto"/>
        </w:rPr>
      </w:pPr>
    </w:p>
    <w:p>
      <w:pPr>
        <w:ind w:left="240" w:right="160" w:firstLine="450"/>
        <w:spacing w:after="0" w:line="261" w:lineRule="auto"/>
        <w:rPr>
          <w:sz w:val="20"/>
          <w:szCs w:val="20"/>
          <w:color w:val="auto"/>
        </w:rPr>
      </w:pPr>
      <w:r>
        <w:rPr>
          <w:rFonts w:ascii="Arial" w:cs="Arial" w:eastAsia="Arial" w:hAnsi="Arial"/>
          <w:sz w:val="18"/>
          <w:szCs w:val="18"/>
          <w:b w:val="1"/>
          <w:bCs w:val="1"/>
          <w:color w:val="auto"/>
        </w:rPr>
        <w:t>9.2 Power of Attorney</w:t>
      </w:r>
      <w:r>
        <w:rPr>
          <w:rFonts w:ascii="Arial" w:cs="Arial" w:eastAsia="Arial" w:hAnsi="Arial"/>
          <w:sz w:val="18"/>
          <w:szCs w:val="18"/>
          <w:color w:val="auto"/>
        </w:rPr>
        <w:t>. Effective only upon the occurrence and during the continuance of an Event of Default, Borrower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appoints Bank (and any of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right="20"/>
        <w:spacing w:after="0" w:line="268" w:lineRule="auto"/>
        <w:rPr>
          <w:sz w:val="20"/>
          <w:szCs w:val="20"/>
          <w:color w:val="auto"/>
        </w:rPr>
      </w:pPr>
      <w:r>
        <w:rPr>
          <w:rFonts w:ascii="Arial" w:cs="Arial" w:eastAsia="Arial" w:hAnsi="Arial"/>
          <w:sz w:val="17"/>
          <w:szCs w:val="17"/>
          <w:color w:val="auto"/>
        </w:rPr>
        <w:t>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 (f) settle and adjust disputes and claims respecting the accounts directly with account debtors, for amounts and upon terms which Bank determines to be reasonable; (g) enter into a short-form intellectual property security agreement consistent with the terms of this Agreement for recording purposes only or modify, in its sole discretion, any intellectual property security agreement entered into between Borrower and Bank without first obtaining Borrower’s approval of or signature to such modification by amending Exhibits A, B, and C, thereof, as appropriate, to include reference to any right, title or interest in any Copyrights, Patents or Trademarks acquired by Borrower after the execution hereof or to delete any reference to any right, title or interest in any Copyrights, Patents or Trademarks in which Borrower no longer has or claims to have any right, title or interest; and (h) file, in its sole discretion, one or more financing or continuation statements and amendments thereto, relative to any of the Collateral; provided Bank may exercise such power of attorney to sign the name of Borrower on any of the documents described in clauses (g) and (h) above, regardless of whether an Event of Default has occurred. The appointment of Bank as Borrower’s attorney in fact, and each and every one of Bank’s rights and powers, being coupled with an interest, is irrevocable until all of the Obligations have been fully repaid and performed and Bank’s obligation to provide advances hereunder is terminated.</w:t>
      </w:r>
    </w:p>
    <w:p>
      <w:pPr>
        <w:spacing w:after="0" w:line="76" w:lineRule="exact"/>
        <w:rPr>
          <w:sz w:val="20"/>
          <w:szCs w:val="20"/>
          <w:color w:val="auto"/>
        </w:rPr>
      </w:pPr>
    </w:p>
    <w:p>
      <w:pPr>
        <w:ind w:right="80" w:firstLine="450"/>
        <w:spacing w:after="0" w:line="261" w:lineRule="auto"/>
        <w:rPr>
          <w:sz w:val="20"/>
          <w:szCs w:val="20"/>
          <w:color w:val="auto"/>
        </w:rPr>
      </w:pPr>
      <w:r>
        <w:rPr>
          <w:rFonts w:ascii="Arial" w:cs="Arial" w:eastAsia="Arial" w:hAnsi="Arial"/>
          <w:sz w:val="18"/>
          <w:szCs w:val="18"/>
          <w:b w:val="1"/>
          <w:bCs w:val="1"/>
          <w:color w:val="auto"/>
        </w:rPr>
        <w:t>9.3 Accounts Collection</w:t>
      </w:r>
      <w:r>
        <w:rPr>
          <w:rFonts w:ascii="Arial" w:cs="Arial" w:eastAsia="Arial" w:hAnsi="Arial"/>
          <w:sz w:val="18"/>
          <w:szCs w:val="18"/>
          <w:color w:val="auto"/>
        </w:rPr>
        <w:t>. At any time after the occurrence and during the continuation of an Event of Default, Bank may notify any Person owing</w:t>
      </w:r>
      <w:r>
        <w:rPr>
          <w:rFonts w:ascii="Arial" w:cs="Arial" w:eastAsia="Arial" w:hAnsi="Arial"/>
          <w:sz w:val="18"/>
          <w:szCs w:val="18"/>
          <w:b w:val="1"/>
          <w:bCs w:val="1"/>
          <w:color w:val="auto"/>
        </w:rPr>
        <w:t xml:space="preserve"> </w:t>
      </w:r>
      <w:r>
        <w:rPr>
          <w:rFonts w:ascii="Arial" w:cs="Arial" w:eastAsia="Arial" w:hAnsi="Arial"/>
          <w:sz w:val="18"/>
          <w:szCs w:val="18"/>
          <w:color w:val="auto"/>
        </w:rPr>
        <w:t>funds to Borrower of Bank’s security interest in such funds and verify the amount of such Account.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72" w:lineRule="exact"/>
        <w:rPr>
          <w:sz w:val="20"/>
          <w:szCs w:val="20"/>
          <w:color w:val="auto"/>
        </w:rPr>
      </w:pPr>
    </w:p>
    <w:p>
      <w:pPr>
        <w:ind w:firstLine="450"/>
        <w:spacing w:after="0" w:line="292" w:lineRule="auto"/>
        <w:rPr>
          <w:sz w:val="20"/>
          <w:szCs w:val="20"/>
          <w:color w:val="auto"/>
        </w:rPr>
      </w:pPr>
      <w:r>
        <w:rPr>
          <w:rFonts w:ascii="Arial" w:cs="Arial" w:eastAsia="Arial" w:hAnsi="Arial"/>
          <w:sz w:val="16"/>
          <w:szCs w:val="16"/>
          <w:b w:val="1"/>
          <w:bCs w:val="1"/>
          <w:color w:val="auto"/>
        </w:rPr>
        <w:t>9.4 Bank Expenses</w:t>
      </w:r>
      <w:r>
        <w:rPr>
          <w:rFonts w:ascii="Arial" w:cs="Arial" w:eastAsia="Arial" w:hAnsi="Arial"/>
          <w:sz w:val="16"/>
          <w:szCs w:val="16"/>
          <w:color w:val="auto"/>
        </w:rPr>
        <w:t>. If Borrower fails to pay any amounts or furnish any required proof of payment due to third persons or entities, as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terms of this Agreement, then Bank may do any or all of the following after reasonable notice to Borrower: (a) make payment of the same or any part thereof; and/or (b) set up such reserves under the Formula Revolving Line as Bank deems necessary to protect Bank from the exposure created by such failure; or (c) obtain and maintain insurance policies of the type discussed in Section 6.5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54" w:lineRule="exact"/>
        <w:rPr>
          <w:sz w:val="20"/>
          <w:szCs w:val="20"/>
          <w:color w:val="auto"/>
        </w:rPr>
      </w:pPr>
    </w:p>
    <w:p>
      <w:pPr>
        <w:ind w:right="400" w:firstLine="450"/>
        <w:spacing w:after="0" w:line="282"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Bank has no obligation to clean up or otherwise prepare the Collateral for sale. All risk of loss, damage or</w:t>
      </w:r>
      <w:r>
        <w:rPr>
          <w:rFonts w:ascii="Arial" w:cs="Arial" w:eastAsia="Arial" w:hAnsi="Arial"/>
          <w:sz w:val="18"/>
          <w:szCs w:val="18"/>
          <w:b w:val="1"/>
          <w:bCs w:val="1"/>
          <w:color w:val="auto"/>
        </w:rPr>
        <w:t xml:space="preserve"> </w:t>
      </w:r>
      <w:r>
        <w:rPr>
          <w:rFonts w:ascii="Arial" w:cs="Arial" w:eastAsia="Arial" w:hAnsi="Arial"/>
          <w:sz w:val="18"/>
          <w:szCs w:val="18"/>
          <w:color w:val="auto"/>
        </w:rPr>
        <w:t>destruction of the Collateral shall be borne by Borrower.</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3" w:name="page114"/>
    <w:bookmarkEnd w:id="113"/>
    <w:p>
      <w:pPr>
        <w:ind w:left="240" w:right="40" w:firstLine="450"/>
        <w:spacing w:after="0" w:line="314" w:lineRule="auto"/>
        <w:rPr>
          <w:sz w:val="20"/>
          <w:szCs w:val="20"/>
          <w:color w:val="auto"/>
        </w:rPr>
      </w:pPr>
      <w:r>
        <w:rPr>
          <w:rFonts w:ascii="Arial" w:cs="Arial" w:eastAsia="Arial" w:hAnsi="Arial"/>
          <w:sz w:val="16"/>
          <w:szCs w:val="16"/>
          <w:b w:val="1"/>
          <w:bCs w:val="1"/>
          <w:color w:val="auto"/>
        </w:rPr>
        <w:t>9.6 No Obligation to Pursue Others</w:t>
      </w:r>
      <w:r>
        <w:rPr>
          <w:rFonts w:ascii="Arial" w:cs="Arial" w:eastAsia="Arial" w:hAnsi="Arial"/>
          <w:sz w:val="16"/>
          <w:szCs w:val="16"/>
          <w:color w:val="auto"/>
        </w:rPr>
        <w:t>. Bank has no obligation to attempt to satisfy the Obligations by collecting them from any other person liable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them and Bank may release, modify or waive any collateral provided by any other Person to secure any of the Obligations, all without affecting Bank’s rights against Borrower. Borrower waives any right it may have to require Bank to pursue any other Person for any of the Obligations.</w:t>
      </w:r>
    </w:p>
    <w:p>
      <w:pPr>
        <w:spacing w:after="0" w:line="34" w:lineRule="exact"/>
        <w:rPr>
          <w:sz w:val="20"/>
          <w:szCs w:val="20"/>
          <w:color w:val="auto"/>
        </w:rPr>
      </w:pPr>
    </w:p>
    <w:p>
      <w:pPr>
        <w:ind w:left="240" w:right="80" w:firstLine="450"/>
        <w:spacing w:after="0" w:line="295" w:lineRule="auto"/>
        <w:rPr>
          <w:sz w:val="20"/>
          <w:szCs w:val="20"/>
          <w:color w:val="auto"/>
        </w:rPr>
      </w:pPr>
      <w:r>
        <w:rPr>
          <w:rFonts w:ascii="Arial" w:cs="Arial" w:eastAsia="Arial" w:hAnsi="Arial"/>
          <w:sz w:val="16"/>
          <w:szCs w:val="16"/>
          <w:b w:val="1"/>
          <w:bCs w:val="1"/>
          <w:color w:val="auto"/>
        </w:rPr>
        <w:t>9.7 Remedies Cumulative</w:t>
      </w:r>
      <w:r>
        <w:rPr>
          <w:rFonts w:ascii="Arial" w:cs="Arial" w:eastAsia="Arial" w:hAnsi="Arial"/>
          <w:sz w:val="16"/>
          <w:szCs w:val="16"/>
          <w:color w:val="auto"/>
        </w:rPr>
        <w:t>. Bank’s rights and remedies under this Agreement, the Loan Documents, and all other agreements shall be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Section 9.7 may not be waived or modified by Bank by course of performance, conduct, estoppel or otherwise.</w:t>
      </w:r>
    </w:p>
    <w:p>
      <w:pPr>
        <w:spacing w:after="0" w:line="48" w:lineRule="exact"/>
        <w:rPr>
          <w:sz w:val="20"/>
          <w:szCs w:val="20"/>
          <w:color w:val="auto"/>
        </w:rPr>
      </w:pPr>
    </w:p>
    <w:p>
      <w:pPr>
        <w:ind w:left="240" w:right="380" w:firstLine="450"/>
        <w:spacing w:after="0" w:line="282" w:lineRule="auto"/>
        <w:rPr>
          <w:sz w:val="20"/>
          <w:szCs w:val="20"/>
          <w:color w:val="auto"/>
        </w:rPr>
      </w:pPr>
      <w:r>
        <w:rPr>
          <w:rFonts w:ascii="Arial" w:cs="Arial" w:eastAsia="Arial" w:hAnsi="Arial"/>
          <w:sz w:val="18"/>
          <w:szCs w:val="18"/>
          <w:b w:val="1"/>
          <w:bCs w:val="1"/>
          <w:color w:val="auto"/>
        </w:rPr>
        <w:t>9.8 Demand; Protest</w:t>
      </w:r>
      <w:r>
        <w:rPr>
          <w:rFonts w:ascii="Arial" w:cs="Arial" w:eastAsia="Arial" w:hAnsi="Arial"/>
          <w:sz w:val="18"/>
          <w:szCs w:val="18"/>
          <w:color w:val="auto"/>
        </w:rPr>
        <w:t>. Except as otherwise provided in this Agreement, Borrower waives demand, protest, notice of protest, notice of default or</w:t>
      </w:r>
      <w:r>
        <w:rPr>
          <w:rFonts w:ascii="Arial" w:cs="Arial" w:eastAsia="Arial" w:hAnsi="Arial"/>
          <w:sz w:val="18"/>
          <w:szCs w:val="18"/>
          <w:b w:val="1"/>
          <w:bCs w:val="1"/>
          <w:color w:val="auto"/>
        </w:rPr>
        <w:t xml:space="preserve"> </w:t>
      </w:r>
      <w:r>
        <w:rPr>
          <w:rFonts w:ascii="Arial" w:cs="Arial" w:eastAsia="Arial" w:hAnsi="Arial"/>
          <w:sz w:val="18"/>
          <w:szCs w:val="18"/>
          <w:color w:val="auto"/>
        </w:rPr>
        <w:t>dishonor, notice of payment and nonpayment and any other notices relating to the Obligations.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NOTICES</w:t>
      </w:r>
      <w:r>
        <w:rPr>
          <w:rFonts w:ascii="Arial" w:cs="Arial" w:eastAsia="Arial" w:hAnsi="Arial"/>
          <w:sz w:val="18"/>
          <w:szCs w:val="18"/>
          <w:color w:val="auto"/>
        </w:rPr>
        <w:t>.</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shall be personally delivered or sent by a recognized overnight delivery service, certified mail, postage prepaid, return receipt requested, or by telefacsimile to Borrower or to Bank, as the case may be, at its addresses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ind w:left="700"/>
              <w:spacing w:after="0"/>
              <w:rPr>
                <w:sz w:val="20"/>
                <w:szCs w:val="20"/>
                <w:color w:val="auto"/>
              </w:rPr>
            </w:pPr>
            <w:r>
              <w:rPr>
                <w:rFonts w:ascii="Arial" w:cs="Arial" w:eastAsia="Arial" w:hAnsi="Arial"/>
                <w:sz w:val="18"/>
                <w:szCs w:val="18"/>
                <w:color w:val="auto"/>
              </w:rPr>
              <w:t>If to NetStreams, Inc.:</w:t>
            </w:r>
          </w:p>
        </w:tc>
        <w:tc>
          <w:tcPr>
            <w:tcW w:w="8460" w:type="dxa"/>
            <w:vAlign w:val="bottom"/>
          </w:tcPr>
          <w:p>
            <w:pPr>
              <w:ind w:left="580"/>
              <w:spacing w:after="0"/>
              <w:rPr>
                <w:sz w:val="20"/>
                <w:szCs w:val="20"/>
                <w:color w:val="auto"/>
              </w:rPr>
            </w:pPr>
            <w:r>
              <w:rPr>
                <w:rFonts w:ascii="Arial" w:cs="Arial" w:eastAsia="Arial" w:hAnsi="Arial"/>
                <w:sz w:val="18"/>
                <w:szCs w:val="18"/>
                <w:color w:val="auto"/>
              </w:rPr>
              <w:t>NetStreams, Inc.</w:t>
            </w:r>
          </w:p>
        </w:tc>
      </w:tr>
      <w:tr>
        <w:trPr>
          <w:trHeight w:val="216"/>
        </w:trPr>
        <w:tc>
          <w:tcPr>
            <w:tcW w:w="2960" w:type="dxa"/>
            <w:vAlign w:val="bottom"/>
          </w:tcPr>
          <w:p>
            <w:pPr>
              <w:spacing w:after="0"/>
              <w:rPr>
                <w:sz w:val="18"/>
                <w:szCs w:val="18"/>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3600 W. Parmer Lane, Suite 100</w:t>
            </w:r>
          </w:p>
        </w:tc>
      </w:tr>
      <w:tr>
        <w:trPr>
          <w:trHeight w:val="230"/>
        </w:trPr>
        <w:tc>
          <w:tcPr>
            <w:tcW w:w="2960" w:type="dxa"/>
            <w:vAlign w:val="bottom"/>
          </w:tcPr>
          <w:p>
            <w:pPr>
              <w:spacing w:after="0"/>
              <w:rPr>
                <w:sz w:val="20"/>
                <w:szCs w:val="20"/>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Austin, TX 78727</w:t>
            </w:r>
          </w:p>
        </w:tc>
      </w:tr>
      <w:tr>
        <w:trPr>
          <w:trHeight w:val="418"/>
        </w:trPr>
        <w:tc>
          <w:tcPr>
            <w:tcW w:w="2960" w:type="dxa"/>
            <w:vAlign w:val="bottom"/>
          </w:tcPr>
          <w:p>
            <w:pPr>
              <w:spacing w:after="0"/>
              <w:rPr>
                <w:sz w:val="24"/>
                <w:szCs w:val="24"/>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Attn: Peter Radekevich</w:t>
            </w:r>
          </w:p>
        </w:tc>
      </w:tr>
      <w:tr>
        <w:trPr>
          <w:trHeight w:val="230"/>
        </w:trPr>
        <w:tc>
          <w:tcPr>
            <w:tcW w:w="2960" w:type="dxa"/>
            <w:vAlign w:val="bottom"/>
          </w:tcPr>
          <w:p>
            <w:pPr>
              <w:spacing w:after="0"/>
              <w:rPr>
                <w:sz w:val="20"/>
                <w:szCs w:val="20"/>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FAX: (512) 977-9398</w:t>
            </w:r>
          </w:p>
        </w:tc>
      </w:tr>
      <w:tr>
        <w:trPr>
          <w:trHeight w:val="418"/>
        </w:trPr>
        <w:tc>
          <w:tcPr>
            <w:tcW w:w="2960" w:type="dxa"/>
            <w:vAlign w:val="bottom"/>
          </w:tcPr>
          <w:p>
            <w:pPr>
              <w:ind w:left="700"/>
              <w:spacing w:after="0"/>
              <w:rPr>
                <w:sz w:val="20"/>
                <w:szCs w:val="20"/>
                <w:color w:val="auto"/>
              </w:rPr>
            </w:pPr>
            <w:r>
              <w:rPr>
                <w:rFonts w:ascii="Arial" w:cs="Arial" w:eastAsia="Arial" w:hAnsi="Arial"/>
                <w:sz w:val="18"/>
                <w:szCs w:val="18"/>
                <w:color w:val="auto"/>
              </w:rPr>
              <w:t>If to NetStreams, LLC:</w:t>
            </w:r>
          </w:p>
        </w:tc>
        <w:tc>
          <w:tcPr>
            <w:tcW w:w="8460" w:type="dxa"/>
            <w:vAlign w:val="bottom"/>
          </w:tcPr>
          <w:p>
            <w:pPr>
              <w:ind w:left="580"/>
              <w:spacing w:after="0"/>
              <w:rPr>
                <w:sz w:val="20"/>
                <w:szCs w:val="20"/>
                <w:color w:val="auto"/>
              </w:rPr>
            </w:pPr>
            <w:r>
              <w:rPr>
                <w:rFonts w:ascii="Arial" w:cs="Arial" w:eastAsia="Arial" w:hAnsi="Arial"/>
                <w:sz w:val="18"/>
                <w:szCs w:val="18"/>
                <w:color w:val="auto"/>
              </w:rPr>
              <w:t>NetStreams, LLC</w:t>
            </w:r>
          </w:p>
        </w:tc>
      </w:tr>
      <w:tr>
        <w:trPr>
          <w:trHeight w:val="216"/>
        </w:trPr>
        <w:tc>
          <w:tcPr>
            <w:tcW w:w="2960" w:type="dxa"/>
            <w:vAlign w:val="bottom"/>
          </w:tcPr>
          <w:p>
            <w:pPr>
              <w:spacing w:after="0"/>
              <w:rPr>
                <w:sz w:val="18"/>
                <w:szCs w:val="18"/>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3600 W. Parmer Lane, Suite 100</w:t>
            </w:r>
          </w:p>
        </w:tc>
      </w:tr>
      <w:tr>
        <w:trPr>
          <w:trHeight w:val="230"/>
        </w:trPr>
        <w:tc>
          <w:tcPr>
            <w:tcW w:w="2960" w:type="dxa"/>
            <w:vAlign w:val="bottom"/>
          </w:tcPr>
          <w:p>
            <w:pPr>
              <w:spacing w:after="0"/>
              <w:rPr>
                <w:sz w:val="20"/>
                <w:szCs w:val="20"/>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Austin, TX 78727</w:t>
            </w:r>
          </w:p>
        </w:tc>
      </w:tr>
      <w:tr>
        <w:trPr>
          <w:trHeight w:val="418"/>
        </w:trPr>
        <w:tc>
          <w:tcPr>
            <w:tcW w:w="2960" w:type="dxa"/>
            <w:vAlign w:val="bottom"/>
          </w:tcPr>
          <w:p>
            <w:pPr>
              <w:spacing w:after="0"/>
              <w:rPr>
                <w:sz w:val="24"/>
                <w:szCs w:val="24"/>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Attn: Peter Radekevich</w:t>
            </w:r>
          </w:p>
        </w:tc>
      </w:tr>
      <w:tr>
        <w:trPr>
          <w:trHeight w:val="230"/>
        </w:trPr>
        <w:tc>
          <w:tcPr>
            <w:tcW w:w="2960" w:type="dxa"/>
            <w:vAlign w:val="bottom"/>
          </w:tcPr>
          <w:p>
            <w:pPr>
              <w:spacing w:after="0"/>
              <w:rPr>
                <w:sz w:val="20"/>
                <w:szCs w:val="20"/>
                <w:color w:val="auto"/>
              </w:rPr>
            </w:pPr>
          </w:p>
        </w:tc>
        <w:tc>
          <w:tcPr>
            <w:tcW w:w="8460" w:type="dxa"/>
            <w:vAlign w:val="bottom"/>
          </w:tcPr>
          <w:p>
            <w:pPr>
              <w:ind w:left="580"/>
              <w:spacing w:after="0"/>
              <w:rPr>
                <w:sz w:val="20"/>
                <w:szCs w:val="20"/>
                <w:color w:val="auto"/>
              </w:rPr>
            </w:pPr>
            <w:r>
              <w:rPr>
                <w:rFonts w:ascii="Arial" w:cs="Arial" w:eastAsia="Arial" w:hAnsi="Arial"/>
                <w:sz w:val="18"/>
                <w:szCs w:val="18"/>
                <w:color w:val="auto"/>
              </w:rPr>
              <w:t>FAX: (512) 977-9398</w:t>
            </w:r>
          </w:p>
        </w:tc>
      </w:tr>
      <w:tr>
        <w:trPr>
          <w:trHeight w:val="405"/>
        </w:trPr>
        <w:tc>
          <w:tcPr>
            <w:tcW w:w="2960" w:type="dxa"/>
            <w:vAlign w:val="bottom"/>
          </w:tcPr>
          <w:p>
            <w:pPr>
              <w:spacing w:after="0"/>
              <w:rPr>
                <w:sz w:val="24"/>
                <w:szCs w:val="24"/>
                <w:color w:val="auto"/>
              </w:rPr>
            </w:pPr>
          </w:p>
        </w:tc>
        <w:tc>
          <w:tcPr>
            <w:tcW w:w="8460" w:type="dxa"/>
            <w:vAlign w:val="bottom"/>
          </w:tcPr>
          <w:p>
            <w:pPr>
              <w:ind w:left="2640"/>
              <w:spacing w:after="0"/>
              <w:rPr>
                <w:sz w:val="20"/>
                <w:szCs w:val="20"/>
                <w:color w:val="auto"/>
              </w:rPr>
            </w:pPr>
            <w:r>
              <w:rPr>
                <w:rFonts w:ascii="Arial" w:cs="Arial" w:eastAsia="Arial" w:hAnsi="Arial"/>
                <w:sz w:val="18"/>
                <w:szCs w:val="18"/>
                <w:color w:val="auto"/>
              </w:rPr>
              <w:t>21.</w:t>
            </w:r>
          </w:p>
        </w:tc>
      </w:tr>
      <w:tr>
        <w:trPr>
          <w:trHeight w:val="226"/>
        </w:trPr>
        <w:tc>
          <w:tcPr>
            <w:tcW w:w="2960" w:type="dxa"/>
            <w:vAlign w:val="bottom"/>
            <w:tcBorders>
              <w:bottom w:val="single" w:sz="8" w:color="808080"/>
            </w:tcBorders>
          </w:tcPr>
          <w:p>
            <w:pPr>
              <w:spacing w:after="0"/>
              <w:rPr>
                <w:sz w:val="19"/>
                <w:szCs w:val="19"/>
                <w:color w:val="auto"/>
              </w:rPr>
            </w:pPr>
          </w:p>
        </w:tc>
        <w:tc>
          <w:tcPr>
            <w:tcW w:w="8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4" w:name="page115"/>
    <w:bookmarkEnd w:id="114"/>
    <w:p>
      <w:pPr>
        <w:ind w:left="70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Square 1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406 Blackwell Street, Suite 240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Durham, North Carolina 27701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Attn: Loan Operations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(919) 314-3080</w:t>
      </w:r>
    </w:p>
    <w:p>
      <w:pPr>
        <w:spacing w:after="0" w:line="200" w:lineRule="exact"/>
        <w:rPr>
          <w:sz w:val="20"/>
          <w:szCs w:val="20"/>
          <w:color w:val="auto"/>
        </w:rPr>
      </w:pPr>
    </w:p>
    <w:p>
      <w:pPr>
        <w:sectPr>
          <w:pgSz w:w="11900" w:h="16838" w:orient="portrait"/>
          <w:cols w:equalWidth="0" w:num="2">
            <w:col w:w="2820" w:space="720"/>
            <w:col w:w="7860"/>
          </w:cols>
          <w:pgMar w:left="240" w:top="1152" w:right="259" w:bottom="1440" w:gutter="0" w:footer="0" w:header="0"/>
        </w:sectPr>
      </w:pPr>
    </w:p>
    <w:p>
      <w:pPr>
        <w:spacing w:after="0" w:line="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Square 1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600 Congress Ave., Suite 1200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Austin, TX 78701</w:t>
      </w:r>
    </w:p>
    <w:p>
      <w:pPr>
        <w:spacing w:after="0" w:line="200" w:lineRule="exact"/>
        <w:rPr>
          <w:sz w:val="20"/>
          <w:szCs w:val="20"/>
          <w:color w:val="auto"/>
        </w:rPr>
      </w:pPr>
    </w:p>
    <w:p>
      <w:pPr>
        <w:sectPr>
          <w:pgSz w:w="11900" w:h="16838" w:orient="portrait"/>
          <w:cols w:equalWidth="0" w:num="2">
            <w:col w:w="2820" w:space="720"/>
            <w:col w:w="7860"/>
          </w:cols>
          <w:pgMar w:left="240" w:top="1152" w:right="259" w:bottom="1440" w:gutter="0" w:footer="0" w:header="0"/>
          <w:type w:val="continuous"/>
        </w:sectPr>
      </w:pPr>
    </w:p>
    <w:p>
      <w:pPr>
        <w:spacing w:after="0" w:line="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Attn: David McLaughlin</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FAX: (512) 439-2829</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 the other.</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CHOICE OF LAW AND VENUE; JURY TRIAL WAIVER</w:t>
      </w:r>
      <w:r>
        <w:rPr>
          <w:rFonts w:ascii="Arial" w:cs="Arial" w:eastAsia="Arial" w:hAnsi="Arial"/>
          <w:sz w:val="18"/>
          <w:szCs w:val="18"/>
          <w:color w:val="auto"/>
        </w:rPr>
        <w:t>.</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Agreement shall be governed by, and construed in accordance with, the internal laws of the State of North Carolina, without regard to principles of conflicts of law. Jurisdiction shall lie in the State of North Carolina. All disputes, controversies, claims, actions and similar proceedings arising with respect to Borrower’s account or any related agreement or transaction shall be brought in the General Court of Justice of North Carolina sitting in Durham County, North Carolina or the United States District Court for the Middle District of North Carolina, except as provided below with respect to arbitration of such matters. BANK AND BORROWER EACH ACKNOWLEDGE THAT THE RIGHT TO TRIAL BY JURY IS A CONSTITUTIONAL ONE, BUT THAT IT MAY BE WAIVED. EACH OF THEM, AFTER CONSULTING OR HAVING HAD THE OPPORTUNITY TO CONSULT, WITH COUNSEL OF THEIR CHOICE, KNOWINGLY, VOLUNTARILY AND INTENTIONALLY WAIVES ANY RIGHT ANY OF THEM MAY HAVE TO A TRIAL BY JURY IN ANY LITIGATION BASED UPON OR ARISING OUT OF THIS AGREEMENT OR ANY RELATED INSTRUMENT OR LOAN DOCUMENT OR ANY OF THE TRANSACTIONS CONTEMPLATED BY THIS AGREEMENT OR ANY COURSE OF CONDUCT, DEALING, STATEMENTS (WHETHER ORAL OR WRITTEN), OR ACTION OF ANY OF THEM. THESE PROVISIONS SHALL NOT BE DEEMED TO HAVE BEEN MODIFIED IN ANY RESPECT OR RELINQUISHED BY BANK OR BORROWER, EXCEPT BY A WRITTEN INSTRUMENT EXECUTED BY EACH OF THEM. If the jury waiver set forth in this Section 11 is not enforceable, then any dispute, controversy, claim, action or similar proceeding arising out of or relating to this Agreement, the Loan Documents or any of the transactions contemplated therein shall be settled by final and binding arbitration held in Durham County, North Carolina in accordance with the then current Commercial Arbitration Rules of the American Arbitration Association by one arbitrator appointed in accordance with those rules. The arbitrator shall apply North Carolina law to the resolution of any dispute, without reference to rules of conflicts of law or rules of statutory arbitration. Judgment upon any award resulting from arbitration may be entered into and enforced by any state or federal court having jurisdiction thereof. Notwithstanding the foregoing, the parties may apply to any court of competent jurisdiction for preliminary or interim equitable relief, or to compel arbitration in accordance with this Section. The costs and expenses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type w:val="continuous"/>
        </w:sectPr>
      </w:pPr>
    </w:p>
    <w:bookmarkStart w:id="115" w:name="page116"/>
    <w:bookmarkEnd w:id="115"/>
    <w:p>
      <w:pPr>
        <w:ind w:right="200"/>
        <w:spacing w:after="0" w:line="259" w:lineRule="auto"/>
        <w:rPr>
          <w:sz w:val="20"/>
          <w:szCs w:val="20"/>
          <w:color w:val="auto"/>
        </w:rPr>
      </w:pPr>
      <w:r>
        <w:rPr>
          <w:rFonts w:ascii="Arial" w:cs="Arial" w:eastAsia="Arial" w:hAnsi="Arial"/>
          <w:sz w:val="18"/>
          <w:szCs w:val="18"/>
          <w:color w:val="auto"/>
        </w:rPr>
        <w:t>of the arbitration, including without limitation, the arbitrator’s fees and expert witness fees, and reasonable attorneys’ fees, incurred by the parties to the arbitration may be awarded to the prevailing party, in the discretion of the arbitrator, or may be apportioned between the parties in any manner deemed appropriate by the arbitrator. Unless and until the arbitrator decides that one party is to pay for all (or a share) of such costs and expenses, both parties shall share equally in the payment of the arbitrator’s fees as and when billed by the arbitrator.</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GENERAL PROVISIONS</w:t>
      </w:r>
      <w:r>
        <w:rPr>
          <w:rFonts w:ascii="Arial" w:cs="Arial" w:eastAsia="Arial" w:hAnsi="Arial"/>
          <w:sz w:val="18"/>
          <w:szCs w:val="18"/>
          <w:color w:val="auto"/>
        </w:rPr>
        <w:t>.</w:t>
      </w:r>
    </w:p>
    <w:p>
      <w:pPr>
        <w:spacing w:after="0" w:line="117" w:lineRule="exact"/>
        <w:rPr>
          <w:sz w:val="20"/>
          <w:szCs w:val="20"/>
          <w:color w:val="auto"/>
        </w:rPr>
      </w:pPr>
    </w:p>
    <w:p>
      <w:pPr>
        <w:ind w:left="240" w:right="100" w:firstLine="450"/>
        <w:spacing w:after="0" w:line="258" w:lineRule="auto"/>
        <w:rPr>
          <w:sz w:val="20"/>
          <w:szCs w:val="20"/>
          <w:color w:val="auto"/>
        </w:rPr>
      </w:pPr>
      <w:r>
        <w:rPr>
          <w:rFonts w:ascii="Arial" w:cs="Arial" w:eastAsia="Arial" w:hAnsi="Arial"/>
          <w:sz w:val="18"/>
          <w:szCs w:val="18"/>
          <w:b w:val="1"/>
          <w:bCs w:val="1"/>
          <w:color w:val="auto"/>
        </w:rPr>
        <w:t>12.1 Successors and Assigns</w:t>
      </w:r>
      <w:r>
        <w:rPr>
          <w:rFonts w:ascii="Arial" w:cs="Arial" w:eastAsia="Arial" w:hAnsi="Arial"/>
          <w:sz w:val="18"/>
          <w:szCs w:val="18"/>
          <w:color w:val="auto"/>
        </w:rPr>
        <w:t>. This Agreement shall bind and inure to the benefit of the respective successors and permitted assigns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shall bind all persons who become bound as a debtor to this Agreement;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assign, transfer, negotiate, or grant participation in all or any part of, or any interest in, Bank’s obligations, rights and benefits hereunder.</w:t>
      </w:r>
    </w:p>
    <w:p>
      <w:pPr>
        <w:spacing w:after="0" w:line="76" w:lineRule="exact"/>
        <w:rPr>
          <w:sz w:val="20"/>
          <w:szCs w:val="20"/>
          <w:color w:val="auto"/>
        </w:rPr>
      </w:pPr>
    </w:p>
    <w:p>
      <w:pPr>
        <w:ind w:left="240" w:firstLine="450"/>
        <w:spacing w:after="0" w:line="277"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shall defend, indemnify and hold harmless Bank and its officers, employees, and agents against: (a) all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demands, claims, and liabilities claimed or asserted by any other party in connection with the transactions contemplated by this Agreement;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set forth in this Agreement.</w:t>
      </w:r>
    </w:p>
    <w:p>
      <w:pPr>
        <w:spacing w:after="0" w:line="117" w:lineRule="exact"/>
        <w:rPr>
          <w:sz w:val="20"/>
          <w:szCs w:val="20"/>
          <w:color w:val="auto"/>
        </w:rPr>
      </w:pPr>
    </w:p>
    <w:p>
      <w:pPr>
        <w:ind w:left="240" w:right="80" w:firstLine="450"/>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shall be severable from every other provision of this Agreement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determining the legal enforceability of any specific provision.</w:t>
      </w:r>
    </w:p>
    <w:p>
      <w:pPr>
        <w:spacing w:after="0" w:line="54" w:lineRule="exact"/>
        <w:rPr>
          <w:sz w:val="20"/>
          <w:szCs w:val="20"/>
          <w:color w:val="auto"/>
        </w:rPr>
      </w:pPr>
    </w:p>
    <w:p>
      <w:pPr>
        <w:ind w:left="240" w:right="20" w:firstLine="450"/>
        <w:spacing w:after="0" w:line="266" w:lineRule="auto"/>
        <w:rPr>
          <w:sz w:val="20"/>
          <w:szCs w:val="20"/>
          <w:color w:val="auto"/>
        </w:rPr>
      </w:pPr>
      <w:r>
        <w:rPr>
          <w:rFonts w:ascii="Arial" w:cs="Arial" w:eastAsia="Arial" w:hAnsi="Arial"/>
          <w:sz w:val="18"/>
          <w:szCs w:val="18"/>
          <w:b w:val="1"/>
          <w:bCs w:val="1"/>
          <w:color w:val="auto"/>
        </w:rPr>
        <w:t xml:space="preserve">12.5 Amendments in Writing, Integration. </w:t>
      </w:r>
      <w:r>
        <w:rPr>
          <w:rFonts w:ascii="Arial" w:cs="Arial" w:eastAsia="Arial" w:hAnsi="Arial"/>
          <w:sz w:val="18"/>
          <w:szCs w:val="18"/>
          <w:color w:val="auto"/>
        </w:rPr>
        <w:t>All amendments to or terminations of this Agreement or the other Loan Documents must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68" w:lineRule="exact"/>
        <w:rPr>
          <w:sz w:val="20"/>
          <w:szCs w:val="20"/>
          <w:color w:val="auto"/>
        </w:rPr>
      </w:pPr>
    </w:p>
    <w:p>
      <w:pPr>
        <w:ind w:left="240" w:right="440" w:firstLine="450"/>
        <w:spacing w:after="0" w:line="261" w:lineRule="auto"/>
        <w:rPr>
          <w:sz w:val="20"/>
          <w:szCs w:val="20"/>
          <w:color w:val="auto"/>
        </w:rPr>
      </w:pPr>
      <w:r>
        <w:rPr>
          <w:rFonts w:ascii="Arial" w:cs="Arial" w:eastAsia="Arial" w:hAnsi="Arial"/>
          <w:sz w:val="18"/>
          <w:szCs w:val="18"/>
          <w:b w:val="1"/>
          <w:bCs w:val="1"/>
          <w:color w:val="auto"/>
        </w:rPr>
        <w:t>12.6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shall be deemed to be an original, and all of which, when taken together, shall constitute but one and the same Agreement. Executed copies of the signature pages of this Agreement sent by facsimile or transmitted electronically in Portable Document Format (“PDF”), or any similar format, shall be treated as originals,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fully binding and with full legal force and effect, and the parties waive any rights they may have to object to such treatment.</w:t>
      </w:r>
    </w:p>
    <w:p>
      <w:pPr>
        <w:spacing w:after="0" w:line="113" w:lineRule="exact"/>
        <w:rPr>
          <w:sz w:val="20"/>
          <w:szCs w:val="20"/>
          <w:color w:val="auto"/>
        </w:rPr>
      </w:pPr>
    </w:p>
    <w:p>
      <w:pPr>
        <w:ind w:right="100" w:firstLine="450"/>
        <w:spacing w:after="0" w:line="261"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All covenants, representations and warranties made in this Agreement shall continue in full force and effect so long as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remain outstanding or Bank has any obligation to make any Credit Extension to Borrower.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pacing w:after="0" w:line="72"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b w:val="1"/>
          <w:bCs w:val="1"/>
          <w:color w:val="auto"/>
        </w:rPr>
        <w:t>12.8 Confidentiality</w:t>
      </w:r>
      <w:r>
        <w:rPr>
          <w:rFonts w:ascii="Arial" w:cs="Arial" w:eastAsia="Arial" w:hAnsi="Arial"/>
          <w:sz w:val="16"/>
          <w:szCs w:val="16"/>
          <w:color w:val="auto"/>
        </w:rPr>
        <w:t>. In handling any confidential information, Bank and all employees and agents of Bank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Bank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or Borrower in connection with their present or prospective business relations with Borrower, (ii) to prospective transferees or purchasers of any interest in the Credit Extensions, provided that they have entered into a comparable confidentiality agreement in favor of Borrower and have delivered a copy to Borrower, (iii) as required by law, regulations, rule or order, subpoena, judicial order or similar order, (iv) as may be required in connection with the examination, audit or similar investigation of Bank and (v) as Bank may determine in connection with the enforcement of any remedies hereunder. Confidential information hereunder shall not include information that either: (a) is in the public domain or in the knowledge or possession of Bank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CO-BORROWER PROVISIONS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0"/>
        <w:spacing w:after="0" w:line="298" w:lineRule="auto"/>
        <w:rPr>
          <w:sz w:val="20"/>
          <w:szCs w:val="20"/>
          <w:color w:val="auto"/>
        </w:rPr>
      </w:pPr>
      <w:r>
        <w:rPr>
          <w:rFonts w:ascii="Arial" w:cs="Arial" w:eastAsia="Arial" w:hAnsi="Arial"/>
          <w:sz w:val="16"/>
          <w:szCs w:val="16"/>
          <w:b w:val="1"/>
          <w:bCs w:val="1"/>
          <w:color w:val="auto"/>
        </w:rPr>
        <w:t>13.1 Primary Obligation</w:t>
      </w:r>
      <w:r>
        <w:rPr>
          <w:rFonts w:ascii="Arial" w:cs="Arial" w:eastAsia="Arial" w:hAnsi="Arial"/>
          <w:sz w:val="16"/>
          <w:szCs w:val="16"/>
          <w:color w:val="auto"/>
        </w:rPr>
        <w:t>. This Agreement is a primary and original obligation of each Borrower and shall remain in effect notwithstanding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conditions, including any change of law or any invalidity or irregularity in the creation or acquisition of any Obligations or in the execution or delivery of any agreement between Bank and any Borrower. Each Borrower shall be liable for existing and future Obligations as fully as if all of all Credit Extensions were advanced to such Borrower. Bank may rely on any certificate or representation made by any Borrower as made on behalf of, and binding on, all Borrowers, including without limitation Disbursement Request Forms, Borrowing Base Certificates and Compliance Certificates.</w:t>
      </w:r>
    </w:p>
    <w:p>
      <w:pPr>
        <w:spacing w:after="0" w:line="46" w:lineRule="exact"/>
        <w:rPr>
          <w:sz w:val="20"/>
          <w:szCs w:val="20"/>
          <w:color w:val="auto"/>
        </w:rPr>
      </w:pPr>
    </w:p>
    <w:p>
      <w:pPr>
        <w:ind w:right="500" w:firstLine="450"/>
        <w:spacing w:after="0" w:line="282" w:lineRule="auto"/>
        <w:rPr>
          <w:sz w:val="20"/>
          <w:szCs w:val="20"/>
          <w:color w:val="auto"/>
        </w:rPr>
      </w:pPr>
      <w:r>
        <w:rPr>
          <w:rFonts w:ascii="Arial" w:cs="Arial" w:eastAsia="Arial" w:hAnsi="Arial"/>
          <w:sz w:val="18"/>
          <w:szCs w:val="18"/>
          <w:b w:val="1"/>
          <w:bCs w:val="1"/>
          <w:color w:val="auto"/>
        </w:rPr>
        <w:t>13.2 Enforcement of Rights</w:t>
      </w:r>
      <w:r>
        <w:rPr>
          <w:rFonts w:ascii="Arial" w:cs="Arial" w:eastAsia="Arial" w:hAnsi="Arial"/>
          <w:sz w:val="18"/>
          <w:szCs w:val="18"/>
          <w:color w:val="auto"/>
        </w:rPr>
        <w:t>. Borrowers are jointly and severally liable for the Obligations and Bank may proceed against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to enforce the Obligations without waiving its right to proceed against any of the other Borrowers.</w:t>
      </w:r>
    </w:p>
    <w:p>
      <w:pPr>
        <w:spacing w:after="0" w:line="1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17" w:name="page118"/>
    <w:bookmarkEnd w:id="117"/>
    <w:p>
      <w:pPr>
        <w:ind w:right="280" w:firstLine="450"/>
        <w:spacing w:after="0" w:line="281" w:lineRule="auto"/>
        <w:rPr>
          <w:sz w:val="20"/>
          <w:szCs w:val="20"/>
          <w:color w:val="auto"/>
        </w:rPr>
      </w:pPr>
      <w:r>
        <w:rPr>
          <w:rFonts w:ascii="Arial" w:cs="Arial" w:eastAsia="Arial" w:hAnsi="Arial"/>
          <w:sz w:val="17"/>
          <w:szCs w:val="17"/>
          <w:b w:val="1"/>
          <w:bCs w:val="1"/>
          <w:color w:val="auto"/>
        </w:rPr>
        <w:t>13.3 Borrowers as Agents</w:t>
      </w:r>
      <w:r>
        <w:rPr>
          <w:rFonts w:ascii="Arial" w:cs="Arial" w:eastAsia="Arial" w:hAnsi="Arial"/>
          <w:sz w:val="17"/>
          <w:szCs w:val="17"/>
          <w:color w:val="auto"/>
        </w:rPr>
        <w:t>. Each Borrower appoints the other Borrower as its agent with all necessary power and authority to give and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notices, certificates or demands for and on behalf of both Borrowers, to act as disbursing agent for receipt of any Credit Extensions on behalf of each Borrower and to apply to Bank on behalf of each Borrower for Credit Extensions, any waivers and any consents. This authorization cannot be revoked, and Bank need not inquire as to each Borrower’s authority to act for or on behalf of Borrower.</w:t>
      </w:r>
    </w:p>
    <w:p>
      <w:pPr>
        <w:spacing w:after="0" w:line="5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b w:val="1"/>
          <w:bCs w:val="1"/>
          <w:color w:val="auto"/>
        </w:rPr>
        <w:t>13.4 Subrogation and Similar Rights</w:t>
      </w:r>
      <w:r>
        <w:rPr>
          <w:rFonts w:ascii="Arial" w:cs="Arial" w:eastAsia="Arial" w:hAnsi="Arial"/>
          <w:sz w:val="17"/>
          <w:szCs w:val="17"/>
          <w:color w:val="auto"/>
        </w:rPr>
        <w:t>. Notwithstanding any other provision of this Agreement or any other Loan Document, each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irrevocably waives all rights that it may have at law or in equity (including, without limitation, any law subrogating the Borrower to the rights of Bank under the Loan Documents) to seek contribution, indemnification, or any other form of reimbursement from any other Borrower, or any other Person now or hereafter primarily or secondarily liable for any of the Obligations, for any payment made by the Borrower with respect to the Obligations in connection with the Loan Documents or otherwise and all rights that it might have to benefit from, or to participate in, any security for the Obligations as a result of any payment made by the Borrower with respect to the Obligations in connection with the Loan Documents or otherwise. Any agreement providing for indemnification, reimbursement or any other arrangement prohibited under this Section 14.4 shall be null and void. If any payment is made to a Borrower in contravention of this Section 14.4, such Borrower shall hold such payment in trust for Bank and such payment shall be promptly delivered to Bank for application to the Obligations, whether matured or unmatured.</w:t>
      </w:r>
    </w:p>
    <w:p>
      <w:pPr>
        <w:spacing w:after="0" w:line="66" w:lineRule="exact"/>
        <w:rPr>
          <w:sz w:val="20"/>
          <w:szCs w:val="20"/>
          <w:color w:val="auto"/>
        </w:rPr>
      </w:pPr>
    </w:p>
    <w:p>
      <w:pPr>
        <w:ind w:right="60" w:firstLine="450"/>
        <w:spacing w:after="0" w:line="289" w:lineRule="auto"/>
        <w:rPr>
          <w:sz w:val="20"/>
          <w:szCs w:val="20"/>
          <w:color w:val="auto"/>
        </w:rPr>
      </w:pPr>
      <w:r>
        <w:rPr>
          <w:rFonts w:ascii="Arial" w:cs="Arial" w:eastAsia="Arial" w:hAnsi="Arial"/>
          <w:sz w:val="16"/>
          <w:szCs w:val="16"/>
          <w:b w:val="1"/>
          <w:bCs w:val="1"/>
          <w:color w:val="auto"/>
        </w:rPr>
        <w:t>13.5 Waivers of Notice</w:t>
      </w:r>
      <w:r>
        <w:rPr>
          <w:rFonts w:ascii="Arial" w:cs="Arial" w:eastAsia="Arial" w:hAnsi="Arial"/>
          <w:sz w:val="16"/>
          <w:szCs w:val="16"/>
          <w:color w:val="auto"/>
        </w:rPr>
        <w:t>. Except as otherwise provided in this Agreement, each Borrower waives notice of acceptance hereof; notice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existence, creation or acquisition of any of the Obligations; notice of an Event of Default; notice of the amount of the Obligations outstanding at any time; notice of intent to accelerate; notice of acceleration; notice of any adverse change in the financial condition of any other Borrower or of any other fact that might increase the Borrower’s risk; presentment for payment; demand; protest and notice thereof as to any instrument; default; and all other notices and demands to which the Borrower would otherwise be entitled. Each Borrower waives any defense arising from any defense of any other Borrower, or by reason of the cessation from any cause whatsoever of the liability of any other Borrower. Bank’s failure at any time to require strict performance by any Borrower of any provision of the Loan Documents shall not waive, alter or diminish any right of Bank thereafter to demand strict compliance and performance therewith. Nothing contained herein shall prevent Bank from foreclosing on the Lien of any deed of trust, mortgage or other security instrument, or exercising any rights available thereunder, and the exercise of any such rights shall not constitute a legal or equitable discharge of any Borrower. Each Borrower also waives any defense arising from any act or omission of Bank that changes the scope of the Borrower’s risks hereunder.</w:t>
      </w:r>
    </w:p>
    <w:p>
      <w:pPr>
        <w:spacing w:after="0" w:line="53"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b w:val="1"/>
          <w:bCs w:val="1"/>
          <w:color w:val="auto"/>
        </w:rPr>
        <w:t>13.6 Subrogation Defenses</w:t>
      </w:r>
      <w:r>
        <w:rPr>
          <w:rFonts w:ascii="Arial" w:cs="Arial" w:eastAsia="Arial" w:hAnsi="Arial"/>
          <w:sz w:val="18"/>
          <w:szCs w:val="18"/>
          <w:color w:val="auto"/>
        </w:rPr>
        <w:t>. Each Borrower hereby waives any defense based on impairment or destruction of its subrogation or other rights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Borrower and waives all benefits which might otherwise be available to it under</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1"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any statutory or common law suretyship defenses or marshalling rights, now and hereafter in effect.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13.7 Right to Settle, Release</w:t>
      </w:r>
      <w:r>
        <w:rPr>
          <w:rFonts w:ascii="Arial" w:cs="Arial" w:eastAsia="Arial" w:hAnsi="Arial"/>
          <w:sz w:val="18"/>
          <w:szCs w:val="18"/>
          <w:color w:val="auto"/>
        </w:rPr>
        <w:t>.</w:t>
      </w:r>
    </w:p>
    <w:p>
      <w:pPr>
        <w:spacing w:after="0" w:line="121" w:lineRule="exact"/>
        <w:rPr>
          <w:sz w:val="20"/>
          <w:szCs w:val="20"/>
          <w:color w:val="auto"/>
        </w:rPr>
      </w:pPr>
    </w:p>
    <w:p>
      <w:pPr>
        <w:ind w:firstLine="671"/>
        <w:spacing w:after="0" w:line="312" w:lineRule="auto"/>
        <w:tabs>
          <w:tab w:leader="none" w:pos="929"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The liability of Borrowers hereunder shall not be diminished by (i) any agreement, understanding or representation that any of the Obligations is or was to be guaranteed by another Person or secured by other property, or (ii) any release or unenforceability, whether partial or total, of rights, if any, which Bank may now or hereafter have against any other Person, including another Borrower, or property with respect to any of the Obligations.</w:t>
      </w:r>
    </w:p>
    <w:p>
      <w:pPr>
        <w:spacing w:after="0" w:line="38" w:lineRule="exact"/>
        <w:rPr>
          <w:rFonts w:ascii="Arial" w:cs="Arial" w:eastAsia="Arial" w:hAnsi="Arial"/>
          <w:sz w:val="16"/>
          <w:szCs w:val="16"/>
          <w:b w:val="1"/>
          <w:bCs w:val="1"/>
          <w:color w:val="auto"/>
        </w:rPr>
      </w:pPr>
    </w:p>
    <w:p>
      <w:pPr>
        <w:ind w:right="20" w:firstLine="671"/>
        <w:spacing w:after="0" w:line="293" w:lineRule="auto"/>
        <w:tabs>
          <w:tab w:leader="none" w:pos="940"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Without affecting the liability of any Borrower hereunder, Bank may (i) compromise, settle, renew, extend the time for payment, change the manner or terms of payment, discharge the performance of, decline to enforce, or release all or any of the Obligations with respect to a Borrower, (ii) grant other indulgences to a Borrower in respect of the Obligations, (iii) modify in any manner any documents relating to the Obligations with respect to a Borrower, (iv) release, surrender or exchange any deposits or other property securing the Obligations, whether pledged by a Borrower or any other Person, or (v) compromise, settle, renew, or extend the time for payment, discharge the performance of, decline to enforce, or release all or any obligations of any guarantor, endorser or other Person who is now or may hereafter be liable with respect to any of the Obligations.</w:t>
      </w:r>
    </w:p>
    <w:p>
      <w:pPr>
        <w:spacing w:after="0" w:line="53" w:lineRule="exact"/>
        <w:rPr>
          <w:sz w:val="20"/>
          <w:szCs w:val="20"/>
          <w:color w:val="auto"/>
        </w:rPr>
      </w:pPr>
    </w:p>
    <w:p>
      <w:pPr>
        <w:ind w:right="180" w:firstLine="450"/>
        <w:spacing w:after="0" w:line="289" w:lineRule="auto"/>
        <w:rPr>
          <w:sz w:val="20"/>
          <w:szCs w:val="20"/>
          <w:color w:val="auto"/>
        </w:rPr>
      </w:pPr>
      <w:r>
        <w:rPr>
          <w:rFonts w:ascii="Arial" w:cs="Arial" w:eastAsia="Arial" w:hAnsi="Arial"/>
          <w:sz w:val="17"/>
          <w:szCs w:val="17"/>
          <w:b w:val="1"/>
          <w:bCs w:val="1"/>
          <w:color w:val="auto"/>
        </w:rPr>
        <w:t>13.8 Subordination</w:t>
      </w:r>
      <w:r>
        <w:rPr>
          <w:rFonts w:ascii="Arial" w:cs="Arial" w:eastAsia="Arial" w:hAnsi="Arial"/>
          <w:sz w:val="17"/>
          <w:szCs w:val="17"/>
          <w:color w:val="auto"/>
        </w:rPr>
        <w:t>. All indebtedness of a Borrower now or hereafter arising held by another Borrower is subordinated to the Obligations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holding the indebtedness shall take all actions reasonably requested by Lender to effect, to enforce and to give notice of such subordination, provided that any such indebtedness may be repaid to the applicable Borrower unless an Event of Default exists.</w:t>
      </w:r>
    </w:p>
    <w:p>
      <w:pPr>
        <w:spacing w:after="0" w:line="2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BORROWERS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NETSTREAMS,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Peter Radekevich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COO/CFO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NETSTREAMS,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Peter Radekevich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COO/CFO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BANK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SQUARE 1 BANK</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Authorized Signatory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9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20" w:name="page121"/>
    <w:bookmarkEnd w:id="120"/>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and any and all credit insurance, guaranties, and other security therefore, as well as all merchandise returned to or reclaimed by Borrower and Borrower’s Books relating to any of the foregoing.</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“Adjusted Liquidity” means Cash in Bank, plus 80% of the most recently reported Eligible Accounts, plus 10% (up to a maximum of $300,000) of the most recently reported Inventory held less than 90 Days.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“Adjusted Liquidity Ratio” means the ratio of Adjusted Liquidity to outstanding Indebtedness to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“Advance” or “Advances” means a cash advance or cash advances under the Formula Revolving Line.</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general partners.</w:t>
      </w:r>
    </w:p>
    <w:p>
      <w:pPr>
        <w:spacing w:after="0" w:line="3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“Ancillary Services” means any of the following products or services requested by Borrower and approved by Bank under the Formula Revolving Line, including, without limitation, Automated Clearing House transactions, corporate credit card services, FX Contracts, Letters of Credit, or other treasury management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“Ancillary Services Sublimit” means a sublimit for Ancillary Services under the Formula Revolving Line not to exceed $200,000.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“Availability End Date” means May 12, 2009.</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“Bank Expenses” means all reasonable costs or expenses (including reasonable attorneys’ fees and expenses) incurred in connection with the preparation, negotiation, administration, and enforcement of the Loan Documents; reasonable Collateral audit fees; and Bank’s reasonable attorneys’ fees and expenses (whether generated in-house or by outside counsel) incurred in amending, enforcing or defending the Loan Documents (including fees and expenses of appeal), incurred before, during and after an Insolvency Proceeding, whether or not suit is brought.</w:t>
      </w:r>
    </w:p>
    <w:p>
      <w:pPr>
        <w:spacing w:after="0" w:line="6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38"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“Borrowing Base” means an amount equal to 80% (the “Advance Rate”) of Eligible Accounts, as determined by Bank with reference to the most recent Borrowing Base Certificate delivered by Parent; provided that, in Bank’s sole discretion, the Advance Rate may be increased to 85% of as a result of the inclusion of certain Accounts which are insured by Borrower’s credit insurance policy satisfactory to Bank in its sole discretion.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“Business Day” means any day that is not a Saturday, Sunday, or other day on which banks in the State of North Carolina are authorized or required to close.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“Cash” means unrestricted cash and cash equivalents.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21" w:name="page122"/>
    <w:bookmarkEnd w:id="121"/>
    <w:p>
      <w:pPr>
        <w:ind w:right="40"/>
        <w:spacing w:after="0" w:line="276" w:lineRule="auto"/>
        <w:rPr>
          <w:sz w:val="20"/>
          <w:szCs w:val="20"/>
          <w:color w:val="auto"/>
        </w:rPr>
      </w:pPr>
      <w:r>
        <w:rPr>
          <w:rFonts w:ascii="Arial" w:cs="Arial" w:eastAsia="Arial" w:hAnsi="Arial"/>
          <w:sz w:val="17"/>
          <w:szCs w:val="17"/>
          <w:color w:val="auto"/>
        </w:rPr>
        <w:t>“Change in Control” shall mean a transaction other than a bona fide equity financing or series of financings on terms and from investors reasonably acceptable to Bank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“Closing Date” means the date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North Carolina Uniform Commercial Code as amended or supplemented from time to time.</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“Collateral” means the property described on Exhibit B attached hereto and all Negotiable Collateral and Intellectual Property Collateral to the extent not described on Exhibit B, except to the extent any such property (i) is nonassignable by its terms without the consent of the licensor thereof or another party (but only to the extent such prohibition on transfer is enforceable under applicable law, including, without limitation, §25-9-406 and §25-9-408 of the Code),</w:t>
      </w:r>
    </w:p>
    <w:p>
      <w:pPr>
        <w:ind w:right="140" w:firstLine="8"/>
        <w:spacing w:after="0" w:line="252" w:lineRule="auto"/>
        <w:tabs>
          <w:tab w:leader="none" w:pos="2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granting of a security interest therein is contrary to applicable law, provided that upon the cessation of any such restriction or prohibition, such property shall automatically become part of the Collateral, (iii) constitutes the capital stock of a controlled foreign corporation (as defined in the IRC), in excess of 65% of the voting power of all classes of capital stock of such controlled foreign corporations entitled to vote, or (iv) property (including any attachments, accessions or replacements) that is subject to a Lien that is permitted pursuant to clause (c) of the definition of Permitted Liens, if the grant of a security interest with respect to such property pursuant to this Agreement would be prohibited by the agreement creating such Permitted Lien or would otherwise constitute a default thereunder, provided, that such property will be deemed “Collateral” hereunder upon the termination and release of such Permitted Lien.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“Collateral State” means the state or states where the Collateral is located, which is Texas.</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 endorsed, co-made or discounted or sold with recourse by that Person, or in respect of which that Person is otherwise directly or indirectly liable;</w:t>
      </w:r>
    </w:p>
    <w:p>
      <w:pPr>
        <w:ind w:right="20" w:firstLine="8"/>
        <w:spacing w:after="0" w:line="252" w:lineRule="auto"/>
        <w:tabs>
          <w:tab w:leader="none" w:pos="2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“Copyrights” means 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“Credit Extension” means each Advance, Term Loan, or any other extension of credit, by Bank to or for the benefit of Borrower hereunder.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jc w:val="both"/>
        <w:ind w:right="240"/>
        <w:spacing w:after="0" w:line="286" w:lineRule="auto"/>
        <w:rPr>
          <w:sz w:val="20"/>
          <w:szCs w:val="20"/>
          <w:color w:val="auto"/>
        </w:rPr>
      </w:pPr>
      <w:r>
        <w:rPr>
          <w:rFonts w:ascii="Arial" w:cs="Arial" w:eastAsia="Arial" w:hAnsi="Arial"/>
          <w:sz w:val="17"/>
          <w:szCs w:val="17"/>
          <w:color w:val="auto"/>
        </w:rPr>
        <w:t>“Eligible Accounts” means those Accounts that arise in the ordinary course of Borrower’s business that comply with all of Borrower’s representations and warranties to Bank set forth in Section 5.3; provided, that Bank may change the Advance Rate and the standards of eligibility by giving Borrower 10 days prior written notice. Unless otherwise agreed to by Bank, Eligible Accounts shall not include the following:</w:t>
      </w:r>
    </w:p>
    <w:p>
      <w:pPr>
        <w:spacing w:after="0" w:line="57" w:lineRule="exact"/>
        <w:rPr>
          <w:sz w:val="20"/>
          <w:szCs w:val="20"/>
          <w:color w:val="auto"/>
        </w:rPr>
      </w:pPr>
    </w:p>
    <w:p>
      <w:pPr>
        <w:ind w:left="1160" w:hanging="249"/>
        <w:spacing w:after="0"/>
        <w:tabs>
          <w:tab w:leader="none" w:pos="116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 balances that the account debtor has failed to pay in full within 90 days of invoice date;</w:t>
      </w:r>
    </w:p>
    <w:p>
      <w:pPr>
        <w:spacing w:after="0" w:line="117" w:lineRule="exact"/>
        <w:rPr>
          <w:rFonts w:ascii="Arial" w:cs="Arial" w:eastAsia="Arial" w:hAnsi="Arial"/>
          <w:sz w:val="18"/>
          <w:szCs w:val="18"/>
          <w:b w:val="1"/>
          <w:bCs w:val="1"/>
          <w:color w:val="auto"/>
        </w:rPr>
      </w:pPr>
    </w:p>
    <w:p>
      <w:pPr>
        <w:ind w:left="1180" w:hanging="269"/>
        <w:spacing w:after="0"/>
        <w:tabs>
          <w:tab w:leader="none" w:pos="118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 credit balances greater than 90 days from invoice date;</w:t>
      </w:r>
    </w:p>
    <w:p>
      <w:pPr>
        <w:spacing w:after="0" w:line="117" w:lineRule="exact"/>
        <w:rPr>
          <w:rFonts w:ascii="Arial" w:cs="Arial" w:eastAsia="Arial" w:hAnsi="Arial"/>
          <w:sz w:val="18"/>
          <w:szCs w:val="18"/>
          <w:b w:val="1"/>
          <w:bCs w:val="1"/>
          <w:color w:val="auto"/>
        </w:rPr>
      </w:pPr>
    </w:p>
    <w:p>
      <w:pPr>
        <w:ind w:left="1160" w:hanging="249"/>
        <w:spacing w:after="0"/>
        <w:tabs>
          <w:tab w:leader="none" w:pos="1160"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Accounts with respect to an account debtor, 25% of whose Accounts the account debtor has failed to pay within 90 days of invoice date;</w:t>
      </w:r>
    </w:p>
    <w:p>
      <w:pPr>
        <w:spacing w:after="0" w:line="128" w:lineRule="exact"/>
        <w:rPr>
          <w:rFonts w:ascii="Arial" w:cs="Arial" w:eastAsia="Arial" w:hAnsi="Arial"/>
          <w:sz w:val="17"/>
          <w:szCs w:val="17"/>
          <w:b w:val="1"/>
          <w:bCs w:val="1"/>
          <w:color w:val="auto"/>
        </w:rPr>
      </w:pPr>
    </w:p>
    <w:p>
      <w:pPr>
        <w:ind w:left="240" w:right="240" w:firstLine="671"/>
        <w:spacing w:after="0" w:line="259" w:lineRule="auto"/>
        <w:tabs>
          <w:tab w:leader="none" w:pos="118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an account debtor, including the account debtor’s subsidiaries and Affiliates, whose total obligations to Borrower exceed 25% of all Accounts (the “Concentration Limit”), to the extent such obligations exceed the aforementioned percentage, except as approved in writing by Bank; provided that the Concentration Limit with respect to accounts of AVAD shall be 50% upon Bank’s completion of satisfactory due diligence thereon;</w:t>
      </w:r>
    </w:p>
    <w:p>
      <w:pPr>
        <w:spacing w:after="0" w:line="78" w:lineRule="exact"/>
        <w:rPr>
          <w:rFonts w:ascii="Arial" w:cs="Arial" w:eastAsia="Arial" w:hAnsi="Arial"/>
          <w:sz w:val="18"/>
          <w:szCs w:val="18"/>
          <w:b w:val="1"/>
          <w:bCs w:val="1"/>
          <w:color w:val="auto"/>
        </w:rPr>
      </w:pPr>
    </w:p>
    <w:p>
      <w:pPr>
        <w:ind w:left="240" w:right="480" w:firstLine="671"/>
        <w:spacing w:after="0" w:line="277" w:lineRule="auto"/>
        <w:tabs>
          <w:tab w:leader="none" w:pos="1159"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which the account debtor does not have its principal place of business in the United States, except for Eligible Foreign Accounts;</w:t>
      </w:r>
    </w:p>
    <w:p>
      <w:pPr>
        <w:spacing w:after="0" w:line="62" w:lineRule="exact"/>
        <w:rPr>
          <w:rFonts w:ascii="Arial" w:cs="Arial" w:eastAsia="Arial" w:hAnsi="Arial"/>
          <w:sz w:val="18"/>
          <w:szCs w:val="18"/>
          <w:b w:val="1"/>
          <w:bCs w:val="1"/>
          <w:color w:val="auto"/>
        </w:rPr>
      </w:pPr>
    </w:p>
    <w:p>
      <w:pPr>
        <w:ind w:left="240" w:right="320" w:firstLine="671"/>
        <w:spacing w:after="0" w:line="264" w:lineRule="auto"/>
        <w:tabs>
          <w:tab w:leader="none" w:pos="114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which the account debtor is the United States or any department, agency, or instrumentality of the United States, except for Accounts of the United States if the payee has assigned its payment rights to Bank and the assignment has been acknowledged under the Assignment of Claims Act of 1940 (31 U.S.C. 3727);</w:t>
      </w:r>
    </w:p>
    <w:p>
      <w:pPr>
        <w:spacing w:after="0" w:line="73" w:lineRule="exact"/>
        <w:rPr>
          <w:rFonts w:ascii="Arial" w:cs="Arial" w:eastAsia="Arial" w:hAnsi="Arial"/>
          <w:sz w:val="18"/>
          <w:szCs w:val="18"/>
          <w:b w:val="1"/>
          <w:bCs w:val="1"/>
          <w:color w:val="auto"/>
        </w:rPr>
      </w:pPr>
    </w:p>
    <w:p>
      <w:pPr>
        <w:ind w:left="240" w:right="680" w:firstLine="671"/>
        <w:spacing w:after="0" w:line="277" w:lineRule="auto"/>
        <w:tabs>
          <w:tab w:leader="none" w:pos="1169"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which Borrower is liable to the account debtor for goods sold or services rendered by the account debtor to Borrower, but only to the extent of any amounts owing to the account debtor against amounts owed to Borrower;</w:t>
      </w:r>
    </w:p>
    <w:p>
      <w:pPr>
        <w:spacing w:after="0" w:line="62" w:lineRule="exact"/>
        <w:rPr>
          <w:rFonts w:ascii="Arial" w:cs="Arial" w:eastAsia="Arial" w:hAnsi="Arial"/>
          <w:sz w:val="18"/>
          <w:szCs w:val="18"/>
          <w:b w:val="1"/>
          <w:bCs w:val="1"/>
          <w:color w:val="auto"/>
        </w:rPr>
      </w:pPr>
    </w:p>
    <w:p>
      <w:pPr>
        <w:ind w:left="1180" w:hanging="269"/>
        <w:spacing w:after="0"/>
        <w:tabs>
          <w:tab w:leader="none" w:pos="118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which the account debtor is an officer, employee, agent, Subsidiary or Affiliate of Borrower;</w:t>
      </w:r>
    </w:p>
    <w:p>
      <w:pPr>
        <w:spacing w:after="0" w:line="117" w:lineRule="exact"/>
        <w:rPr>
          <w:rFonts w:ascii="Arial" w:cs="Arial" w:eastAsia="Arial" w:hAnsi="Arial"/>
          <w:sz w:val="18"/>
          <w:szCs w:val="18"/>
          <w:b w:val="1"/>
          <w:bCs w:val="1"/>
          <w:color w:val="auto"/>
        </w:rPr>
      </w:pPr>
    </w:p>
    <w:p>
      <w:pPr>
        <w:ind w:left="240" w:right="340" w:firstLine="671"/>
        <w:spacing w:after="0" w:line="277" w:lineRule="auto"/>
        <w:tabs>
          <w:tab w:leader="none" w:pos="113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which goods are placed on consignment, guaranteed sale, sale or return, sale on approval, bill and hold, demo or promotional, or other terms by reason of which the payment by the account debtor may be conditional;</w:t>
      </w:r>
    </w:p>
    <w:p>
      <w:pPr>
        <w:spacing w:after="0" w:line="62" w:lineRule="exact"/>
        <w:rPr>
          <w:rFonts w:ascii="Arial" w:cs="Arial" w:eastAsia="Arial" w:hAnsi="Arial"/>
          <w:sz w:val="18"/>
          <w:szCs w:val="18"/>
          <w:b w:val="1"/>
          <w:bCs w:val="1"/>
          <w:color w:val="auto"/>
        </w:rPr>
      </w:pPr>
    </w:p>
    <w:p>
      <w:pPr>
        <w:ind w:left="240" w:firstLine="671"/>
        <w:spacing w:after="0" w:line="264" w:lineRule="auto"/>
        <w:tabs>
          <w:tab w:leader="none" w:pos="114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“Advanced Billings,” i.e., accounts that have not yet been billed to the account debtor or that relate to deposits (such as good faith deposits) or other property of the account debtor held by Borrower for the performance of services or delivery of goods which Borrower has not yet performed or delivered;</w:t>
      </w:r>
    </w:p>
    <w:p>
      <w:pPr>
        <w:spacing w:after="0" w:line="73" w:lineRule="exact"/>
        <w:rPr>
          <w:rFonts w:ascii="Arial" w:cs="Arial" w:eastAsia="Arial" w:hAnsi="Arial"/>
          <w:sz w:val="18"/>
          <w:szCs w:val="18"/>
          <w:b w:val="1"/>
          <w:bCs w:val="1"/>
          <w:color w:val="auto"/>
        </w:rPr>
      </w:pPr>
    </w:p>
    <w:p>
      <w:pPr>
        <w:jc w:val="both"/>
        <w:ind w:left="240" w:right="40" w:firstLine="671"/>
        <w:spacing w:after="0" w:line="264" w:lineRule="auto"/>
        <w:tabs>
          <w:tab w:leader="none" w:pos="118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with respect to which the account debtor disputes liability or makes any claim with respect thereto as to which Bank believes, in its sole discretion, that there may be a basis for dispute (but only to the extent of the amount subject to such dispute or claim), or is subject to any Insolvency Proceeding, or becomes insolvent, or goes out of business;</w:t>
      </w:r>
    </w:p>
    <w:p>
      <w:pPr>
        <w:spacing w:after="0" w:line="73" w:lineRule="exact"/>
        <w:rPr>
          <w:rFonts w:ascii="Arial" w:cs="Arial" w:eastAsia="Arial" w:hAnsi="Arial"/>
          <w:sz w:val="18"/>
          <w:szCs w:val="18"/>
          <w:b w:val="1"/>
          <w:bCs w:val="1"/>
          <w:color w:val="auto"/>
        </w:rPr>
      </w:pPr>
    </w:p>
    <w:p>
      <w:pPr>
        <w:ind w:left="1120" w:hanging="209"/>
        <w:spacing w:after="0"/>
        <w:tabs>
          <w:tab w:leader="none" w:pos="112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Accounts the collection of which Bank reasonably determines after inquiry and consultation with Borrower to be doubtful;</w:t>
      </w:r>
    </w:p>
    <w:p>
      <w:pPr>
        <w:spacing w:after="0" w:line="117" w:lineRule="exact"/>
        <w:rPr>
          <w:rFonts w:ascii="Arial" w:cs="Arial" w:eastAsia="Arial" w:hAnsi="Arial"/>
          <w:sz w:val="18"/>
          <w:szCs w:val="18"/>
          <w:b w:val="1"/>
          <w:bCs w:val="1"/>
          <w:color w:val="auto"/>
        </w:rPr>
      </w:pPr>
    </w:p>
    <w:p>
      <w:pPr>
        <w:ind w:left="1220" w:hanging="309"/>
        <w:spacing w:after="0"/>
        <w:tabs>
          <w:tab w:leader="none" w:pos="122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Retentions and hold-backs;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3" w:name="page124"/>
    <w:bookmarkEnd w:id="123"/>
    <w:p>
      <w:pPr>
        <w:ind w:left="1180" w:hanging="269"/>
        <w:spacing w:after="0"/>
        <w:tabs>
          <w:tab w:leader="none" w:pos="118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“Progress Billings,” i.e., accounts that are billed based on project milestones and not on actual time and materials bases.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“Eligible Foreign Accounts” means Accounts with respect to which the account debtor does not have its principal place of business in the United States and that are (i) supported by one or more letters of credit in an amount and of a tenor, and issued by a financial institution, acceptable to Bank, (ii) insured by the Export Import Bank of the United States, (iii) generated by an account debtor with its principal place of business in Canada, provided that the Bank has perfected its security interest in the appropriate Canadian province, or (iv) approved by Bank on a case-by-case basis. All Eligible Foreign Accounts must be calculated in U.S. Dollars.</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“Equipment” means all present and future machinery, equipment, tenant improvements, furniture, fixtures, vehicles, tools, parts and attachments in which Borrower has any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“ERISA” means the Employee Retirement Income Security Act of 1974, as amended, and the regulations thereunder.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has the meaning assigned in Article 8.</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“Formula Revolving Line” means a Credit Extension of up to $1,000,000 (inclusive of any amounts outstanding under the Ancillary Services Sublimit); provided that such amount shall be increased to $2,000,000 upon Parent’s completion of the Funding Milestone set forth in Section 6.7 hereof.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“Formula Revolving Maturity Date” means November 11, 2009.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Reserve Percentage” means a percentage of reserves for FX Contracts as determined by Bank, in its sole discretion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“FX Contracts” means contracts between Borrower and Bank for foreign exchange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consistently applied, as in effect from time to time in the United States.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 including but not limited to any sublimit contained herein.</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Collateral” means all of Borrower’s right, title, and interest in and to the following:</w:t>
      </w:r>
    </w:p>
    <w:p>
      <w:pPr>
        <w:spacing w:after="0" w:line="117" w:lineRule="exact"/>
        <w:rPr>
          <w:sz w:val="20"/>
          <w:szCs w:val="20"/>
          <w:color w:val="auto"/>
        </w:rPr>
      </w:pPr>
    </w:p>
    <w:p>
      <w:pPr>
        <w:ind w:left="1160" w:hanging="249"/>
        <w:spacing w:after="0"/>
        <w:tabs>
          <w:tab w:leader="none" w:pos="11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Copyrights, Trademarks and Patents;</w:t>
      </w:r>
    </w:p>
    <w:p>
      <w:pPr>
        <w:spacing w:after="0" w:line="117" w:lineRule="exact"/>
        <w:rPr>
          <w:rFonts w:ascii="Arial" w:cs="Arial" w:eastAsia="Arial" w:hAnsi="Arial"/>
          <w:sz w:val="18"/>
          <w:szCs w:val="18"/>
          <w:b w:val="1"/>
          <w:bCs w:val="1"/>
          <w:color w:val="auto"/>
        </w:rPr>
      </w:pPr>
    </w:p>
    <w:p>
      <w:pPr>
        <w:ind w:left="240" w:right="100" w:firstLine="671"/>
        <w:spacing w:after="0" w:line="277" w:lineRule="auto"/>
        <w:tabs>
          <w:tab w:leader="none" w:pos="1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Any and all trade secrets, and any and all intellectual property rights in computer software and computer software products now or hereafter existing, created, acquired or held;</w:t>
      </w:r>
    </w:p>
    <w:p>
      <w:pPr>
        <w:spacing w:after="0" w:line="62" w:lineRule="exact"/>
        <w:rPr>
          <w:rFonts w:ascii="Arial" w:cs="Arial" w:eastAsia="Arial" w:hAnsi="Arial"/>
          <w:sz w:val="18"/>
          <w:szCs w:val="18"/>
          <w:b w:val="1"/>
          <w:bCs w:val="1"/>
          <w:color w:val="auto"/>
        </w:rPr>
      </w:pPr>
    </w:p>
    <w:p>
      <w:pPr>
        <w:ind w:left="1180" w:hanging="269"/>
        <w:spacing w:after="0"/>
        <w:tabs>
          <w:tab w:leader="none" w:pos="1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Any and all design rights which may be available to Borrower now or hereafter existing, created, acquired or held;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4" w:name="page125"/>
    <w:bookmarkEnd w:id="124"/>
    <w:p>
      <w:pPr>
        <w:ind w:left="240" w:firstLine="671"/>
        <w:spacing w:after="0" w:line="308" w:lineRule="auto"/>
        <w:tabs>
          <w:tab w:leader="none" w:pos="1159"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Any and all claims for damages by way of past, present and future infringement of any of the rights included above, with the right, but not the obligation, to sue for and collect such damages for said use or infringement of the intellectual property rights identified above;</w:t>
      </w:r>
    </w:p>
    <w:p>
      <w:pPr>
        <w:spacing w:after="0" w:line="38" w:lineRule="exact"/>
        <w:rPr>
          <w:rFonts w:ascii="Arial" w:cs="Arial" w:eastAsia="Arial" w:hAnsi="Arial"/>
          <w:sz w:val="17"/>
          <w:szCs w:val="17"/>
          <w:b w:val="1"/>
          <w:bCs w:val="1"/>
          <w:color w:val="auto"/>
        </w:rPr>
      </w:pPr>
    </w:p>
    <w:p>
      <w:pPr>
        <w:ind w:left="240" w:right="80" w:firstLine="671"/>
        <w:spacing w:after="0" w:line="277" w:lineRule="auto"/>
        <w:tabs>
          <w:tab w:leader="none" w:pos="115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All licenses or other rights to use any of the Copyrights, Patents or Trademarks, and all license fees and royalties arising from such use to the extent permitted by such license or rights;</w:t>
      </w:r>
    </w:p>
    <w:p>
      <w:pPr>
        <w:spacing w:after="0" w:line="62" w:lineRule="exact"/>
        <w:rPr>
          <w:rFonts w:ascii="Arial" w:cs="Arial" w:eastAsia="Arial" w:hAnsi="Arial"/>
          <w:sz w:val="18"/>
          <w:szCs w:val="18"/>
          <w:b w:val="1"/>
          <w:bCs w:val="1"/>
          <w:color w:val="auto"/>
        </w:rPr>
      </w:pPr>
    </w:p>
    <w:p>
      <w:pPr>
        <w:ind w:left="1140" w:hanging="229"/>
        <w:spacing w:after="0"/>
        <w:tabs>
          <w:tab w:leader="none" w:pos="114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All amendments, renewals and extensions of any of the Copyrights, Trademarks or Patents; and</w:t>
      </w:r>
    </w:p>
    <w:p>
      <w:pPr>
        <w:spacing w:after="0" w:line="117" w:lineRule="exact"/>
        <w:rPr>
          <w:rFonts w:ascii="Arial" w:cs="Arial" w:eastAsia="Arial" w:hAnsi="Arial"/>
          <w:sz w:val="18"/>
          <w:szCs w:val="18"/>
          <w:b w:val="1"/>
          <w:bCs w:val="1"/>
          <w:color w:val="auto"/>
        </w:rPr>
      </w:pPr>
    </w:p>
    <w:p>
      <w:pPr>
        <w:ind w:left="240" w:right="100" w:firstLine="671"/>
        <w:spacing w:after="0" w:line="277" w:lineRule="auto"/>
        <w:tabs>
          <w:tab w:leader="none" w:pos="118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All proceeds and products of the foregoing, including without limitation all payments under insurance or any indemnity or warranty payable in respect of any of the foregoing.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“Inventory” means all present and future inventory in which Borrower has any interest.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“Investment” means any beneficial ownership of (including stock, partnership or limited liability company interest or other securities) any Person, or any loan, advance or capital contribution to any Person.</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“Investment Agreement” means, collectively, Borrower’s stock purchase and other agreement(s) pursuant to which Borrower most recently issued its preferred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“IRC” means the Internal Revenue Code of 1986, as amended, and the regulations thereunder.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means a commercial or standby letter of credit or similar undertaking issued by Bank at Borrower’s request.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“Lien” means any mortgage, lien, deed of trust, charge, pledge, security interest or other encumbrance.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“Loan Documents” means, collectively, this Agreement, any note or notes executed by Borrower, and any other document, instrument or agreement entered into in connection with this Agreement, all as amended or extended from time to time.</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“Material Adverse Effect” means a material adverse effect on: (i) the operations, business or financial condition of Borrower and its Subsidiaries taken as a whole; (ii) the ability of Borrower to repay the Obligations or otherwise perform its obligations under the Loan Documents; or (iii) Borrower’s interest in, or the value, perfection or priority of Bank’s security interest in the Collateral.</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 Notwithstanding the foregoing, Borrower’s obligations under any warrants or other equity related rights issued to Bank shall not be deemed “Obligations” hereunder.</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5" w:name="page126"/>
    <w:bookmarkEnd w:id="125"/>
    <w:p>
      <w:pPr>
        <w:ind w:right="100"/>
        <w:spacing w:after="0" w:line="277" w:lineRule="auto"/>
        <w:rPr>
          <w:sz w:val="20"/>
          <w:szCs w:val="20"/>
          <w:color w:val="auto"/>
        </w:rPr>
      </w:pPr>
      <w:r>
        <w:rPr>
          <w:rFonts w:ascii="Arial" w:cs="Arial" w:eastAsia="Arial" w:hAnsi="Arial"/>
          <w:sz w:val="18"/>
          <w:szCs w:val="18"/>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“Permitted Indebtedness” means:</w:t>
      </w:r>
    </w:p>
    <w:p>
      <w:pPr>
        <w:spacing w:after="0" w:line="117" w:lineRule="exact"/>
        <w:rPr>
          <w:sz w:val="20"/>
          <w:szCs w:val="20"/>
          <w:color w:val="auto"/>
        </w:rPr>
      </w:pPr>
    </w:p>
    <w:p>
      <w:pPr>
        <w:ind w:left="940" w:hanging="254"/>
        <w:spacing w:after="0"/>
        <w:tabs>
          <w:tab w:leader="none" w:pos="94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Indebtedness of Borrower in favor of Bank arising under this Agreement or any other Loan Document;</w:t>
      </w:r>
    </w:p>
    <w:p>
      <w:pPr>
        <w:spacing w:after="0" w:line="117" w:lineRule="exact"/>
        <w:rPr>
          <w:rFonts w:ascii="Arial" w:cs="Arial" w:eastAsia="Arial" w:hAnsi="Arial"/>
          <w:sz w:val="18"/>
          <w:szCs w:val="18"/>
          <w:b w:val="1"/>
          <w:bCs w:val="1"/>
          <w:color w:val="auto"/>
        </w:rPr>
      </w:pPr>
    </w:p>
    <w:p>
      <w:pPr>
        <w:ind w:left="960" w:hanging="274"/>
        <w:spacing w:after="0"/>
        <w:tabs>
          <w:tab w:leader="none" w:pos="96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Indebtedness existing on the Closing Date and disclosed in the Schedule;</w:t>
      </w:r>
    </w:p>
    <w:p>
      <w:pPr>
        <w:spacing w:after="0" w:line="117" w:lineRule="exact"/>
        <w:rPr>
          <w:rFonts w:ascii="Arial" w:cs="Arial" w:eastAsia="Arial" w:hAnsi="Arial"/>
          <w:sz w:val="18"/>
          <w:szCs w:val="18"/>
          <w:b w:val="1"/>
          <w:bCs w:val="1"/>
          <w:color w:val="auto"/>
        </w:rPr>
      </w:pPr>
    </w:p>
    <w:p>
      <w:pPr>
        <w:jc w:val="both"/>
        <w:ind w:left="240" w:firstLine="446"/>
        <w:spacing w:after="0" w:line="264" w:lineRule="auto"/>
        <w:tabs>
          <w:tab w:leader="none" w:pos="934"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Indebtedness not to exceed $350,000 in the aggregate in any fiscal year of Borrower secured by a lien described in clause (c) of the defined term “Permitted Liens,” provided such Indebtedness does not exceed at the time it is incurred the lesser of the cost or fair market value of the property financed with such Indebtedness;</w:t>
      </w:r>
    </w:p>
    <w:p>
      <w:pPr>
        <w:spacing w:after="0" w:line="73" w:lineRule="exact"/>
        <w:rPr>
          <w:rFonts w:ascii="Arial" w:cs="Arial" w:eastAsia="Arial" w:hAnsi="Arial"/>
          <w:sz w:val="18"/>
          <w:szCs w:val="18"/>
          <w:b w:val="1"/>
          <w:bCs w:val="1"/>
          <w:color w:val="auto"/>
        </w:rPr>
      </w:pPr>
    </w:p>
    <w:p>
      <w:pPr>
        <w:ind w:left="960" w:hanging="274"/>
        <w:spacing w:after="0"/>
        <w:tabs>
          <w:tab w:leader="none" w:pos="96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b w:val="1"/>
          <w:bCs w:val="1"/>
          <w:color w:val="auto"/>
        </w:rPr>
      </w:pPr>
    </w:p>
    <w:p>
      <w:pPr>
        <w:ind w:left="940" w:hanging="254"/>
        <w:spacing w:after="0"/>
        <w:tabs>
          <w:tab w:leader="none" w:pos="94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Indebtedness to trade creditors incurred in the ordinary course of business</w:t>
      </w:r>
    </w:p>
    <w:p>
      <w:pPr>
        <w:spacing w:after="0" w:line="117" w:lineRule="exact"/>
        <w:rPr>
          <w:rFonts w:ascii="Arial" w:cs="Arial" w:eastAsia="Arial" w:hAnsi="Arial"/>
          <w:sz w:val="18"/>
          <w:szCs w:val="18"/>
          <w:b w:val="1"/>
          <w:bCs w:val="1"/>
          <w:color w:val="auto"/>
        </w:rPr>
      </w:pPr>
    </w:p>
    <w:p>
      <w:pPr>
        <w:ind w:left="920" w:hanging="234"/>
        <w:spacing w:after="0"/>
        <w:tabs>
          <w:tab w:leader="none" w:pos="920"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Indebtedness that also constitutes an Investment that is otherwise permitted under clause (e) of the definition of Permitted Investments; and</w:t>
      </w:r>
    </w:p>
    <w:p>
      <w:pPr>
        <w:spacing w:after="0" w:line="140" w:lineRule="exact"/>
        <w:rPr>
          <w:rFonts w:ascii="Arial" w:cs="Arial" w:eastAsia="Arial" w:hAnsi="Arial"/>
          <w:sz w:val="16"/>
          <w:szCs w:val="16"/>
          <w:b w:val="1"/>
          <w:bCs w:val="1"/>
          <w:color w:val="auto"/>
        </w:rPr>
      </w:pPr>
    </w:p>
    <w:p>
      <w:pPr>
        <w:ind w:left="240" w:right="140" w:firstLine="446"/>
        <w:spacing w:after="0" w:line="277" w:lineRule="auto"/>
        <w:tabs>
          <w:tab w:leader="none" w:pos="945"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Extensions, refinancings and renewals of any items of Permitted Indebtedness, provided that the principal amount is not increased or the terms modified to impose more burdensome terms upon Borrower or its Subsidiary, as the case may be.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 means:</w:t>
      </w:r>
    </w:p>
    <w:p>
      <w:pPr>
        <w:spacing w:after="0" w:line="117" w:lineRule="exact"/>
        <w:rPr>
          <w:sz w:val="20"/>
          <w:szCs w:val="20"/>
          <w:color w:val="auto"/>
        </w:rPr>
      </w:pPr>
    </w:p>
    <w:p>
      <w:pPr>
        <w:ind w:left="940" w:hanging="254"/>
        <w:spacing w:after="0"/>
        <w:tabs>
          <w:tab w:leader="none" w:pos="940"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Investments existing on the Closing Date disclosed in the Schedule;</w:t>
      </w:r>
    </w:p>
    <w:p>
      <w:pPr>
        <w:spacing w:after="0" w:line="117" w:lineRule="exact"/>
        <w:rPr>
          <w:rFonts w:ascii="Arial" w:cs="Arial" w:eastAsia="Arial" w:hAnsi="Arial"/>
          <w:sz w:val="18"/>
          <w:szCs w:val="18"/>
          <w:b w:val="1"/>
          <w:bCs w:val="1"/>
          <w:color w:val="auto"/>
        </w:rPr>
      </w:pPr>
    </w:p>
    <w:p>
      <w:pPr>
        <w:ind w:left="240" w:right="20" w:firstLine="446"/>
        <w:spacing w:after="0" w:line="255" w:lineRule="auto"/>
        <w:tabs>
          <w:tab w:leader="none" w:pos="955"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rating of at least A-2 or P-2 from either Standard &amp; Poor’s Corporation or Moody’s Investors Service, (iii) Bank’s certificates of deposit maturing no more than one year from the date of investment therein, and (iv) Bank’s money market accounts; (v) Investments in regular deposit or checking accounts held with Bank or subject to a control agreement in favor of Bank; and (vi) Investments consistent with any investment policy adopted by the Borrower’s board of directors;</w:t>
      </w:r>
    </w:p>
    <w:p>
      <w:pPr>
        <w:spacing w:after="0" w:line="85" w:lineRule="exact"/>
        <w:rPr>
          <w:rFonts w:ascii="Arial" w:cs="Arial" w:eastAsia="Arial" w:hAnsi="Arial"/>
          <w:sz w:val="18"/>
          <w:szCs w:val="18"/>
          <w:b w:val="1"/>
          <w:bCs w:val="1"/>
          <w:color w:val="auto"/>
        </w:rPr>
      </w:pPr>
    </w:p>
    <w:p>
      <w:pPr>
        <w:ind w:left="240" w:right="140" w:firstLine="446"/>
        <w:spacing w:after="0" w:line="259" w:lineRule="auto"/>
        <w:tabs>
          <w:tab w:leader="none" w:pos="934"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Repurchases of stock from former employees or directors of Borrower under the terms of applicable repurchase agreements (i) in an aggregate amount not to exceed $350,000 in any fiscal year, provided that no Event of Default has occurred, is continuing or would exist after giving effect to the repurchases, or (ii) in any amount where the consideration for the repurchase is the cancellation of indebtedness owed by such former employees to Borrower regardless of whether an Event of Default exists;</w:t>
      </w:r>
    </w:p>
    <w:p>
      <w:pPr>
        <w:spacing w:after="0" w:line="78" w:lineRule="exact"/>
        <w:rPr>
          <w:rFonts w:ascii="Arial" w:cs="Arial" w:eastAsia="Arial" w:hAnsi="Arial"/>
          <w:sz w:val="18"/>
          <w:szCs w:val="18"/>
          <w:b w:val="1"/>
          <w:bCs w:val="1"/>
          <w:color w:val="auto"/>
        </w:rPr>
      </w:pPr>
    </w:p>
    <w:p>
      <w:pPr>
        <w:ind w:left="960" w:hanging="274"/>
        <w:spacing w:after="0"/>
        <w:tabs>
          <w:tab w:leader="none" w:pos="960"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Investments accepted in connection with Permitted Transfers;</w:t>
      </w:r>
    </w:p>
    <w:p>
      <w:pPr>
        <w:spacing w:after="0" w:line="117" w:lineRule="exact"/>
        <w:rPr>
          <w:rFonts w:ascii="Arial" w:cs="Arial" w:eastAsia="Arial" w:hAnsi="Arial"/>
          <w:sz w:val="18"/>
          <w:szCs w:val="18"/>
          <w:b w:val="1"/>
          <w:bCs w:val="1"/>
          <w:color w:val="auto"/>
        </w:rPr>
      </w:pPr>
    </w:p>
    <w:p>
      <w:pPr>
        <w:ind w:left="940" w:hanging="254"/>
        <w:spacing w:after="0"/>
        <w:tabs>
          <w:tab w:leader="none" w:pos="940"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(x) Investments of Subsidiaries in or to other Subsidiaries or a Borrower, (y) Investments by one Borrower in or to another Borrower, and</w:t>
      </w:r>
    </w:p>
    <w:p>
      <w:pPr>
        <w:spacing w:after="0" w:line="34" w:lineRule="exact"/>
        <w:rPr>
          <w:rFonts w:ascii="Arial" w:cs="Arial" w:eastAsia="Arial" w:hAnsi="Arial"/>
          <w:sz w:val="17"/>
          <w:szCs w:val="17"/>
          <w:b w:val="1"/>
          <w:bCs w:val="1"/>
          <w:color w:val="auto"/>
        </w:rPr>
      </w:pPr>
    </w:p>
    <w:p>
      <w:pPr>
        <w:ind w:left="480" w:hanging="244"/>
        <w:spacing w:after="0"/>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Investments by Borrower in Subsidiaries (that are not Borrowers) not to exceed $350,000 in the aggregate in any fiscal year;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26" w:name="page127"/>
    <w:bookmarkEnd w:id="126"/>
    <w:p>
      <w:pPr>
        <w:ind w:left="240" w:right="80" w:firstLine="446"/>
        <w:spacing w:after="0" w:line="312" w:lineRule="auto"/>
        <w:tabs>
          <w:tab w:leader="none" w:pos="915"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Investments not to exceed $350,000 outstanding in the aggregate at any time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 agreements approved by Borrower’s Board of Directors;</w:t>
      </w:r>
    </w:p>
    <w:p>
      <w:pPr>
        <w:spacing w:after="0" w:line="38" w:lineRule="exact"/>
        <w:rPr>
          <w:rFonts w:ascii="Arial" w:cs="Arial" w:eastAsia="Arial" w:hAnsi="Arial"/>
          <w:sz w:val="16"/>
          <w:szCs w:val="16"/>
          <w:b w:val="1"/>
          <w:bCs w:val="1"/>
          <w:color w:val="auto"/>
        </w:rPr>
      </w:pPr>
    </w:p>
    <w:p>
      <w:pPr>
        <w:ind w:left="940" w:hanging="254"/>
        <w:spacing w:after="0"/>
        <w:tabs>
          <w:tab w:leader="none" w:pos="9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Investments in unfinanced capital expenditures in any fiscal year, not to exceed $350,000;</w:t>
      </w:r>
    </w:p>
    <w:p>
      <w:pPr>
        <w:spacing w:after="0" w:line="117" w:lineRule="exact"/>
        <w:rPr>
          <w:rFonts w:ascii="Arial" w:cs="Arial" w:eastAsia="Arial" w:hAnsi="Arial"/>
          <w:sz w:val="18"/>
          <w:szCs w:val="18"/>
          <w:b w:val="1"/>
          <w:bCs w:val="1"/>
          <w:color w:val="auto"/>
        </w:rPr>
      </w:pPr>
    </w:p>
    <w:p>
      <w:pPr>
        <w:ind w:left="240" w:right="740" w:firstLine="446"/>
        <w:spacing w:after="0" w:line="342" w:lineRule="auto"/>
        <w:tabs>
          <w:tab w:leader="none" w:pos="955"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5" w:lineRule="exact"/>
        <w:rPr>
          <w:rFonts w:ascii="Arial" w:cs="Arial" w:eastAsia="Arial" w:hAnsi="Arial"/>
          <w:sz w:val="16"/>
          <w:szCs w:val="16"/>
          <w:b w:val="1"/>
          <w:bCs w:val="1"/>
          <w:color w:val="auto"/>
        </w:rPr>
      </w:pPr>
    </w:p>
    <w:p>
      <w:pPr>
        <w:ind w:left="240" w:right="120" w:firstLine="446"/>
        <w:spacing w:after="0" w:line="308" w:lineRule="auto"/>
        <w:tabs>
          <w:tab w:leader="none" w:pos="905" w:val="left"/>
        </w:tabs>
        <w:numPr>
          <w:ilvl w:val="0"/>
          <w:numId w:val="141"/>
        </w:numPr>
        <w:rPr>
          <w:rFonts w:ascii="Arial" w:cs="Arial" w:eastAsia="Arial" w:hAnsi="Arial"/>
          <w:sz w:val="17"/>
          <w:szCs w:val="17"/>
          <w:b w:val="1"/>
          <w:bCs w:val="1"/>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subparagraph (h) shall not apply to Investments of Borrower in any Subsidiary;</w:t>
      </w:r>
    </w:p>
    <w:p>
      <w:pPr>
        <w:spacing w:after="0" w:line="38" w:lineRule="exact"/>
        <w:rPr>
          <w:rFonts w:ascii="Arial" w:cs="Arial" w:eastAsia="Arial" w:hAnsi="Arial"/>
          <w:sz w:val="17"/>
          <w:szCs w:val="17"/>
          <w:b w:val="1"/>
          <w:bCs w:val="1"/>
          <w:color w:val="auto"/>
        </w:rPr>
      </w:pPr>
    </w:p>
    <w:p>
      <w:pPr>
        <w:ind w:left="240" w:right="300" w:firstLine="446"/>
        <w:spacing w:after="0" w:line="264" w:lineRule="auto"/>
        <w:tabs>
          <w:tab w:leader="none" w:pos="915"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$350,000 in the aggregate in any fiscal year; and</w:t>
      </w:r>
    </w:p>
    <w:p>
      <w:pPr>
        <w:spacing w:after="0" w:line="73" w:lineRule="exact"/>
        <w:rPr>
          <w:rFonts w:ascii="Arial" w:cs="Arial" w:eastAsia="Arial" w:hAnsi="Arial"/>
          <w:sz w:val="18"/>
          <w:szCs w:val="18"/>
          <w:b w:val="1"/>
          <w:bCs w:val="1"/>
          <w:color w:val="auto"/>
        </w:rPr>
      </w:pPr>
    </w:p>
    <w:p>
      <w:pPr>
        <w:ind w:left="960" w:hanging="274"/>
        <w:spacing w:after="0"/>
        <w:tabs>
          <w:tab w:leader="none" w:pos="96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Investments permitted under Section 7.3.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 means the following:</w:t>
      </w:r>
    </w:p>
    <w:p>
      <w:pPr>
        <w:spacing w:after="0" w:line="117" w:lineRule="exact"/>
        <w:rPr>
          <w:sz w:val="20"/>
          <w:szCs w:val="20"/>
          <w:color w:val="auto"/>
        </w:rPr>
      </w:pPr>
    </w:p>
    <w:p>
      <w:pPr>
        <w:ind w:left="240" w:right="860" w:firstLine="446"/>
        <w:spacing w:after="0" w:line="277" w:lineRule="auto"/>
        <w:tabs>
          <w:tab w:leader="none" w:pos="945"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Any Liens existing on the Closing Date and disclosed in the Schedule (excluding Liens to be satisfied with the proceeds of the Credit Extensions) or arising under this Agreement, the other Loan Documents, or any other agreement in favor of Bank;</w:t>
      </w:r>
    </w:p>
    <w:p>
      <w:pPr>
        <w:spacing w:after="0" w:line="62" w:lineRule="exact"/>
        <w:rPr>
          <w:rFonts w:ascii="Arial" w:cs="Arial" w:eastAsia="Arial" w:hAnsi="Arial"/>
          <w:sz w:val="18"/>
          <w:szCs w:val="18"/>
          <w:b w:val="1"/>
          <w:bCs w:val="1"/>
          <w:color w:val="auto"/>
        </w:rPr>
      </w:pPr>
    </w:p>
    <w:p>
      <w:pPr>
        <w:ind w:left="240" w:right="140" w:firstLine="446"/>
        <w:spacing w:after="0" w:line="277" w:lineRule="auto"/>
        <w:tabs>
          <w:tab w:leader="none" w:pos="955"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and for which Borrower maintains adequate reserves;</w:t>
      </w:r>
    </w:p>
    <w:p>
      <w:pPr>
        <w:spacing w:after="0" w:line="62" w:lineRule="exact"/>
        <w:rPr>
          <w:rFonts w:ascii="Arial" w:cs="Arial" w:eastAsia="Arial" w:hAnsi="Arial"/>
          <w:sz w:val="18"/>
          <w:szCs w:val="18"/>
          <w:b w:val="1"/>
          <w:bCs w:val="1"/>
          <w:color w:val="auto"/>
        </w:rPr>
      </w:pPr>
    </w:p>
    <w:p>
      <w:pPr>
        <w:ind w:left="240" w:firstLine="446"/>
        <w:spacing w:after="0" w:line="259" w:lineRule="auto"/>
        <w:tabs>
          <w:tab w:leader="none" w:pos="934"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Liens not to exceed $350,000 in the aggregate (i) upon or in any Equipment (other than Equipment financed by a Credit Extension) acquired or held by Borrower or any of its Subsidiaries to secure the purchase price of such Equipment or indebtedness incurred solely for the purpose of financing the acquisition or lease of such Equipment, or (ii) existing on such Equipment at the time of its acquisition, in each case provided that the Lien is confined solely to the property so acquired and improvements thereon, and the proceeds of such Equipment;</w:t>
      </w:r>
    </w:p>
    <w:p>
      <w:pPr>
        <w:spacing w:after="0" w:line="78" w:lineRule="exact"/>
        <w:rPr>
          <w:rFonts w:ascii="Arial" w:cs="Arial" w:eastAsia="Arial" w:hAnsi="Arial"/>
          <w:sz w:val="18"/>
          <w:szCs w:val="18"/>
          <w:b w:val="1"/>
          <w:bCs w:val="1"/>
          <w:color w:val="auto"/>
        </w:rPr>
      </w:pPr>
    </w:p>
    <w:p>
      <w:pPr>
        <w:ind w:left="960" w:hanging="274"/>
        <w:spacing w:after="0"/>
        <w:tabs>
          <w:tab w:leader="none" w:pos="960" w:val="left"/>
        </w:tabs>
        <w:numPr>
          <w:ilvl w:val="1"/>
          <w:numId w:val="142"/>
        </w:numPr>
        <w:rPr>
          <w:rFonts w:ascii="Arial" w:cs="Arial" w:eastAsia="Arial" w:hAnsi="Arial"/>
          <w:sz w:val="16"/>
          <w:szCs w:val="16"/>
          <w:b w:val="1"/>
          <w:bCs w:val="1"/>
          <w:color w:val="auto"/>
        </w:rPr>
      </w:pPr>
      <w:r>
        <w:rPr>
          <w:rFonts w:ascii="Arial" w:cs="Arial" w:eastAsia="Arial" w:hAnsi="Arial"/>
          <w:sz w:val="16"/>
          <w:szCs w:val="16"/>
          <w:color w:val="auto"/>
        </w:rPr>
        <w:t>Liens incurred in connection with the extension, renewal or refinancing of the indebtedness secured by Liens of the type described in clauses</w:t>
      </w:r>
    </w:p>
    <w:p>
      <w:pPr>
        <w:spacing w:after="0" w:line="46" w:lineRule="exact"/>
        <w:rPr>
          <w:rFonts w:ascii="Arial" w:cs="Arial" w:eastAsia="Arial" w:hAnsi="Arial"/>
          <w:sz w:val="16"/>
          <w:szCs w:val="16"/>
          <w:b w:val="1"/>
          <w:bCs w:val="1"/>
          <w:color w:val="auto"/>
        </w:rPr>
      </w:pPr>
    </w:p>
    <w:p>
      <w:pPr>
        <w:ind w:left="240" w:right="160" w:hanging="4"/>
        <w:spacing w:after="0" w:line="261" w:lineRule="auto"/>
        <w:tabs>
          <w:tab w:leader="none" w:pos="4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through (c) above, provided that any extension, renewal or replacement Lien shall be limited to the property encumbered by the existing Lien and the principal amount of the indebtedness being extended, renewed or refinanced does not increase;</w:t>
      </w:r>
    </w:p>
    <w:p>
      <w:pPr>
        <w:spacing w:after="0" w:line="75" w:lineRule="exact"/>
        <w:rPr>
          <w:rFonts w:ascii="Arial" w:cs="Arial" w:eastAsia="Arial" w:hAnsi="Arial"/>
          <w:sz w:val="18"/>
          <w:szCs w:val="18"/>
          <w:color w:val="auto"/>
        </w:rPr>
      </w:pPr>
    </w:p>
    <w:p>
      <w:pPr>
        <w:ind w:left="940" w:hanging="254"/>
        <w:spacing w:after="0"/>
        <w:tabs>
          <w:tab w:leader="none" w:pos="940" w:val="left"/>
        </w:tabs>
        <w:numPr>
          <w:ilvl w:val="1"/>
          <w:numId w:val="143"/>
        </w:numPr>
        <w:rPr>
          <w:rFonts w:ascii="Arial" w:cs="Arial" w:eastAsia="Arial" w:hAnsi="Arial"/>
          <w:sz w:val="16"/>
          <w:szCs w:val="16"/>
          <w:b w:val="1"/>
          <w:bCs w:val="1"/>
          <w:color w:val="auto"/>
        </w:rPr>
      </w:pPr>
      <w:r>
        <w:rPr>
          <w:rFonts w:ascii="Arial" w:cs="Arial" w:eastAsia="Arial" w:hAnsi="Arial"/>
          <w:sz w:val="16"/>
          <w:szCs w:val="16"/>
          <w:color w:val="auto"/>
        </w:rPr>
        <w:t>Liens arising from judgments, decrees or attachments in circumstances not constituting an Event of Default under Sections 8.4 (attachment) or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8.7 (judgments);</w:t>
      </w:r>
    </w:p>
    <w:p>
      <w:pPr>
        <w:spacing w:after="0" w:line="103" w:lineRule="exact"/>
        <w:rPr>
          <w:sz w:val="20"/>
          <w:szCs w:val="20"/>
          <w:color w:val="auto"/>
        </w:rPr>
      </w:pPr>
    </w:p>
    <w:p>
      <w:pPr>
        <w:ind w:left="920" w:hanging="234"/>
        <w:spacing w:after="0"/>
        <w:tabs>
          <w:tab w:leader="none" w:pos="92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Liens securing Subordinated Debt;</w:t>
      </w:r>
    </w:p>
    <w:p>
      <w:pPr>
        <w:spacing w:after="0" w:line="117" w:lineRule="exact"/>
        <w:rPr>
          <w:rFonts w:ascii="Arial" w:cs="Arial" w:eastAsia="Arial" w:hAnsi="Arial"/>
          <w:sz w:val="18"/>
          <w:szCs w:val="18"/>
          <w:b w:val="1"/>
          <w:bCs w:val="1"/>
          <w:color w:val="auto"/>
        </w:rPr>
      </w:pPr>
    </w:p>
    <w:p>
      <w:pPr>
        <w:ind w:left="940" w:hanging="254"/>
        <w:spacing w:after="0"/>
        <w:tabs>
          <w:tab w:leader="none" w:pos="94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Liens of materialmen, mechanics, warehousemen, carriers, artisans or other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7" w:name="page128"/>
    <w:bookmarkEnd w:id="127"/>
    <w:p>
      <w:pPr>
        <w:ind w:left="240" w:right="220"/>
        <w:spacing w:after="0" w:line="277" w:lineRule="auto"/>
        <w:rPr>
          <w:sz w:val="20"/>
          <w:szCs w:val="20"/>
          <w:color w:val="auto"/>
        </w:rPr>
      </w:pPr>
      <w:r>
        <w:rPr>
          <w:rFonts w:ascii="Arial" w:cs="Arial" w:eastAsia="Arial" w:hAnsi="Arial"/>
          <w:sz w:val="18"/>
          <w:szCs w:val="18"/>
          <w:color w:val="auto"/>
        </w:rPr>
        <w:t>similar Liens arising in the ordinary course of Borrower’s business or by operation of law, which are not past due or which are being contested in good faith by appropriate proceedings and for which reserves have been established in accordance with GAAP;</w:t>
      </w:r>
    </w:p>
    <w:p>
      <w:pPr>
        <w:spacing w:after="0" w:line="62" w:lineRule="exact"/>
        <w:rPr>
          <w:sz w:val="20"/>
          <w:szCs w:val="20"/>
          <w:color w:val="auto"/>
        </w:rPr>
      </w:pPr>
    </w:p>
    <w:p>
      <w:pPr>
        <w:ind w:left="240" w:right="300" w:firstLine="446"/>
        <w:spacing w:after="0" w:line="277" w:lineRule="auto"/>
        <w:tabs>
          <w:tab w:leader="none" w:pos="955"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Liens arising from Leases or subleases and licenses and sublicenses granted to others which do not interfere in any material respect with the business of Borrower and its Subsidiaries taken as a whole;</w:t>
      </w:r>
    </w:p>
    <w:p>
      <w:pPr>
        <w:spacing w:after="0" w:line="62" w:lineRule="exact"/>
        <w:rPr>
          <w:rFonts w:ascii="Arial" w:cs="Arial" w:eastAsia="Arial" w:hAnsi="Arial"/>
          <w:sz w:val="18"/>
          <w:szCs w:val="18"/>
          <w:b w:val="1"/>
          <w:bCs w:val="1"/>
          <w:color w:val="auto"/>
        </w:rPr>
      </w:pPr>
    </w:p>
    <w:p>
      <w:pPr>
        <w:ind w:left="240" w:right="40" w:firstLine="446"/>
        <w:spacing w:after="0" w:line="277" w:lineRule="auto"/>
        <w:tabs>
          <w:tab w:leader="none" w:pos="905"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Liens in favor of customs and revenue authorities arising as a matter of law, in the ordinary course of Borrower’s business, to secure payment of customs duties in connection with the importation of goods;</w:t>
      </w:r>
    </w:p>
    <w:p>
      <w:pPr>
        <w:spacing w:after="0" w:line="62" w:lineRule="exact"/>
        <w:rPr>
          <w:rFonts w:ascii="Arial" w:cs="Arial" w:eastAsia="Arial" w:hAnsi="Arial"/>
          <w:sz w:val="18"/>
          <w:szCs w:val="18"/>
          <w:b w:val="1"/>
          <w:bCs w:val="1"/>
          <w:color w:val="auto"/>
        </w:rPr>
      </w:pPr>
    </w:p>
    <w:p>
      <w:pPr>
        <w:ind w:left="920" w:hanging="234"/>
        <w:spacing w:after="0"/>
        <w:tabs>
          <w:tab w:leader="none" w:pos="92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Liens on insurance proceeds securing the payment of financed insurance premiums;</w:t>
      </w:r>
    </w:p>
    <w:p>
      <w:pPr>
        <w:spacing w:after="0" w:line="117" w:lineRule="exact"/>
        <w:rPr>
          <w:rFonts w:ascii="Arial" w:cs="Arial" w:eastAsia="Arial" w:hAnsi="Arial"/>
          <w:sz w:val="18"/>
          <w:szCs w:val="18"/>
          <w:b w:val="1"/>
          <w:bCs w:val="1"/>
          <w:color w:val="auto"/>
        </w:rPr>
      </w:pPr>
    </w:p>
    <w:p>
      <w:pPr>
        <w:ind w:left="240" w:firstLine="446"/>
        <w:spacing w:after="0" w:line="302" w:lineRule="auto"/>
        <w:tabs>
          <w:tab w:leader="none" w:pos="955"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Deposits in the ordinary course of business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and</w:t>
      </w:r>
    </w:p>
    <w:p>
      <w:pPr>
        <w:spacing w:after="0" w:line="46" w:lineRule="exact"/>
        <w:rPr>
          <w:rFonts w:ascii="Arial" w:cs="Arial" w:eastAsia="Arial" w:hAnsi="Arial"/>
          <w:sz w:val="16"/>
          <w:szCs w:val="16"/>
          <w:b w:val="1"/>
          <w:bCs w:val="1"/>
          <w:color w:val="auto"/>
        </w:rPr>
      </w:pPr>
    </w:p>
    <w:p>
      <w:pPr>
        <w:ind w:left="240" w:right="220" w:firstLine="446"/>
        <w:spacing w:after="0" w:line="277" w:lineRule="auto"/>
        <w:tabs>
          <w:tab w:leader="none" w:pos="905"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Subject to Section 6.6 of this Agreement, banker’s liens, rights of setoff and similar liens on deposits made in the ordinary course of business, including all deposit accounts and securities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“Permitted Transfer” means the conveyance, sale, lease, transfer or disposition by Borrower or any Subsidiary of:</w:t>
      </w:r>
    </w:p>
    <w:p>
      <w:pPr>
        <w:spacing w:after="0" w:line="117" w:lineRule="exact"/>
        <w:rPr>
          <w:sz w:val="20"/>
          <w:szCs w:val="20"/>
          <w:color w:val="auto"/>
        </w:rPr>
      </w:pPr>
    </w:p>
    <w:p>
      <w:pPr>
        <w:ind w:left="940" w:hanging="254"/>
        <w:spacing w:after="0"/>
        <w:tabs>
          <w:tab w:leader="none" w:pos="94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Inventory in the ordinary course of business;</w:t>
      </w:r>
    </w:p>
    <w:p>
      <w:pPr>
        <w:spacing w:after="0" w:line="117" w:lineRule="exact"/>
        <w:rPr>
          <w:rFonts w:ascii="Arial" w:cs="Arial" w:eastAsia="Arial" w:hAnsi="Arial"/>
          <w:sz w:val="18"/>
          <w:szCs w:val="18"/>
          <w:b w:val="1"/>
          <w:bCs w:val="1"/>
          <w:color w:val="auto"/>
        </w:rPr>
      </w:pPr>
    </w:p>
    <w:p>
      <w:pPr>
        <w:ind w:left="960" w:hanging="274"/>
        <w:spacing w:after="0"/>
        <w:tabs>
          <w:tab w:leader="none" w:pos="96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licenses and similar arrangements for the use of the property of Borrower or its Subsidiaries in the ordinary course of business;</w:t>
      </w:r>
    </w:p>
    <w:p>
      <w:pPr>
        <w:spacing w:after="0" w:line="117" w:lineRule="exact"/>
        <w:rPr>
          <w:rFonts w:ascii="Arial" w:cs="Arial" w:eastAsia="Arial" w:hAnsi="Arial"/>
          <w:sz w:val="18"/>
          <w:szCs w:val="18"/>
          <w:b w:val="1"/>
          <w:bCs w:val="1"/>
          <w:color w:val="auto"/>
        </w:rPr>
      </w:pPr>
    </w:p>
    <w:p>
      <w:pPr>
        <w:ind w:left="940" w:hanging="254"/>
        <w:spacing w:after="0"/>
        <w:tabs>
          <w:tab w:leader="none" w:pos="94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worn-out, surplus or obsolete Equipment not financed with the proceeds of Credit Extensions;</w:t>
      </w:r>
    </w:p>
    <w:p>
      <w:pPr>
        <w:spacing w:after="0" w:line="117" w:lineRule="exact"/>
        <w:rPr>
          <w:rFonts w:ascii="Arial" w:cs="Arial" w:eastAsia="Arial" w:hAnsi="Arial"/>
          <w:sz w:val="18"/>
          <w:szCs w:val="18"/>
          <w:b w:val="1"/>
          <w:bCs w:val="1"/>
          <w:color w:val="auto"/>
        </w:rPr>
      </w:pPr>
    </w:p>
    <w:p>
      <w:pPr>
        <w:ind w:left="960" w:hanging="274"/>
        <w:spacing w:after="0"/>
        <w:tabs>
          <w:tab w:leader="none" w:pos="96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grants of security interests and other Liens that constitute Permitted Liens;</w:t>
      </w:r>
    </w:p>
    <w:p>
      <w:pPr>
        <w:spacing w:after="0" w:line="117" w:lineRule="exact"/>
        <w:rPr>
          <w:rFonts w:ascii="Arial" w:cs="Arial" w:eastAsia="Arial" w:hAnsi="Arial"/>
          <w:sz w:val="18"/>
          <w:szCs w:val="18"/>
          <w:b w:val="1"/>
          <w:bCs w:val="1"/>
          <w:color w:val="auto"/>
        </w:rPr>
      </w:pPr>
    </w:p>
    <w:p>
      <w:pPr>
        <w:ind w:left="940" w:hanging="254"/>
        <w:spacing w:after="0"/>
        <w:tabs>
          <w:tab w:leader="none" w:pos="94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Transfers in connection with transactions otherwise permitted by Article 7; and</w:t>
      </w:r>
    </w:p>
    <w:p>
      <w:pPr>
        <w:spacing w:after="0" w:line="117" w:lineRule="exact"/>
        <w:rPr>
          <w:rFonts w:ascii="Arial" w:cs="Arial" w:eastAsia="Arial" w:hAnsi="Arial"/>
          <w:sz w:val="18"/>
          <w:szCs w:val="18"/>
          <w:b w:val="1"/>
          <w:bCs w:val="1"/>
          <w:color w:val="auto"/>
        </w:rPr>
      </w:pPr>
    </w:p>
    <w:p>
      <w:pPr>
        <w:ind w:left="920" w:hanging="234"/>
        <w:spacing w:after="0"/>
        <w:tabs>
          <w:tab w:leader="none" w:pos="92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other assets of Borrower or its Subsidiaries that do not in the aggregate exceed $350,000 during any fiscal year.</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“Prime Rate” means the variable rate of interest, per annum, most recently announced by Bank, as its “prime rate,” whether or not such announced rate is the lowest rate available from Bank.</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8" w:name="page129"/>
    <w:bookmarkEnd w:id="128"/>
    <w:p>
      <w:pPr>
        <w:ind w:right="40"/>
        <w:spacing w:after="0" w:line="264" w:lineRule="auto"/>
        <w:rPr>
          <w:sz w:val="20"/>
          <w:szCs w:val="20"/>
          <w:color w:val="auto"/>
        </w:rPr>
      </w:pPr>
      <w:r>
        <w:rPr>
          <w:rFonts w:ascii="Arial" w:cs="Arial" w:eastAsia="Arial" w:hAnsi="Arial"/>
          <w:sz w:val="18"/>
          <w:szCs w:val="18"/>
          <w:color w:val="auto"/>
        </w:rPr>
        <w:t>“Responsible Officer” means each of the Chief Executive Officer, the Chief Operating Officer, the Chief Financial Officer, Vice President of Finance and the Controller of Borrower, as well as any other officer or employee identified in as an Authorized Officer in the corporate resolution delivered by Borrower to Bank in connection with this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“Schedule” means the schedule of exceptions attached hereto and approved by Bank, if any.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“Shares” means (i) sixty-five percent (65%) of the issued and outstanding capital stock, membership units or other securities owned or held of record by Borrower in any Subsidiary of Borrower which is not an entity organized under the laws of the United States or territory thereof, and (ii) one hundred percent (100%) of the issued and outstanding capital stock, membership units or other securities owned or held of record by Borrower in any Subsidiary of Borrower which is an entity organized under the laws of the United States or any territory thereof</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“SOS Reports” means the official reports from the Secretaries of State of each Collateral State, the state where Borrower’s chief executive office is located, the state of Borrower’s formation and other applicable federal, state or local government offices identifying all current security interests filed in the Collateral and Liens of record as of the date of such report.</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“Subordinated Debt” means any debt incurred by Borrower that is subordinated in writing to the debt owing by Borrower to Bank on terms reasonably acceptable to Bank (and identified as being such by Borrower and Bank).</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“Subsidiary” means any corporation, partnership or limited liability company or joint venture in which (i) any general partnership interest or (ii) more than 50% of the stock, limited liability company interest or joint venture of which by the terms thereof ordinary voting power to elect the Board of Directors, managers or trustees of the entity, at the time as of which any determination is being made, is owned by Borrower, either directly or through an Affiliate.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“Term Loan Maturity Date” means November 12, 2011.</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NETSTREAMS, INC.</w:t>
      </w:r>
    </w:p>
    <w:p>
      <w:pPr>
        <w:spacing w:after="0" w:line="211" w:lineRule="exact"/>
        <w:rPr>
          <w:sz w:val="20"/>
          <w:szCs w:val="20"/>
          <w:color w:val="auto"/>
        </w:rPr>
      </w:pPr>
    </w:p>
    <w:p>
      <w:pPr>
        <w:sectPr>
          <w:pgSz w:w="11900" w:h="16838" w:orient="portrait"/>
          <w:cols w:equalWidth="0" w:num="2">
            <w:col w:w="1580" w:space="720"/>
            <w:col w:w="9100"/>
          </w:cols>
          <w:pgMar w:left="240" w:top="1148" w:right="25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SQUARE 1 BANK</w:t>
      </w:r>
    </w:p>
    <w:p>
      <w:pPr>
        <w:spacing w:after="0" w:line="200" w:lineRule="exact"/>
        <w:rPr>
          <w:sz w:val="20"/>
          <w:szCs w:val="20"/>
          <w:color w:val="auto"/>
        </w:rPr>
      </w:pPr>
    </w:p>
    <w:p>
      <w:pPr>
        <w:sectPr>
          <w:pgSz w:w="11900" w:h="16838" w:orient="portrait"/>
          <w:cols w:equalWidth="0" w:num="2">
            <w:col w:w="1580" w:space="720"/>
            <w:col w:w="9100"/>
          </w:cols>
          <w:pgMar w:left="240" w:top="1148" w:right="259" w:bottom="1440" w:gutter="0" w:footer="0" w:header="0"/>
          <w:type w:val="continuous"/>
        </w:sectPr>
      </w:pP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COLLATERAL DESCRIPTION ATTACHMENT TO LOAN AND SECURITY AGREEMENT</w:t>
      </w:r>
    </w:p>
    <w:p>
      <w:pPr>
        <w:spacing w:after="0" w:line="121" w:lineRule="exact"/>
        <w:rPr>
          <w:sz w:val="20"/>
          <w:szCs w:val="20"/>
          <w:color w:val="auto"/>
        </w:rPr>
      </w:pPr>
    </w:p>
    <w:p>
      <w:pPr>
        <w:ind w:firstLine="8"/>
        <w:spacing w:after="0" w:line="272" w:lineRule="auto"/>
        <w:tabs>
          <w:tab w:leader="none" w:pos="23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All personal property of Borrower (herein referred to as “Borrower” or “Debtor”) whether presently existing or hereafter created or acquired, and wherever located, including, but not limited to:(a) all accounts (including health-care-insurance receivables), chattel paper (including tangible and electronic chattel paper), deposit accounts, documents (including negotiable documents), equipment (including all accessions and additions thereto), financial assets, general intangibles (including patents, trademarks, copyrights, goodwill,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69" w:lineRule="exact"/>
        <w:rPr>
          <w:rFonts w:ascii="Arial" w:cs="Arial" w:eastAsia="Arial" w:hAnsi="Arial"/>
          <w:sz w:val="17"/>
          <w:szCs w:val="17"/>
          <w:color w:val="auto"/>
        </w:rPr>
      </w:pPr>
    </w:p>
    <w:p>
      <w:pPr>
        <w:ind w:right="340" w:firstLine="8"/>
        <w:spacing w:after="0" w:line="312"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North Carolina Uniform Commercial Code, as amended or supplemented from time to time, including revised Division 9 of the Uniform Commercial Code-Secured Transactions.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NETSTREAMS, LLC</w:t>
      </w:r>
    </w:p>
    <w:p>
      <w:pPr>
        <w:spacing w:after="0" w:line="200" w:lineRule="exact"/>
        <w:rPr>
          <w:sz w:val="20"/>
          <w:szCs w:val="20"/>
          <w:color w:val="auto"/>
        </w:rPr>
      </w:pPr>
    </w:p>
    <w:p>
      <w:pPr>
        <w:sectPr>
          <w:pgSz w:w="11900" w:h="16838" w:orient="portrait"/>
          <w:cols w:equalWidth="0" w:num="2">
            <w:col w:w="1580" w:space="720"/>
            <w:col w:w="9020"/>
          </w:cols>
          <w:pgMar w:left="240" w:top="1147" w:right="3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SQUARE 1 BANK</w:t>
      </w:r>
    </w:p>
    <w:p>
      <w:pPr>
        <w:spacing w:after="0" w:line="200" w:lineRule="exact"/>
        <w:rPr>
          <w:sz w:val="20"/>
          <w:szCs w:val="20"/>
          <w:color w:val="auto"/>
        </w:rPr>
      </w:pPr>
    </w:p>
    <w:p>
      <w:pPr>
        <w:sectPr>
          <w:pgSz w:w="11900" w:h="16838" w:orient="portrait"/>
          <w:cols w:equalWidth="0" w:num="2">
            <w:col w:w="1580" w:space="720"/>
            <w:col w:w="9020"/>
          </w:cols>
          <w:pgMar w:left="240" w:top="1147" w:right="339" w:bottom="1440" w:gutter="0" w:footer="0" w:header="0"/>
          <w:type w:val="continuous"/>
        </w:sectPr>
      </w:pP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COLLATERAL DESCRIPTION ATTACHMENT TO LOAN AND SECURITY AGREEMENT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62" w:lineRule="exact"/>
        <w:rPr>
          <w:sz w:val="20"/>
          <w:szCs w:val="20"/>
          <w:color w:val="auto"/>
        </w:rPr>
      </w:pPr>
    </w:p>
    <w:p>
      <w:pPr>
        <w:ind w:left="240" w:right="140" w:firstLine="446"/>
        <w:spacing w:after="0" w:line="273" w:lineRule="auto"/>
        <w:tabs>
          <w:tab w:leader="none" w:pos="945"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financial assets, general intangibles (including patents, trademarks, copyrights, goodwill,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70" w:lineRule="exact"/>
        <w:rPr>
          <w:rFonts w:ascii="Arial" w:cs="Arial" w:eastAsia="Arial" w:hAnsi="Arial"/>
          <w:sz w:val="17"/>
          <w:szCs w:val="17"/>
          <w:b w:val="1"/>
          <w:bCs w:val="1"/>
          <w:color w:val="auto"/>
        </w:rPr>
      </w:pPr>
    </w:p>
    <w:p>
      <w:pPr>
        <w:ind w:left="240" w:firstLine="446"/>
        <w:spacing w:after="0" w:line="312" w:lineRule="auto"/>
        <w:tabs>
          <w:tab w:leader="none" w:pos="955"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North Carolina Uniform Commercial Code, as amended or supplemented from time to time, including revised Division 9 of the Uniform Commercial Code-Secured Transactions.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7" w:right="339" w:bottom="1440" w:gutter="0" w:footer="0" w:header="0"/>
          <w:type w:val="continuous"/>
        </w:sectPr>
      </w:pPr>
    </w:p>
    <w:bookmarkStart w:id="131" w:name="page132"/>
    <w:bookmarkEnd w:id="131"/>
    <w:p>
      <w:pPr>
        <w:jc w:val="center"/>
        <w:ind w:right="-20"/>
        <w:spacing w:after="0"/>
        <w:rPr>
          <w:sz w:val="20"/>
          <w:szCs w:val="20"/>
          <w:color w:val="auto"/>
        </w:rPr>
      </w:pPr>
      <w:r>
        <w:rPr>
          <w:rFonts w:ascii="Arial" w:cs="Arial" w:eastAsia="Arial" w:hAnsi="Arial"/>
          <w:sz w:val="18"/>
          <w:szCs w:val="18"/>
          <w:b w:val="1"/>
          <w:bCs w:val="1"/>
          <w:color w:val="auto"/>
        </w:rPr>
        <w:t>EXHIBIT 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LOAN ADVANCE/PAYDOWN REQUEST FORM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[Please refer to New Borrower Kit]</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BORROWING BASE CERTIFICATE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[Please refer to New Borrower Kit]</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COMPLIANCE CERTIFICATE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[Please refer to New Borrower Kit]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32" w:name="page133"/>
    <w:bookmarkEnd w:id="132"/>
    <w:p>
      <w:pPr>
        <w:jc w:val="center"/>
        <w:ind w:right="-199"/>
        <w:spacing w:after="0"/>
        <w:rPr>
          <w:sz w:val="20"/>
          <w:szCs w:val="20"/>
          <w:color w:val="auto"/>
        </w:rPr>
      </w:pPr>
      <w:r>
        <w:rPr>
          <w:rFonts w:ascii="Arial" w:cs="Arial" w:eastAsia="Arial" w:hAnsi="Arial"/>
          <w:sz w:val="18"/>
          <w:szCs w:val="18"/>
          <w:b w:val="1"/>
          <w:bCs w:val="1"/>
          <w:color w:val="auto"/>
        </w:rPr>
        <w:t>SCHEDULE OF EXCEPTIONS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Indebtedness </w:t>
      </w:r>
      <w:r>
        <w:rPr>
          <w:rFonts w:ascii="Arial" w:cs="Arial" w:eastAsia="Arial" w:hAnsi="Arial"/>
          <w:sz w:val="18"/>
          <w:szCs w:val="18"/>
          <w:color w:val="auto"/>
        </w:rPr>
        <w:t>(Exhibit A) —</w:t>
      </w:r>
    </w:p>
    <w:p>
      <w:pPr>
        <w:spacing w:after="0" w:line="121"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Parent has entered into a Note Purchase Agreement with Austin Ventures dated September 5, 2008 wherein it has issued to Austin Ventures two convertible notes dated September 5, 2008 and October 3, 2008 for $500,000 each. A subordination agreement for such debt shall be entered into on the Closing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Investments </w:t>
      </w:r>
      <w:r>
        <w:rPr>
          <w:rFonts w:ascii="Arial" w:cs="Arial" w:eastAsia="Arial" w:hAnsi="Arial"/>
          <w:sz w:val="18"/>
          <w:szCs w:val="18"/>
          <w:color w:val="auto"/>
        </w:rPr>
        <w:t>(Exhibit A) —</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August 25, 2006 and September 22, 2006, the Borrower purchased from Herman Cardenas (the former President and Chief Executive Officer and current member of the Board of Directors) 416,667 shares of the Borrower’s Series B Redeemable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(Exhibit A) —</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Comerica Bank currently has a lien on all of the Borrower’s assets including intellectual property assets pursuant to the credit facility in place between Borrower and Comerica Bank, and such lien shall be terminated immediately after the Closing Date upon the payment in full of amounts owed to Comerica Bank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(Section 5.3) —</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Borrower maintains bank accounts at Comerica Bank which will be closed pursuant to the terms of Section 6.6.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Prior Names </w:t>
      </w:r>
      <w:r>
        <w:rPr>
          <w:rFonts w:ascii="Arial" w:cs="Arial" w:eastAsia="Arial" w:hAnsi="Arial"/>
          <w:sz w:val="18"/>
          <w:szCs w:val="18"/>
          <w:color w:val="auto"/>
        </w:rPr>
        <w:t>(Section 5.5) —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(Section 5.6) —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Inbound Licenses </w:t>
      </w:r>
      <w:r>
        <w:rPr>
          <w:rFonts w:ascii="Arial" w:cs="Arial" w:eastAsia="Arial" w:hAnsi="Arial"/>
          <w:sz w:val="18"/>
          <w:szCs w:val="18"/>
          <w:color w:val="auto"/>
        </w:rPr>
        <w:t>(Section 5.12) — None.</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958" w:right="4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960755"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60755" cy="1803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Acquires NetStreams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11/3/2009 11:30:00 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NetStreams Brings ClearOne Audio and Video IP-based Network Solutions -</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SALT LAKE CITY, Nov. 3 /PRNewswire-FirstCall/ — ClearOne (Nasdaq: CLRO), the leading global provider of audio conferencing solutions today announced it has acquired NetStreams, Inc.</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NetStreams is the global leader in digital media networks based on Internet Protocol (IP) technology that is used in a wide variety of applications, including digital signage, corporate video distribution, network operations centers and government facilities, and large venues in such industries as hospitality, entertainment and casinos. NetStreams’ digital streaming media and control systems support virtually any number of digital or analog sources, including high definition audio and video content to nearly an unlimited number of networked endpoints.</w:t>
      </w:r>
    </w:p>
    <w:p>
      <w:pPr>
        <w:spacing w:after="0" w:line="7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Under the terms of the transaction, ClearOne paid approximately $2 million in cash and assumed approximately $2 million of long-term debt. In addition, ClearOne will also make earn out payments over the next two years based on achievement of certain performance criteria.</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Headquartered in Austin, Texas, privately-held NetStreams has approximately 20 employees and will continue to operate from its current location.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NetStreams’ 2009 revenues are anticipated to be in excess of $5 million. ClearOne reported revenues of $35.7 million for its fiscal year ended June 30, 2009.</w:t>
      </w:r>
    </w:p>
    <w:p>
      <w:pPr>
        <w:spacing w:after="0" w:line="12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transaction represents a perfect fit for both companies, bringing complementary products and sales channels to both organizations,” said Zee Hakimoglu, president and chief executive officer of ClearOne. “The combination will change the game by enabling us to provide a comprehensive high definition audio and video solution to deliver the true promise of audiovisual and IT convergence. We welcome NetStreams, their partners and customers to the ClearOne family.”</w:t>
      </w:r>
    </w:p>
    <w:p>
      <w:pPr>
        <w:spacing w:after="0" w:line="7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Kevin Reinis, formerly the president and chief executive officer of NetStreams, said, “Both companies have earned stellar reputations for providing the most compelling and complete product solutions in the broad market we both serve. As the global market increasingly embraces the benefits of distributing audio, video and data content efficiently through Internet Protocol technology, the combined company will be an even more powerful industry force.”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NetStreams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Founded in 2002, NetStreams delivers the Ultimate IP A/V Experience by distributing high definition audio and video over TCP/IP networks. NetStreams’ products, designed for commercial and residential use, offer unprecedented levels of performance, functionality, simplicity, reliability, and expandability. By combining audio/video content, meta-data and control signals into one stream and incorporating industry standards, NetStreams solutions are a smart investment. NetStreams is enabling the future of IP A/V — today. For additional information on NetStreams and its innovative products, please visit www.netstreams.com.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ClearOne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spacing w:after="0" w:line="264" w:lineRule="auto"/>
        <w:rPr>
          <w:sz w:val="20"/>
          <w:szCs w:val="20"/>
          <w:color w:val="auto"/>
        </w:rPr>
      </w:pPr>
      <w:r>
        <w:rPr>
          <w:rFonts w:ascii="Arial" w:cs="Arial" w:eastAsia="Arial" w:hAnsi="Arial"/>
          <w:sz w:val="18"/>
          <w:szCs w:val="18"/>
          <w:i w:val="1"/>
          <w:iCs w:val="1"/>
          <w:color w:val="auto"/>
        </w:rPr>
        <w:t>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http://www.b2i.us/irpass.asp?BzID=509&amp;to=ea&amp;s=0</w:t>
      </w:r>
    </w:p>
    <w:p>
      <w:pPr>
        <w:spacing w:after="0" w:line="117"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Contact:</w:t>
        <w:tab/>
        <w:t>ClearOne Communications,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(801) 303-3555</w:t>
      </w:r>
    </w:p>
    <w:sectPr>
      <w:pgSz w:w="11900" w:h="16838" w:orient="portrait"/>
      <w:cols w:equalWidth="0" w:num="1">
        <w:col w:w="11140"/>
      </w:cols>
      <w:pgMar w:left="240" w:top="93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o"/>
      <w:numFmt w:val="bullet"/>
      <w:start w:val="1"/>
    </w:lvl>
  </w:abstractNum>
  <w:abstractNum w:abstractNumId="1">
    <w:nsid w:val="7BD3EE7B"/>
    <w:multiLevelType w:val="hybridMultilevel"/>
    <w:lvl w:ilvl="0">
      <w:lvlJc w:val="left"/>
      <w:lvlText w:val="(%1)"/>
      <w:numFmt w:val="lowerLetter"/>
      <w:start w:val="1"/>
    </w:lvl>
  </w:abstractNum>
  <w:abstractNum w:abstractNumId="2">
    <w:nsid w:val="51D9C564"/>
    <w:multiLevelType w:val="hybridMultilevel"/>
    <w:lvl w:ilvl="0">
      <w:lvlJc w:val="left"/>
      <w:lvlText w:val="(%1)"/>
      <w:numFmt w:val="lowerLetter"/>
      <w:start w:val="2"/>
    </w:lvl>
  </w:abstractNum>
  <w:abstractNum w:abstractNumId="3">
    <w:nsid w:val="613EFDC5"/>
    <w:multiLevelType w:val="hybridMultilevel"/>
    <w:lvl w:ilvl="0">
      <w:lvlJc w:val="left"/>
      <w:lvlText w:val="(%1)"/>
      <w:numFmt w:val="lowerLetter"/>
      <w:start w:val="3"/>
    </w:lvl>
  </w:abstractNum>
  <w:abstractNum w:abstractNumId="4">
    <w:nsid w:val="BF72B14"/>
    <w:multiLevelType w:val="hybridMultilevel"/>
    <w:lvl w:ilvl="0">
      <w:lvlJc w:val="left"/>
      <w:lvlText w:val="(%1)"/>
      <w:numFmt w:val="lowerLetter"/>
      <w:start w:val="4"/>
    </w:lvl>
  </w:abstractNum>
  <w:abstractNum w:abstractNumId="5">
    <w:nsid w:val="11447B73"/>
    <w:multiLevelType w:val="hybridMultilevel"/>
    <w:lvl w:ilvl="0">
      <w:lvlJc w:val="left"/>
      <w:lvlText w:val="(%1)"/>
      <w:numFmt w:val="lowerRoman"/>
      <w:start w:val="2"/>
    </w:lvl>
  </w:abstractNum>
  <w:abstractNum w:abstractNumId="6">
    <w:nsid w:val="42963E5A"/>
    <w:multiLevelType w:val="hybridMultilevel"/>
    <w:lvl w:ilvl="0">
      <w:lvlJc w:val="left"/>
      <w:lvlText w:val="(%1)"/>
      <w:numFmt w:val="lowerLetter"/>
      <w:start w:val="2"/>
    </w:lvl>
  </w:abstractNum>
  <w:abstractNum w:abstractNumId="7">
    <w:nsid w:val="A0382C5"/>
    <w:multiLevelType w:val="hybridMultilevel"/>
    <w:lvl w:ilvl="0">
      <w:lvlJc w:val="left"/>
      <w:lvlText w:val="(%1)"/>
      <w:numFmt w:val="lowerRoman"/>
      <w:start w:val="4"/>
    </w:lvl>
  </w:abstractNum>
  <w:abstractNum w:abstractNumId="8">
    <w:nsid w:val="8F2B15E"/>
    <w:multiLevelType w:val="hybridMultilevel"/>
    <w:lvl w:ilvl="0">
      <w:lvlJc w:val="left"/>
      <w:lvlText w:val="(%1)"/>
      <w:numFmt w:val="lowerRoman"/>
      <w:start w:val="2"/>
    </w:lvl>
  </w:abstractNum>
  <w:abstractNum w:abstractNumId="9">
    <w:nsid w:val="1A32234B"/>
    <w:multiLevelType w:val="hybridMultilevel"/>
    <w:lvl w:ilvl="0">
      <w:lvlJc w:val="left"/>
      <w:lvlText w:val="(%1)"/>
      <w:numFmt w:val="lowerLetter"/>
      <w:start w:val="1"/>
    </w:lvl>
    <w:lvl w:ilvl="1">
      <w:lvlJc w:val="left"/>
      <w:lvlText w:val="(%2)"/>
      <w:numFmt w:val="lowerLetter"/>
      <w:start w:val="9"/>
    </w:lvl>
  </w:abstractNum>
  <w:abstractNum w:abstractNumId="10">
    <w:nsid w:val="3B0FD379"/>
    <w:multiLevelType w:val="hybridMultilevel"/>
    <w:lvl w:ilvl="0">
      <w:lvlJc w:val="left"/>
      <w:lvlText w:val="%1"/>
      <w:numFmt w:val="lowerLetter"/>
      <w:start w:val="1"/>
    </w:lvl>
    <w:lvl w:ilvl="1">
      <w:lvlJc w:val="left"/>
      <w:lvlText w:val="(%2)"/>
      <w:numFmt w:val="lowerLetter"/>
      <w:start w:val="35"/>
    </w:lvl>
  </w:abstractNum>
  <w:abstractNum w:abstractNumId="11">
    <w:nsid w:val="68EB2F63"/>
    <w:multiLevelType w:val="hybridMultilevel"/>
    <w:lvl w:ilvl="0">
      <w:lvlJc w:val="left"/>
      <w:lvlText w:val="(%1)"/>
      <w:numFmt w:val="lowerLetter"/>
      <w:start w:val="5"/>
    </w:lvl>
    <w:lvl w:ilvl="1">
      <w:lvlJc w:val="left"/>
      <w:lvlText w:val="(%2)"/>
      <w:numFmt w:val="lowerLetter"/>
      <w:start w:val="9"/>
    </w:lvl>
  </w:abstractNum>
  <w:abstractNum w:abstractNumId="12">
    <w:nsid w:val="4962813B"/>
    <w:multiLevelType w:val="hybridMultilevel"/>
    <w:lvl w:ilvl="0">
      <w:lvlJc w:val="left"/>
      <w:lvlText w:val="(%1)"/>
      <w:numFmt w:val="lowerRoman"/>
      <w:start w:val="2"/>
    </w:lvl>
    <w:lvl w:ilvl="1">
      <w:lvlJc w:val="left"/>
      <w:lvlText w:val="(%2)"/>
      <w:numFmt w:val="upperLetter"/>
      <w:start w:val="1"/>
    </w:lvl>
  </w:abstractNum>
  <w:abstractNum w:abstractNumId="13">
    <w:nsid w:val="60B6DF70"/>
    <w:multiLevelType w:val="hybridMultilevel"/>
    <w:lvl w:ilvl="0">
      <w:lvlJc w:val="left"/>
      <w:lvlText w:val="(%1)"/>
      <w:numFmt w:val="decimal"/>
      <w:start w:val="1"/>
    </w:lvl>
  </w:abstractNum>
  <w:abstractNum w:abstractNumId="14">
    <w:nsid w:val="6A5EE64"/>
    <w:multiLevelType w:val="hybridMultilevel"/>
    <w:lvl w:ilvl="0">
      <w:lvlJc w:val="left"/>
      <w:lvlText w:val="(%1)"/>
      <w:numFmt w:val="decimal"/>
      <w:start w:val="3"/>
    </w:lvl>
  </w:abstractNum>
  <w:abstractNum w:abstractNumId="15">
    <w:nsid w:val="14330624"/>
    <w:multiLevelType w:val="hybridMultilevel"/>
    <w:lvl w:ilvl="0">
      <w:lvlJc w:val="left"/>
      <w:lvlText w:val="(%1)"/>
      <w:numFmt w:val="lowerRoman"/>
      <w:start w:val="5"/>
    </w:lvl>
    <w:lvl w:ilvl="1">
      <w:lvlJc w:val="left"/>
      <w:lvlText w:val="(%2)"/>
      <w:numFmt w:val="upperLetter"/>
      <w:start w:val="1"/>
    </w:lvl>
  </w:abstractNum>
  <w:abstractNum w:abstractNumId="16">
    <w:nsid w:val="7FFFCA11"/>
    <w:multiLevelType w:val="hybridMultilevel"/>
    <w:lvl w:ilvl="0">
      <w:lvlJc w:val="left"/>
      <w:lvlText w:val="%1"/>
      <w:numFmt w:val="lowerRoman"/>
      <w:start w:val="1"/>
    </w:lvl>
    <w:lvl w:ilvl="1">
      <w:lvlJc w:val="left"/>
      <w:lvlText w:val="(%2)"/>
      <w:numFmt w:val="upperLetter"/>
      <w:start w:val="4"/>
    </w:lvl>
  </w:abstractNum>
  <w:abstractNum w:abstractNumId="17">
    <w:nsid w:val="1A27709E"/>
    <w:multiLevelType w:val="hybridMultilevel"/>
    <w:lvl w:ilvl="0">
      <w:lvlJc w:val="left"/>
      <w:lvlText w:val="(%1)"/>
      <w:numFmt w:val="lowerRoman"/>
      <w:start w:val="6"/>
    </w:lvl>
    <w:lvl w:ilvl="1">
      <w:lvlJc w:val="left"/>
      <w:lvlText w:val="%2"/>
      <w:numFmt w:val="upperLetter"/>
      <w:start w:val="1"/>
    </w:lvl>
  </w:abstractNum>
  <w:abstractNum w:abstractNumId="18">
    <w:nsid w:val="71EA1109"/>
    <w:multiLevelType w:val="hybridMultilevel"/>
    <w:lvl w:ilvl="0">
      <w:lvlJc w:val="left"/>
      <w:lvlText w:val="(%1)"/>
      <w:numFmt w:val="lowerRoman"/>
      <w:start w:val="7"/>
    </w:lvl>
  </w:abstractNum>
  <w:abstractNum w:abstractNumId="19">
    <w:nsid w:val="100F59DC"/>
    <w:multiLevelType w:val="hybridMultilevel"/>
    <w:lvl w:ilvl="0">
      <w:lvlJc w:val="left"/>
      <w:lvlText w:val="(%1)"/>
      <w:numFmt w:val="lowerLetter"/>
      <w:start w:val="1"/>
    </w:lvl>
    <w:lvl w:ilvl="1">
      <w:lvlJc w:val="left"/>
      <w:lvlText w:val="(%2)"/>
      <w:numFmt w:val="lowerRoman"/>
      <w:start w:val="1"/>
    </w:lvl>
  </w:abstractNum>
  <w:abstractNum w:abstractNumId="20">
    <w:nsid w:val="7FB7E0AA"/>
    <w:multiLevelType w:val="hybridMultilevel"/>
    <w:lvl w:ilvl="0">
      <w:lvlJc w:val="left"/>
      <w:lvlText w:val="%1"/>
      <w:numFmt w:val="lowerRoman"/>
      <w:start w:val="1"/>
    </w:lvl>
    <w:lvl w:ilvl="1">
      <w:lvlJc w:val="left"/>
      <w:lvlText w:val="(%2)"/>
      <w:numFmt w:val="upperLetter"/>
      <w:start w:val="1"/>
    </w:lvl>
  </w:abstractNum>
  <w:abstractNum w:abstractNumId="21">
    <w:nsid w:val="6EB5BD4"/>
    <w:multiLevelType w:val="hybridMultilevel"/>
    <w:lvl w:ilvl="0">
      <w:lvlJc w:val="left"/>
      <w:lvlText w:val="(%1)"/>
      <w:numFmt w:val="lowerRoman"/>
      <w:start w:val="5"/>
    </w:lvl>
    <w:lvl w:ilvl="1">
      <w:lvlJc w:val="left"/>
      <w:lvlText w:val="%2"/>
      <w:numFmt w:val="upperLetter"/>
      <w:start w:val="1"/>
    </w:lvl>
  </w:abstractNum>
  <w:abstractNum w:abstractNumId="22">
    <w:nsid w:val="6F6DD9AC"/>
    <w:multiLevelType w:val="hybridMultilevel"/>
    <w:lvl w:ilvl="0">
      <w:lvlJc w:val="left"/>
      <w:lvlText w:val="(%1)"/>
      <w:numFmt w:val="lowerLetter"/>
      <w:start w:val="2"/>
    </w:lvl>
    <w:lvl w:ilvl="1">
      <w:lvlJc w:val="left"/>
      <w:lvlText w:val="(%2)"/>
      <w:numFmt w:val="lowerRoman"/>
      <w:start w:val="1"/>
    </w:lvl>
  </w:abstractNum>
  <w:abstractNum w:abstractNumId="23">
    <w:nsid w:val="94211F2"/>
    <w:multiLevelType w:val="hybridMultilevel"/>
    <w:lvl w:ilvl="0">
      <w:lvlJc w:val="left"/>
      <w:lvlText w:val="(%1)"/>
      <w:numFmt w:val="lowerLetter"/>
      <w:start w:val="3"/>
    </w:lvl>
    <w:lvl w:ilvl="1">
      <w:lvlJc w:val="left"/>
      <w:lvlText w:val="(%2)"/>
      <w:numFmt w:val="lowerRoman"/>
      <w:start w:val="1"/>
    </w:lvl>
  </w:abstractNum>
  <w:abstractNum w:abstractNumId="24">
    <w:nsid w:val="885E1B"/>
    <w:multiLevelType w:val="hybridMultilevel"/>
    <w:lvl w:ilvl="0">
      <w:lvlJc w:val="left"/>
      <w:lvlText w:val="(%1)"/>
      <w:numFmt w:val="lowerRoman"/>
      <w:start w:val="5"/>
    </w:lvl>
  </w:abstractNum>
  <w:abstractNum w:abstractNumId="25">
    <w:nsid w:val="76272110"/>
    <w:multiLevelType w:val="hybridMultilevel"/>
    <w:lvl w:ilvl="0">
      <w:lvlJc w:val="left"/>
      <w:lvlText w:val="(%1)"/>
      <w:numFmt w:val="lowerLetter"/>
      <w:start w:val="4"/>
    </w:lvl>
  </w:abstractNum>
  <w:abstractNum w:abstractNumId="26">
    <w:nsid w:val="4C04A8AF"/>
    <w:multiLevelType w:val="hybridMultilevel"/>
    <w:lvl w:ilvl="0">
      <w:lvlJc w:val="left"/>
      <w:lvlText w:val="(%1)"/>
      <w:numFmt w:val="lowerLetter"/>
      <w:start w:val="1"/>
    </w:lvl>
  </w:abstractNum>
  <w:abstractNum w:abstractNumId="27">
    <w:nsid w:val="1716703B"/>
    <w:multiLevelType w:val="hybridMultilevel"/>
    <w:lvl w:ilvl="0">
      <w:lvlJc w:val="left"/>
      <w:lvlText w:val="(%1)"/>
      <w:numFmt w:val="lowerLetter"/>
      <w:start w:val="2"/>
    </w:lvl>
  </w:abstractNum>
  <w:abstractNum w:abstractNumId="28">
    <w:nsid w:val="14E17E33"/>
    <w:multiLevelType w:val="hybridMultilevel"/>
    <w:lvl w:ilvl="0">
      <w:lvlJc w:val="left"/>
      <w:lvlText w:val="(%1)"/>
      <w:numFmt w:val="lowerLetter"/>
      <w:start w:val="1"/>
    </w:lvl>
  </w:abstractNum>
  <w:abstractNum w:abstractNumId="29">
    <w:nsid w:val="3222E7CD"/>
    <w:multiLevelType w:val="hybridMultilevel"/>
    <w:lvl w:ilvl="0">
      <w:lvlJc w:val="left"/>
      <w:lvlText w:val="(%1)"/>
      <w:numFmt w:val="lowerLetter"/>
      <w:start w:val="1"/>
    </w:lvl>
  </w:abstractNum>
  <w:abstractNum w:abstractNumId="30">
    <w:nsid w:val="74DE0EE3"/>
    <w:multiLevelType w:val="hybridMultilevel"/>
    <w:lvl w:ilvl="0">
      <w:lvlJc w:val="left"/>
      <w:lvlText w:val="(%1)"/>
      <w:numFmt w:val="lowerLetter"/>
      <w:start w:val="1"/>
    </w:lvl>
  </w:abstractNum>
  <w:abstractNum w:abstractNumId="31">
    <w:nsid w:val="68EBC550"/>
    <w:multiLevelType w:val="hybridMultilevel"/>
    <w:lvl w:ilvl="0">
      <w:lvlJc w:val="left"/>
      <w:lvlText w:val="(%1)"/>
      <w:numFmt w:val="lowerLetter"/>
      <w:start w:val="2"/>
    </w:lvl>
  </w:abstractNum>
  <w:abstractNum w:abstractNumId="32">
    <w:nsid w:val="2DF6D648"/>
    <w:multiLevelType w:val="hybridMultilevel"/>
    <w:lvl w:ilvl="0">
      <w:lvlJc w:val="left"/>
      <w:lvlText w:val="(%1)"/>
      <w:numFmt w:val="lowerLetter"/>
      <w:start w:val="1"/>
    </w:lvl>
  </w:abstractNum>
  <w:abstractNum w:abstractNumId="33">
    <w:nsid w:val="46B7D447"/>
    <w:multiLevelType w:val="hybridMultilevel"/>
    <w:lvl w:ilvl="0">
      <w:lvlJc w:val="left"/>
      <w:lvlText w:val="(%1)"/>
      <w:numFmt w:val="lowerLetter"/>
      <w:start w:val="2"/>
    </w:lvl>
    <w:lvl w:ilvl="1">
      <w:lvlJc w:val="left"/>
      <w:lvlText w:val="(%2)"/>
      <w:numFmt w:val="lowerRoman"/>
      <w:start w:val="1"/>
    </w:lvl>
  </w:abstractNum>
  <w:abstractNum w:abstractNumId="34">
    <w:nsid w:val="4A2AC315"/>
    <w:multiLevelType w:val="hybridMultilevel"/>
    <w:lvl w:ilvl="0">
      <w:lvlJc w:val="left"/>
      <w:lvlText w:val="(%1)"/>
      <w:numFmt w:val="lowerLetter"/>
      <w:start w:val="1"/>
    </w:lvl>
  </w:abstractNum>
  <w:abstractNum w:abstractNumId="35">
    <w:nsid w:val="39EE015C"/>
    <w:multiLevelType w:val="hybridMultilevel"/>
    <w:lvl w:ilvl="0">
      <w:lvlJc w:val="left"/>
      <w:lvlText w:val="%1"/>
      <w:numFmt w:val="lowerLetter"/>
      <w:start w:val="1"/>
    </w:lvl>
    <w:lvl w:ilvl="1">
      <w:lvlJc w:val="left"/>
      <w:lvlText w:val="(%2)"/>
      <w:numFmt w:val="lowerLetter"/>
      <w:start w:val="1"/>
    </w:lvl>
  </w:abstractNum>
  <w:abstractNum w:abstractNumId="36">
    <w:nsid w:val="57FC4FBB"/>
    <w:multiLevelType w:val="hybridMultilevel"/>
    <w:lvl w:ilvl="0">
      <w:lvlJc w:val="left"/>
      <w:lvlText w:val="(%1)"/>
      <w:numFmt w:val="lowerLetter"/>
      <w:start w:val="35"/>
    </w:lvl>
    <w:lvl w:ilvl="1">
      <w:lvlJc w:val="left"/>
      <w:lvlText w:val="(%2)"/>
      <w:numFmt w:val="lowerLetter"/>
      <w:start w:val="2"/>
    </w:lvl>
  </w:abstractNum>
  <w:abstractNum w:abstractNumId="37">
    <w:nsid w:val="CC1016F"/>
    <w:multiLevelType w:val="hybridMultilevel"/>
    <w:lvl w:ilvl="0">
      <w:lvlJc w:val="left"/>
      <w:lvlText w:val="(%1)"/>
      <w:numFmt w:val="lowerRoman"/>
      <w:start w:val="6"/>
    </w:lvl>
    <w:lvl w:ilvl="1">
      <w:lvlJc w:val="left"/>
      <w:lvlText w:val="(%2)"/>
      <w:numFmt w:val="lowerLetter"/>
      <w:start w:val="3"/>
    </w:lvl>
  </w:abstractNum>
  <w:abstractNum w:abstractNumId="38">
    <w:nsid w:val="43F18422"/>
    <w:multiLevelType w:val="hybridMultilevel"/>
    <w:lvl w:ilvl="0">
      <w:lvlJc w:val="left"/>
      <w:lvlText w:val="(%1)"/>
      <w:numFmt w:val="lowerLetter"/>
      <w:start w:val="1"/>
    </w:lvl>
  </w:abstractNum>
  <w:abstractNum w:abstractNumId="39">
    <w:nsid w:val="60EF0119"/>
    <w:multiLevelType w:val="hybridMultilevel"/>
    <w:lvl w:ilvl="0">
      <w:lvlJc w:val="left"/>
      <w:lvlText w:val="(%1)"/>
      <w:numFmt w:val="lowerLetter"/>
      <w:start w:val="1"/>
    </w:lvl>
  </w:abstractNum>
  <w:abstractNum w:abstractNumId="40">
    <w:nsid w:val="26F324BA"/>
    <w:multiLevelType w:val="hybridMultilevel"/>
    <w:lvl w:ilvl="0">
      <w:lvlJc w:val="left"/>
      <w:lvlText w:val="(%1)"/>
      <w:numFmt w:val="lowerLetter"/>
      <w:start w:val="2"/>
    </w:lvl>
  </w:abstractNum>
  <w:abstractNum w:abstractNumId="41">
    <w:nsid w:val="7F01579B"/>
    <w:multiLevelType w:val="hybridMultilevel"/>
    <w:lvl w:ilvl="0">
      <w:lvlJc w:val="left"/>
      <w:lvlText w:val="(%1)"/>
      <w:numFmt w:val="lowerLetter"/>
      <w:start w:val="1"/>
    </w:lvl>
  </w:abstractNum>
  <w:abstractNum w:abstractNumId="42">
    <w:nsid w:val="49DA307D"/>
    <w:multiLevelType w:val="hybridMultilevel"/>
    <w:lvl w:ilvl="0">
      <w:lvlJc w:val="left"/>
      <w:lvlText w:val="(%1)"/>
      <w:numFmt w:val="lowerLetter"/>
      <w:start w:val="4"/>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5"/>
    </w:lvl>
  </w:abstractNum>
  <w:abstractNum w:abstractNumId="45">
    <w:nsid w:val="50801EE1"/>
    <w:multiLevelType w:val="hybridMultilevel"/>
    <w:lvl w:ilvl="0">
      <w:lvlJc w:val="left"/>
      <w:lvlText w:val="(%1)"/>
      <w:numFmt w:val="lowerLetter"/>
      <w:start w:val="1"/>
    </w:lvl>
  </w:abstractNum>
  <w:abstractNum w:abstractNumId="46">
    <w:nsid w:val="488AC1A"/>
    <w:multiLevelType w:val="hybridMultilevel"/>
    <w:lvl w:ilvl="0">
      <w:lvlJc w:val="left"/>
      <w:lvlText w:val="(%1)"/>
      <w:numFmt w:val="lowerLetter"/>
      <w:start w:val="2"/>
    </w:lvl>
  </w:abstractNum>
  <w:abstractNum w:abstractNumId="47">
    <w:nsid w:val="5FB8011C"/>
    <w:multiLevelType w:val="hybridMultilevel"/>
    <w:lvl w:ilvl="0">
      <w:lvlJc w:val="left"/>
      <w:lvlText w:val="(%1)"/>
      <w:numFmt w:val="lowerRoman"/>
      <w:start w:val="2"/>
    </w:lvl>
  </w:abstractNum>
  <w:abstractNum w:abstractNumId="48">
    <w:nsid w:val="6AA78F7F"/>
    <w:multiLevelType w:val="hybridMultilevel"/>
    <w:lvl w:ilvl="0">
      <w:lvlJc w:val="left"/>
      <w:lvlText w:val="(%1)"/>
      <w:numFmt w:val="lowerLetter"/>
      <w:start w:val="3"/>
    </w:lvl>
  </w:abstractNum>
  <w:abstractNum w:abstractNumId="49">
    <w:nsid w:val="7672BD23"/>
    <w:multiLevelType w:val="hybridMultilevel"/>
    <w:lvl w:ilvl="0">
      <w:lvlJc w:val="left"/>
      <w:lvlText w:val="(%1)"/>
      <w:numFmt w:val="lowerLetter"/>
      <w:start w:val="5"/>
    </w:lvl>
  </w:abstractNum>
  <w:abstractNum w:abstractNumId="50">
    <w:nsid w:val="6FC75AF8"/>
    <w:multiLevelType w:val="hybridMultilevel"/>
    <w:lvl w:ilvl="0">
      <w:lvlJc w:val="left"/>
      <w:lvlText w:val="(%1)"/>
      <w:numFmt w:val="lowerLetter"/>
      <w:start w:val="13"/>
    </w:lvl>
  </w:abstractNum>
  <w:abstractNum w:abstractNumId="51">
    <w:nsid w:val="6A5F7029"/>
    <w:multiLevelType w:val="hybridMultilevel"/>
    <w:lvl w:ilvl="0">
      <w:lvlJc w:val="left"/>
      <w:lvlText w:val="(%1)"/>
      <w:numFmt w:val="lowerLetter"/>
      <w:start w:val="17"/>
    </w:lvl>
  </w:abstractNum>
  <w:abstractNum w:abstractNumId="52">
    <w:nsid w:val="7D5E18F8"/>
    <w:multiLevelType w:val="hybridMultilevel"/>
    <w:lvl w:ilvl="0">
      <w:lvlJc w:val="left"/>
      <w:lvlText w:val="(%1)"/>
      <w:numFmt w:val="lowerLetter"/>
      <w:start w:val="1"/>
    </w:lvl>
  </w:abstractNum>
  <w:abstractNum w:abstractNumId="53">
    <w:nsid w:val="5F3534A4"/>
    <w:multiLevelType w:val="hybridMultilevel"/>
    <w:lvl w:ilvl="0">
      <w:lvlJc w:val="left"/>
      <w:lvlText w:val="(%1)"/>
      <w:numFmt w:val="lowerLetter"/>
      <w:start w:val="3"/>
    </w:lvl>
  </w:abstractNum>
  <w:abstractNum w:abstractNumId="54">
    <w:nsid w:val="73A1821B"/>
    <w:multiLevelType w:val="hybridMultilevel"/>
    <w:lvl w:ilvl="0">
      <w:lvlJc w:val="left"/>
      <w:lvlText w:val="(%1)"/>
      <w:numFmt w:val="lowerLetter"/>
      <w:start w:val="9"/>
    </w:lvl>
  </w:abstractNum>
  <w:abstractNum w:abstractNumId="55">
    <w:nsid w:val="7DE67713"/>
    <w:multiLevelType w:val="hybridMultilevel"/>
    <w:lvl w:ilvl="0">
      <w:lvlJc w:val="left"/>
      <w:lvlText w:val="(%1)"/>
      <w:numFmt w:val="lowerLetter"/>
      <w:start w:val="1"/>
    </w:lvl>
  </w:abstractNum>
  <w:abstractNum w:abstractNumId="56">
    <w:nsid w:val="555C55B5"/>
    <w:multiLevelType w:val="hybridMultilevel"/>
    <w:lvl w:ilvl="0">
      <w:lvlJc w:val="left"/>
      <w:lvlText w:val="%1"/>
      <w:numFmt w:val="lowerLetter"/>
      <w:start w:val="1"/>
    </w:lvl>
    <w:lvl w:ilvl="1">
      <w:lvlJc w:val="left"/>
      <w:lvlText w:val="(%2)"/>
      <w:numFmt w:val="lowerLetter"/>
      <w:start w:val="1"/>
    </w:lvl>
  </w:abstractNum>
  <w:abstractNum w:abstractNumId="57">
    <w:nsid w:val="3FA62ACA"/>
    <w:multiLevelType w:val="hybridMultilevel"/>
    <w:lvl w:ilvl="0">
      <w:lvlJc w:val="left"/>
      <w:lvlText w:val="(%1)"/>
      <w:numFmt w:val="lowerLetter"/>
      <w:start w:val="25"/>
    </w:lvl>
    <w:lvl w:ilvl="1">
      <w:lvlJc w:val="left"/>
      <w:lvlText w:val="(%2)"/>
      <w:numFmt w:val="lowerLetter"/>
      <w:start w:val="2"/>
    </w:lvl>
  </w:abstractNum>
  <w:abstractNum w:abstractNumId="58">
    <w:nsid w:val="14FCE74E"/>
    <w:multiLevelType w:val="hybridMultilevel"/>
    <w:lvl w:ilvl="0">
      <w:lvlJc w:val="left"/>
      <w:lvlText w:val="(%1)"/>
      <w:numFmt w:val="lowerLetter"/>
      <w:start w:val="5"/>
    </w:lvl>
  </w:abstractNum>
  <w:abstractNum w:abstractNumId="59">
    <w:nsid w:val="6A3DD3E8"/>
    <w:multiLevelType w:val="hybridMultilevel"/>
    <w:lvl w:ilvl="0">
      <w:lvlJc w:val="left"/>
      <w:lvlText w:val="(%1)"/>
      <w:numFmt w:val="lowerLetter"/>
      <w:start w:val="1"/>
    </w:lvl>
  </w:abstractNum>
  <w:abstractNum w:abstractNumId="60">
    <w:nsid w:val="71C91298"/>
    <w:multiLevelType w:val="hybridMultilevel"/>
    <w:lvl w:ilvl="0">
      <w:lvlJc w:val="left"/>
      <w:lvlText w:val="%1"/>
      <w:numFmt w:val="lowerLetter"/>
      <w:start w:val="1"/>
    </w:lvl>
    <w:lvl w:ilvl="1">
      <w:lvlJc w:val="left"/>
      <w:lvlText w:val="(%2)"/>
      <w:numFmt w:val="lowerLetter"/>
      <w:start w:val="3"/>
    </w:lvl>
  </w:abstractNum>
  <w:abstractNum w:abstractNumId="61">
    <w:nsid w:val="9DAF632"/>
    <w:multiLevelType w:val="hybridMultilevel"/>
    <w:lvl w:ilvl="0">
      <w:lvlJc w:val="left"/>
      <w:lvlText w:val="(%1)"/>
      <w:numFmt w:val="lowerLetter"/>
      <w:start w:val="35"/>
    </w:lvl>
    <w:lvl w:ilvl="1">
      <w:lvlJc w:val="left"/>
      <w:lvlText w:val="(%2)"/>
      <w:numFmt w:val="lowerLetter"/>
      <w:start w:val="4"/>
    </w:lvl>
  </w:abstractNum>
  <w:abstractNum w:abstractNumId="62">
    <w:nsid w:val="53299938"/>
    <w:multiLevelType w:val="hybridMultilevel"/>
    <w:lvl w:ilvl="0">
      <w:lvlJc w:val="left"/>
      <w:lvlText w:val="(%1)"/>
      <w:numFmt w:val="lowerLetter"/>
      <w:start w:val="1"/>
    </w:lvl>
    <w:lvl w:ilvl="1">
      <w:lvlJc w:val="left"/>
      <w:lvlText w:val="(%2)"/>
      <w:numFmt w:val="lowerRoman"/>
      <w:start w:val="1"/>
    </w:lvl>
  </w:abstractNum>
  <w:abstractNum w:abstractNumId="63">
    <w:nsid w:val="1FBFE8E0"/>
    <w:multiLevelType w:val="hybridMultilevel"/>
    <w:lvl w:ilvl="0">
      <w:lvlJc w:val="left"/>
      <w:lvlText w:val="(%1)"/>
      <w:numFmt w:val="lowerRoman"/>
      <w:start w:val="9"/>
    </w:lvl>
  </w:abstractNum>
  <w:abstractNum w:abstractNumId="64">
    <w:nsid w:val="5092CA79"/>
    <w:multiLevelType w:val="hybridMultilevel"/>
    <w:lvl w:ilvl="0">
      <w:lvlJc w:val="left"/>
      <w:lvlText w:val="(%1)"/>
      <w:numFmt w:val="decimal"/>
      <w:start w:val="10"/>
    </w:lvl>
  </w:abstractNum>
  <w:abstractNum w:abstractNumId="65">
    <w:nsid w:val="1D545C4D"/>
    <w:multiLevelType w:val="hybridMultilevel"/>
    <w:lvl w:ilvl="0">
      <w:lvlJc w:val="left"/>
      <w:lvlText w:val="%1"/>
      <w:numFmt w:val="lowerLetter"/>
      <w:start w:val="1"/>
    </w:lvl>
    <w:lvl w:ilvl="1">
      <w:lvlJc w:val="left"/>
      <w:lvlText w:val="(%2)"/>
      <w:numFmt w:val="lowerLetter"/>
      <w:start w:val="1"/>
    </w:lvl>
  </w:abstractNum>
  <w:abstractNum w:abstractNumId="66">
    <w:nsid w:val="59ADEA3D"/>
    <w:multiLevelType w:val="hybridMultilevel"/>
    <w:lvl w:ilvl="0">
      <w:lvlJc w:val="left"/>
      <w:lvlText w:val="(%1)"/>
      <w:numFmt w:val="lowerLetter"/>
      <w:start w:val="35"/>
    </w:lvl>
    <w:lvl w:ilvl="1">
      <w:lvlJc w:val="left"/>
      <w:lvlText w:val="%2"/>
      <w:numFmt w:val="lowerLetter"/>
      <w:start w:val="1"/>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2"/>
    </w:lvl>
  </w:abstractNum>
  <w:abstractNum w:abstractNumId="69">
    <w:nsid w:val="1D9F6E5F"/>
    <w:multiLevelType w:val="hybridMultilevel"/>
    <w:lvl w:ilvl="0">
      <w:lvlJc w:val="left"/>
      <w:lvlText w:val="(%1)"/>
      <w:numFmt w:val="lowerLetter"/>
      <w:start w:val="1"/>
    </w:lvl>
  </w:abstractNum>
  <w:abstractNum w:abstractNumId="70">
    <w:nsid w:val="97E1B4E"/>
    <w:multiLevelType w:val="hybridMultilevel"/>
    <w:lvl w:ilvl="0">
      <w:lvlJc w:val="left"/>
      <w:lvlText w:val="(%1)"/>
      <w:numFmt w:val="lowerLetter"/>
      <w:start w:val="1"/>
    </w:lvl>
    <w:lvl w:ilvl="1">
      <w:lvlJc w:val="left"/>
      <w:lvlText w:val="(%2)"/>
      <w:numFmt w:val="lowerRoman"/>
      <w:start w:val="1"/>
    </w:lvl>
  </w:abstractNum>
  <w:abstractNum w:abstractNumId="71">
    <w:nsid w:val="51088277"/>
    <w:multiLevelType w:val="hybridMultilevel"/>
    <w:lvl w:ilvl="0">
      <w:lvlJc w:val="left"/>
      <w:lvlText w:val="%1"/>
      <w:numFmt w:val="lowerLetter"/>
      <w:start w:val="1"/>
    </w:lvl>
    <w:lvl w:ilvl="1">
      <w:lvlJc w:val="left"/>
      <w:lvlText w:val="(%2)"/>
      <w:numFmt w:val="lowerRoman"/>
      <w:start w:val="4"/>
    </w:lvl>
  </w:abstractNum>
  <w:abstractNum w:abstractNumId="72">
    <w:nsid w:val="1CA0C5FA"/>
    <w:multiLevelType w:val="hybridMultilevel"/>
    <w:lvl w:ilvl="0">
      <w:lvlJc w:val="left"/>
      <w:lvlText w:val="(%1)"/>
      <w:numFmt w:val="lowerLetter"/>
      <w:start w:val="2"/>
    </w:lvl>
    <w:lvl w:ilvl="1">
      <w:lvlJc w:val="left"/>
      <w:lvlText w:val="(%2)"/>
      <w:numFmt w:val="lowerRoman"/>
      <w:start w:val="1"/>
    </w:lvl>
  </w:abstractNum>
  <w:abstractNum w:abstractNumId="73">
    <w:nsid w:val="53584BCB"/>
    <w:multiLevelType w:val="hybridMultilevel"/>
    <w:lvl w:ilvl="0">
      <w:lvlJc w:val="left"/>
      <w:lvlText w:val="(%1)"/>
      <w:numFmt w:val="lowerLetter"/>
      <w:start w:val="1"/>
    </w:lvl>
  </w:abstractNum>
  <w:abstractNum w:abstractNumId="74">
    <w:nsid w:val="415E286C"/>
    <w:multiLevelType w:val="hybridMultilevel"/>
    <w:lvl w:ilvl="0">
      <w:lvlJc w:val="left"/>
      <w:lvlText w:val="(%1)"/>
      <w:numFmt w:val="lowerLetter"/>
      <w:start w:val="2"/>
    </w:lvl>
  </w:abstractNum>
  <w:abstractNum w:abstractNumId="75">
    <w:nsid w:val="7C58FD05"/>
    <w:multiLevelType w:val="hybridMultilevel"/>
    <w:lvl w:ilvl="0">
      <w:lvlJc w:val="left"/>
      <w:lvlText w:val="(%1)"/>
      <w:numFmt w:val="lowerLetter"/>
      <w:start w:val="1"/>
    </w:lvl>
    <w:lvl w:ilvl="1">
      <w:lvlJc w:val="left"/>
      <w:lvlText w:val="(%2)"/>
      <w:numFmt w:val="lowerRoman"/>
      <w:start w:val="1"/>
    </w:lvl>
  </w:abstractNum>
  <w:abstractNum w:abstractNumId="76">
    <w:nsid w:val="23D86AAC"/>
    <w:multiLevelType w:val="hybridMultilevel"/>
    <w:lvl w:ilvl="0">
      <w:lvlJc w:val="left"/>
      <w:lvlText w:val="(%1)"/>
      <w:numFmt w:val="lowerLetter"/>
      <w:start w:val="5"/>
    </w:lvl>
  </w:abstractNum>
  <w:abstractNum w:abstractNumId="77">
    <w:nsid w:val="45E6D486"/>
    <w:multiLevelType w:val="hybridMultilevel"/>
    <w:lvl w:ilvl="0">
      <w:lvlJc w:val="left"/>
      <w:lvlText w:val="(%1)"/>
      <w:numFmt w:val="lowerLetter"/>
      <w:start w:val="12"/>
    </w:lvl>
  </w:abstractNum>
  <w:abstractNum w:abstractNumId="78">
    <w:nsid w:val="5C10FE21"/>
    <w:multiLevelType w:val="hybridMultilevel"/>
    <w:lvl w:ilvl="0">
      <w:lvlJc w:val="left"/>
      <w:lvlText w:val="(%1)"/>
      <w:numFmt w:val="lowerLetter"/>
      <w:start w:val="1"/>
    </w:lvl>
    <w:lvl w:ilvl="1">
      <w:lvlJc w:val="left"/>
      <w:lvlText w:val="(%2)"/>
      <w:numFmt w:val="lowerLetter"/>
      <w:start w:val="9"/>
    </w:lvl>
  </w:abstractNum>
  <w:abstractNum w:abstractNumId="79">
    <w:nsid w:val="E7FFA2B"/>
    <w:multiLevelType w:val="hybridMultilevel"/>
    <w:lvl w:ilvl="0">
      <w:lvlJc w:val="left"/>
      <w:lvlText w:val="(%1)"/>
      <w:numFmt w:val="lowerRoman"/>
      <w:start w:val="2"/>
    </w:lvl>
  </w:abstractNum>
  <w:abstractNum w:abstractNumId="80">
    <w:nsid w:val="3C5991A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81">
    <w:nsid w:val="4BD859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2">
    <w:nsid w:val="78DF6A55"/>
    <w:multiLevelType w:val="hybridMultilevel"/>
    <w:lvl w:ilvl="0">
      <w:lvlJc w:val="left"/>
      <w:lvlText w:val="(%1)"/>
      <w:numFmt w:val="lowerRoman"/>
      <w:start w:val="4"/>
    </w:lvl>
    <w:lvl w:ilvl="1">
      <w:lvlJc w:val="left"/>
      <w:lvlText w:val="(%2)"/>
      <w:numFmt w:val="upperLetter"/>
      <w:start w:val="1"/>
    </w:lvl>
  </w:abstractNum>
  <w:abstractNum w:abstractNumId="83">
    <w:nsid w:val="39B7AAA2"/>
    <w:multiLevelType w:val="hybridMultilevel"/>
    <w:lvl w:ilvl="0">
      <w:lvlJc w:val="left"/>
      <w:lvlText w:val="(%1)"/>
      <w:numFmt w:val="lowerRoman"/>
      <w:start w:val="11"/>
    </w:lvl>
  </w:abstractNum>
  <w:abstractNum w:abstractNumId="84">
    <w:nsid w:val="2B0D8DBE"/>
    <w:multiLevelType w:val="hybridMultilevel"/>
    <w:lvl w:ilvl="0">
      <w:lvlJc w:val="left"/>
      <w:lvlText w:val="(%1)"/>
      <w:numFmt w:val="lowerRoman"/>
      <w:start w:val="21"/>
    </w:lvl>
  </w:abstractNum>
  <w:abstractNum w:abstractNumId="85">
    <w:nsid w:val="6C80EC70"/>
    <w:multiLevelType w:val="hybridMultilevel"/>
    <w:lvl w:ilvl="0">
      <w:lvlJc w:val="left"/>
      <w:lvlText w:val="(%1)"/>
      <w:numFmt w:val="lowerLetter"/>
      <w:start w:val="1"/>
    </w:lvl>
  </w:abstractNum>
  <w:abstractNum w:abstractNumId="86">
    <w:nsid w:val="379E21B5"/>
    <w:multiLevelType w:val="hybridMultilevel"/>
    <w:lvl w:ilvl="0">
      <w:lvlJc w:val="left"/>
      <w:lvlText w:val="(%1)"/>
      <w:numFmt w:val="lowerLetter"/>
      <w:start w:val="2"/>
    </w:lvl>
  </w:abstractNum>
  <w:abstractNum w:abstractNumId="87">
    <w:nsid w:val="69E373"/>
    <w:multiLevelType w:val="hybridMultilevel"/>
    <w:lvl w:ilvl="0">
      <w:lvlJc w:val="left"/>
      <w:lvlText w:val="(%1)"/>
      <w:numFmt w:val="lowerLetter"/>
      <w:start w:val="1"/>
    </w:lvl>
  </w:abstractNum>
  <w:abstractNum w:abstractNumId="88">
    <w:nsid w:val="2C27173B"/>
    <w:multiLevelType w:val="hybridMultilevel"/>
    <w:lvl w:ilvl="0">
      <w:lvlJc w:val="left"/>
      <w:lvlText w:val="(%1)"/>
      <w:numFmt w:val="lowerLetter"/>
      <w:start w:val="1"/>
    </w:lvl>
  </w:abstractNum>
  <w:abstractNum w:abstractNumId="89">
    <w:nsid w:val="4C9B0904"/>
    <w:multiLevelType w:val="hybridMultilevel"/>
    <w:lvl w:ilvl="0">
      <w:lvlJc w:val="left"/>
      <w:lvlText w:val="(%1)"/>
      <w:numFmt w:val="lowerRoman"/>
      <w:start w:val="2"/>
    </w:lvl>
  </w:abstractNum>
  <w:abstractNum w:abstractNumId="90">
    <w:nsid w:val="6AA7B75C"/>
    <w:multiLevelType w:val="hybridMultilevel"/>
    <w:lvl w:ilvl="0">
      <w:lvlJc w:val="left"/>
      <w:lvlText w:val="(%1)"/>
      <w:numFmt w:val="lowerLetter"/>
      <w:start w:val="1"/>
    </w:lvl>
  </w:abstractNum>
  <w:abstractNum w:abstractNumId="91">
    <w:nsid w:val="1DF029D3"/>
    <w:multiLevelType w:val="hybridMultilevel"/>
    <w:lvl w:ilvl="0">
      <w:lvlJc w:val="left"/>
      <w:lvlText w:val="(%1)"/>
      <w:numFmt w:val="lowerLetter"/>
      <w:start w:val="1"/>
    </w:lvl>
    <w:lvl w:ilvl="1">
      <w:lvlJc w:val="left"/>
      <w:lvlText w:val="(%2)"/>
      <w:numFmt w:val="lowerRoman"/>
      <w:start w:val="1"/>
    </w:lvl>
  </w:abstractNum>
  <w:abstractNum w:abstractNumId="92">
    <w:nsid w:val="5675FF36"/>
    <w:multiLevelType w:val="hybridMultilevel"/>
    <w:lvl w:ilvl="0">
      <w:lvlJc w:val="left"/>
      <w:lvlText w:val="%1"/>
      <w:numFmt w:val="decimal"/>
      <w:start w:val="1"/>
    </w:lvl>
    <w:lvl w:ilvl="1">
      <w:lvlJc w:val="left"/>
      <w:lvlText w:val="(%2)"/>
      <w:numFmt w:val="lowerLetter"/>
      <w:start w:val="4"/>
    </w:lvl>
  </w:abstractNum>
  <w:abstractNum w:abstractNumId="93">
    <w:nsid w:val="3DD15094"/>
    <w:multiLevelType w:val="hybridMultilevel"/>
    <w:lvl w:ilvl="0">
      <w:lvlJc w:val="left"/>
      <w:lvlText w:val="(%1)"/>
      <w:numFmt w:val="decimal"/>
      <w:start w:val="30"/>
    </w:lvl>
    <w:lvl w:ilvl="1">
      <w:lvlJc w:val="left"/>
      <w:lvlText w:val="%2"/>
      <w:numFmt w:val="lowerLetter"/>
      <w:start w:val="1"/>
    </w:lvl>
  </w:abstractNum>
  <w:abstractNum w:abstractNumId="94">
    <w:nsid w:val="3DB012B3"/>
    <w:multiLevelType w:val="hybridMultilevel"/>
    <w:lvl w:ilvl="0">
      <w:lvlJc w:val="left"/>
      <w:lvlText w:val="(%1)"/>
      <w:numFmt w:val="lowerLetter"/>
      <w:start w:val="1"/>
    </w:lvl>
  </w:abstractNum>
  <w:abstractNum w:abstractNumId="95">
    <w:nsid w:val="2708C9AF"/>
    <w:multiLevelType w:val="hybridMultilevel"/>
    <w:lvl w:ilvl="0">
      <w:lvlJc w:val="left"/>
      <w:lvlText w:val="(%1)"/>
      <w:numFmt w:val="lowerLetter"/>
      <w:start w:val="1"/>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8">
    <w:nsid w:val="4F97E3E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99">
    <w:nsid w:val="53B0A9E"/>
    <w:multiLevelType w:val="hybridMultilevel"/>
    <w:lvl w:ilvl="0">
      <w:lvlJc w:val="left"/>
      <w:lvlText w:val="%1"/>
      <w:numFmt w:val="decimal"/>
      <w:start w:val="1"/>
    </w:lvl>
    <w:lvl w:ilvl="1">
      <w:lvlJc w:val="left"/>
      <w:lvlText w:val="(%2)"/>
      <w:numFmt w:val="lowerLetter"/>
      <w:start w:val="2"/>
    </w:lvl>
  </w:abstractNum>
  <w:abstractNum w:abstractNumId="100">
    <w:nsid w:val="34FD6B4F"/>
    <w:multiLevelType w:val="hybridMultilevel"/>
    <w:lvl w:ilvl="0">
      <w:lvlJc w:val="left"/>
      <w:lvlText w:val="%1."/>
      <w:numFmt w:val="decimal"/>
      <w:start w:val="3"/>
    </w:lvl>
    <w:lvl w:ilvl="1">
      <w:lvlJc w:val="left"/>
      <w:lvlText w:val="%2"/>
      <w:numFmt w:val="lowerLetter"/>
      <w:start w:val="1"/>
    </w:lvl>
  </w:abstractNum>
  <w:abstractNum w:abstractNumId="101">
    <w:nsid w:val="5915FF32"/>
    <w:multiLevelType w:val="hybridMultilevel"/>
    <w:lvl w:ilvl="0">
      <w:lvlJc w:val="left"/>
      <w:lvlText w:val="%1."/>
      <w:numFmt w:val="decimal"/>
      <w:start w:val="6"/>
    </w:lvl>
  </w:abstractNum>
  <w:abstractNum w:abstractNumId="102">
    <w:nsid w:val="56438D15"/>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103">
    <w:nsid w:val="519E314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4">
    <w:nsid w:val="2C6E4AFD"/>
    <w:multiLevelType w:val="hybridMultilevel"/>
    <w:lvl w:ilvl="0">
      <w:lvlJc w:val="left"/>
      <w:lvlText w:val="%1)"/>
      <w:numFmt w:val="decimal"/>
      <w:start w:val="4"/>
    </w:lvl>
    <w:lvl w:ilvl="1">
      <w:lvlJc w:val="left"/>
      <w:lvlText w:val="(%2)"/>
      <w:numFmt w:val="lowerLetter"/>
      <w:start w:val="1"/>
    </w:lvl>
  </w:abstractNum>
  <w:abstractNum w:abstractNumId="105">
    <w:nsid w:val="17A1B58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6">
    <w:nsid w:val="4DF72E4E"/>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07">
    <w:nsid w:val="5046B5A9"/>
    <w:multiLevelType w:val="hybridMultilevel"/>
    <w:lvl w:ilvl="0">
      <w:lvlJc w:val="left"/>
      <w:lvlText w:val="(%1)"/>
      <w:numFmt w:val="lowerRoman"/>
      <w:start w:val="2"/>
    </w:lvl>
  </w:abstractNum>
  <w:abstractNum w:abstractNumId="108">
    <w:nsid w:val="5D888A08"/>
    <w:multiLevelType w:val="hybridMultilevel"/>
    <w:lvl w:ilvl="0">
      <w:lvlJc w:val="left"/>
      <w:lvlText w:val="(%1)"/>
      <w:numFmt w:val="lowerRoman"/>
      <w:start w:val="1"/>
    </w:lvl>
  </w:abstractNum>
  <w:abstractNum w:abstractNumId="109">
    <w:nsid w:val="2A082C70"/>
    <w:multiLevelType w:val="hybridMultilevel"/>
    <w:lvl w:ilvl="0">
      <w:lvlJc w:val="left"/>
      <w:lvlText w:val="(%1)"/>
      <w:numFmt w:val="lowerRoman"/>
      <w:start w:val="1"/>
    </w:lvl>
  </w:abstractNum>
  <w:abstractNum w:abstractNumId="110">
    <w:nsid w:val="5EC6AFD4"/>
    <w:multiLevelType w:val="hybridMultilevel"/>
    <w:lvl w:ilvl="0">
      <w:lvlJc w:val="left"/>
      <w:lvlText w:val="(%1)"/>
      <w:numFmt w:val="lowerLetter"/>
      <w:start w:val="2"/>
    </w:lvl>
  </w:abstractNum>
  <w:abstractNum w:abstractNumId="111">
    <w:nsid w:val="19E21BB2"/>
    <w:multiLevelType w:val="hybridMultilevel"/>
    <w:lvl w:ilvl="0">
      <w:lvlJc w:val="left"/>
      <w:lvlText w:val="(%1)"/>
      <w:numFmt w:val="lowerLetter"/>
      <w:start w:val="1"/>
    </w:lvl>
  </w:abstractNum>
  <w:abstractNum w:abstractNumId="112">
    <w:nsid w:val="75E0858A"/>
    <w:multiLevelType w:val="hybridMultilevel"/>
    <w:lvl w:ilvl="0">
      <w:lvlJc w:val="left"/>
      <w:lvlText w:val="(%1)"/>
      <w:numFmt w:val="lowerLetter"/>
      <w:start w:val="1"/>
    </w:lvl>
  </w:abstractNum>
  <w:abstractNum w:abstractNumId="113">
    <w:nsid w:val="57A61A29"/>
    <w:multiLevelType w:val="hybridMultilevel"/>
    <w:lvl w:ilvl="0">
      <w:lvlJc w:val="left"/>
      <w:lvlText w:val="(%1)"/>
      <w:numFmt w:val="lowerLetter"/>
      <w:start w:val="12"/>
    </w:lvl>
  </w:abstractNum>
  <w:abstractNum w:abstractNumId="114">
    <w:nsid w:val="5399C654"/>
    <w:multiLevelType w:val="hybridMultilevel"/>
    <w:lvl w:ilvl="0">
      <w:lvlJc w:val="left"/>
      <w:lvlText w:val="%1"/>
      <w:numFmt w:val="decimal"/>
      <w:start w:val="1"/>
    </w:lvl>
    <w:lvl w:ilvl="1">
      <w:lvlJc w:val="left"/>
      <w:lvlText w:val="(%2)"/>
      <w:numFmt w:val="lowerLetter"/>
      <w:start w:val="1"/>
    </w:lvl>
  </w:abstractNum>
  <w:abstractNum w:abstractNumId="115">
    <w:nsid w:val="20EE1348"/>
    <w:multiLevelType w:val="hybridMultilevel"/>
    <w:lvl w:ilvl="0">
      <w:lvlJc w:val="left"/>
      <w:lvlText w:val="%1."/>
      <w:numFmt w:val="decimal"/>
      <w:start w:val="4"/>
    </w:lvl>
    <w:lvl w:ilvl="1">
      <w:lvlJc w:val="left"/>
      <w:lvlText w:val="%2"/>
      <w:numFmt w:val="lowerLetter"/>
      <w:start w:val="1"/>
    </w:lvl>
  </w:abstractNum>
  <w:abstractNum w:abstractNumId="116">
    <w:nsid w:val="4427069A"/>
    <w:multiLevelType w:val="hybridMultilevel"/>
    <w:lvl w:ilvl="0">
      <w:lvlJc w:val="left"/>
      <w:lvlText w:val="%1."/>
      <w:numFmt w:val="decimal"/>
      <w:start w:val="5"/>
    </w:lvl>
  </w:abstractNum>
  <w:abstractNum w:abstractNumId="117">
    <w:nsid w:val="B37E80A"/>
    <w:multiLevelType w:val="hybridMultilevel"/>
    <w:lvl w:ilvl="0">
      <w:lvlJc w:val="left"/>
      <w:lvlText w:val="(%1)"/>
      <w:numFmt w:val="lowerRoman"/>
      <w:start w:val="7"/>
    </w:lvl>
    <w:lvl w:ilvl="1">
      <w:lvlJc w:val="left"/>
      <w:lvlText w:val="(%2)"/>
      <w:numFmt w:val="lowerLetter"/>
      <w:start w:val="1"/>
    </w:lvl>
  </w:abstractNum>
  <w:abstractNum w:abstractNumId="118">
    <w:nsid w:val="2157F6BC"/>
    <w:multiLevelType w:val="hybridMultilevel"/>
    <w:lvl w:ilvl="0">
      <w:lvlJc w:val="left"/>
      <w:lvlText w:val="(%1)"/>
      <w:numFmt w:val="lowerLetter"/>
      <w:start w:val="2"/>
    </w:lvl>
  </w:abstractNum>
  <w:abstractNum w:abstractNumId="119">
    <w:nsid w:val="704E1DD5"/>
    <w:multiLevelType w:val="hybridMultilevel"/>
    <w:lvl w:ilvl="0">
      <w:lvlJc w:val="left"/>
      <w:lvlText w:val="(%1)"/>
      <w:numFmt w:val="lowerLetter"/>
      <w:start w:val="1"/>
    </w:lvl>
  </w:abstractNum>
  <w:abstractNum w:abstractNumId="120">
    <w:nsid w:val="57D2F10E"/>
    <w:multiLevelType w:val="hybridMultilevel"/>
    <w:lvl w:ilvl="0">
      <w:lvlJc w:val="left"/>
      <w:lvlText w:val="%1"/>
      <w:numFmt w:val="lowerLetter"/>
      <w:start w:val="1"/>
    </w:lvl>
    <w:lvl w:ilvl="1">
      <w:lvlJc w:val="left"/>
      <w:lvlText w:val="(%2)"/>
      <w:numFmt w:val="lowerLetter"/>
      <w:start w:val="1"/>
    </w:lvl>
  </w:abstractNum>
  <w:abstractNum w:abstractNumId="121">
    <w:nsid w:val="BFFAE18"/>
    <w:multiLevelType w:val="hybridMultilevel"/>
    <w:lvl w:ilvl="0">
      <w:lvlJc w:val="left"/>
      <w:lvlText w:val="(%1)"/>
      <w:numFmt w:val="lowerLetter"/>
      <w:start w:val="35"/>
    </w:lvl>
    <w:lvl w:ilvl="1">
      <w:lvlJc w:val="left"/>
      <w:lvlText w:val="%2"/>
      <w:numFmt w:val="lowerLetter"/>
      <w:start w:val="1"/>
    </w:lvl>
  </w:abstractNum>
  <w:abstractNum w:abstractNumId="122">
    <w:nsid w:val="E3E47A8"/>
    <w:multiLevelType w:val="hybridMultilevel"/>
    <w:lvl w:ilvl="0">
      <w:lvlJc w:val="left"/>
      <w:lvlText w:val="(%1)"/>
      <w:numFmt w:val="lowerLetter"/>
      <w:start w:val="5"/>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1)"/>
      <w:numFmt w:val="lowerRoman"/>
      <w:start w:val="1"/>
    </w:lvl>
  </w:abstractNum>
  <w:abstractNum w:abstractNumId="125">
    <w:nsid w:val="4BEE5A5B"/>
    <w:multiLevelType w:val="hybridMultilevel"/>
    <w:lvl w:ilvl="0">
      <w:lvlJc w:val="left"/>
      <w:lvlText w:val="(%1)"/>
      <w:numFmt w:val="lowerRoman"/>
      <w:start w:val="1"/>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lowerLetter"/>
      <w:start w:val="2"/>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lowerLetter"/>
      <w:start w:val="6"/>
    </w:lvl>
  </w:abstractNum>
  <w:abstractNum w:abstractNumId="130">
    <w:nsid w:val="2A31B62D"/>
    <w:multiLevelType w:val="hybridMultilevel"/>
    <w:lvl w:ilvl="0">
      <w:lvlJc w:val="left"/>
      <w:lvlText w:val="(%1)"/>
      <w:numFmt w:val="lowerLetter"/>
      <w:start w:val="1"/>
    </w:lvl>
  </w:abstractNum>
  <w:abstractNum w:abstractNumId="131">
    <w:nsid w:val="1849C29B"/>
    <w:multiLevelType w:val="hybridMultilevel"/>
    <w:lvl w:ilvl="0">
      <w:lvlJc w:val="left"/>
      <w:lvlText w:val="(%1)"/>
      <w:numFmt w:val="lowerRoman"/>
      <w:start w:val="2"/>
    </w:lvl>
  </w:abstractNum>
  <w:abstractNum w:abstractNumId="132">
    <w:nsid w:val="7DFF9D09"/>
    <w:multiLevelType w:val="hybridMultilevel"/>
    <w:lvl w:ilvl="0">
      <w:lvlJc w:val="left"/>
      <w:lvlText w:val="(%1)"/>
      <w:numFmt w:val="lowerRoman"/>
      <w:start w:val="2"/>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lowerLetter"/>
      <w:start w:val="14"/>
    </w:lvl>
  </w:abstractNum>
  <w:abstractNum w:abstractNumId="135">
    <w:nsid w:val="2A6DE806"/>
    <w:multiLevelType w:val="hybridMultilevel"/>
    <w:lvl w:ilvl="0">
      <w:lvlJc w:val="left"/>
      <w:lvlText w:val="(%1)"/>
      <w:numFmt w:val="lowerLetter"/>
      <w:start w:val="15"/>
    </w:lvl>
  </w:abstractNum>
  <w:abstractNum w:abstractNumId="136">
    <w:nsid w:val="1816F8C4"/>
    <w:multiLevelType w:val="hybridMultilevel"/>
    <w:lvl w:ilvl="0">
      <w:lvlJc w:val="left"/>
      <w:lvlText w:val="(%1)"/>
      <w:numFmt w:val="lowerLetter"/>
      <w:start w:val="18"/>
    </w:lvl>
  </w:abstractNum>
  <w:abstractNum w:abstractNumId="137">
    <w:nsid w:val="37DF2233"/>
    <w:multiLevelType w:val="hybridMultilevel"/>
    <w:lvl w:ilvl="0">
      <w:lvlJc w:val="left"/>
      <w:lvlText w:val="(%1)"/>
      <w:numFmt w:val="lowerLetter"/>
      <w:start w:val="1"/>
    </w:lvl>
  </w:abstractNum>
  <w:abstractNum w:abstractNumId="138">
    <w:nsid w:val="7AB49DAF"/>
    <w:multiLevelType w:val="hybridMultilevel"/>
    <w:lvl w:ilvl="0">
      <w:lvlJc w:val="left"/>
      <w:lvlText w:val="%1"/>
      <w:numFmt w:val="lowerLetter"/>
      <w:start w:val="1"/>
    </w:lvl>
    <w:lvl w:ilvl="1">
      <w:lvlJc w:val="left"/>
      <w:lvlText w:val="(%2)"/>
      <w:numFmt w:val="lowerLetter"/>
      <w:start w:val="1"/>
    </w:lvl>
  </w:abstractNum>
  <w:abstractNum w:abstractNumId="139">
    <w:nsid w:val="759F82CD"/>
    <w:multiLevelType w:val="hybridMultilevel"/>
    <w:lvl w:ilvl="0">
      <w:lvlJc w:val="left"/>
      <w:lvlText w:val="(%1)"/>
      <w:numFmt w:val="lowerLetter"/>
      <w:start w:val="26"/>
    </w:lvl>
    <w:lvl w:ilvl="1">
      <w:lvlJc w:val="left"/>
      <w:lvlText w:val="%2"/>
      <w:numFmt w:val="lowerLetter"/>
      <w:start w:val="1"/>
    </w:lvl>
  </w:abstractNum>
  <w:abstractNum w:abstractNumId="140">
    <w:nsid w:val="61E74EA3"/>
    <w:multiLevelType w:val="hybridMultilevel"/>
    <w:lvl w:ilvl="0">
      <w:lvlJc w:val="left"/>
      <w:lvlText w:val="(%1)"/>
      <w:numFmt w:val="lowerLetter"/>
      <w:start w:val="6"/>
    </w:lvl>
  </w:abstractNum>
  <w:abstractNum w:abstractNumId="141">
    <w:nsid w:val="597B4D84"/>
    <w:multiLevelType w:val="hybridMultilevel"/>
    <w:lvl w:ilvl="0">
      <w:lvlJc w:val="left"/>
      <w:lvlText w:val="%1"/>
      <w:numFmt w:val="lowerLetter"/>
      <w:start w:val="1"/>
    </w:lvl>
    <w:lvl w:ilvl="1">
      <w:lvlJc w:val="left"/>
      <w:lvlText w:val="(%2)"/>
      <w:numFmt w:val="lowerLetter"/>
      <w:start w:val="1"/>
    </w:lvl>
  </w:abstractNum>
  <w:abstractNum w:abstractNumId="142">
    <w:nsid w:val="F819E7F"/>
    <w:multiLevelType w:val="hybridMultilevel"/>
    <w:lvl w:ilvl="0">
      <w:lvlJc w:val="left"/>
      <w:lvlText w:val="(%1)"/>
      <w:numFmt w:val="lowerLetter"/>
      <w:start w:val="1"/>
    </w:lvl>
    <w:lvl w:ilvl="1">
      <w:lvlJc w:val="left"/>
      <w:lvlText w:val="(%2)"/>
      <w:numFmt w:val="lowerLetter"/>
      <w:start w:val="5"/>
    </w:lvl>
  </w:abstractNum>
  <w:abstractNum w:abstractNumId="143">
    <w:nsid w:val="57C7D42D"/>
    <w:multiLevelType w:val="hybridMultilevel"/>
    <w:lvl w:ilvl="0">
      <w:lvlJc w:val="left"/>
      <w:lvlText w:val="(%1)"/>
      <w:numFmt w:val="lowerLetter"/>
      <w:start w:val="6"/>
    </w:lvl>
  </w:abstractNum>
  <w:abstractNum w:abstractNumId="144">
    <w:nsid w:val="312167AD"/>
    <w:multiLevelType w:val="hybridMultilevel"/>
    <w:lvl w:ilvl="0">
      <w:lvlJc w:val="left"/>
      <w:lvlText w:val="(%1)"/>
      <w:numFmt w:val="lowerLetter"/>
      <w:start w:val="8"/>
    </w:lvl>
  </w:abstractNum>
  <w:abstractNum w:abstractNumId="145">
    <w:nsid w:val="631B64D4"/>
    <w:multiLevelType w:val="hybridMultilevel"/>
    <w:lvl w:ilvl="0">
      <w:lvlJc w:val="left"/>
      <w:lvlText w:val="(%1)"/>
      <w:numFmt w:val="lowerLetter"/>
      <w:start w:val="1"/>
    </w:lvl>
  </w:abstractNum>
  <w:abstractNum w:abstractNumId="146">
    <w:nsid w:val="78B5E776"/>
    <w:multiLevelType w:val="hybridMultilevel"/>
    <w:lvl w:ilvl="0">
      <w:lvlJc w:val="left"/>
      <w:lvlText w:val="(%1)"/>
      <w:numFmt w:val="lowerLetter"/>
      <w:start w:val="1"/>
    </w:lvl>
  </w:abstractNum>
  <w:abstractNum w:abstractNumId="147">
    <w:nsid w:val="75486E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2019-12-10T08:34:07Z</dcterms:created>
  <dcterms:modified xsi:type="dcterms:W3CDTF">2019-12-10T08:34:07Z</dcterms:modified>
</cp:coreProperties>
</file>