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24, 2024 (June 20,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412"/>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20, 2024, ClearOne, Inc., a Delaware corporation (the “Company”), received a letter (the “Notice”) from the Listing Qualifications Department (the “Staff”) of the Nasdaq Stock Market (“Nasdaq”) informing the Company that because the closing bid price for the Company’s common stock listed on Nasdaq was below $1.00 for 30 consecutive trading days, the Company is not in compliance with the minimum bid price requirement for continued listing on the Nasdaq Capital Market, as set forth in Nasdaq Marketplace Rule 5550(a)(2) (the “Minimum Bid Price Requirement”).</w:t>
      </w:r>
    </w:p>
    <w:p>
      <w:pPr>
        <w:spacing w:after="0" w:line="4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accordance with Nasdaq Marketplace Rule 5810(c)(3)(A), the Company has a period of 180 calendar days from June 20, 2024, or until December 17, 2024, to regain compliance with the Minimum Bid Price Requirement. If at any time before December 17, 2024, the closing bid price of the Company’s common stock closes at or above $1.00 per share for a minimum of 10 consecutive trading days (which number days may be extended by Nasdaq), Nasdaq will provide written notification that the Company has achieved compliance with the Minimum Bid Price Requirement, and the matter would be resolved.</w:t>
      </w:r>
    </w:p>
    <w:p>
      <w:pPr>
        <w:spacing w:after="0" w:line="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Notice also disclosed that in the event the Company does not regain compliance with the Minimum Bid Price Requirement by December 17, 2024, the Company may be eligible for additional time. To qualify for additional time,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the Staff that the Company will not be able to cure the deficiency, or if the Company is otherwise not eligible, Nasdaq will provide notice that the Company’s securities will be subject to delisting.</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intends to continue actively monitoring the closing bid price for the Company’s common stock between now and December 17, 2024, and will consider available options to resolve the deficiency and regain compliance with the Minimum Bid Price Requirement. If the Company does not regain compliance within the allotted compliance period, including any extensions that may be granted by Nasdaq, Nasdaq will provide notice that the Company’s common stock will be subject to delisting. The Company would then be entitled to appeal that determination to a Nasdaq hearings panel. There can be no assurance that the Company will regain compliance with the Minimum Bid Price Requirement during the 180 day compliance period, secure a second period of 180 calendar days to regain compliance, or maintain compliance with the other Nasdaq listing requirements.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526"/>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13"/>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2024</w:t>
            </w: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228"/>
        </w:trPr>
        <w:tc>
          <w:tcPr>
            <w:tcW w:w="2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265"/>
        </w:trPr>
        <w:tc>
          <w:tcPr>
            <w:tcW w:w="29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2024-06-24T15:55:07Z</dcterms:created>
  <dcterms:modified xsi:type="dcterms:W3CDTF">2024-06-24T15:55:07Z</dcterms:modified>
</cp:coreProperties>
</file>