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4300" w:right="1660" w:hanging="4292"/>
        <w:spacing w:after="0" w:line="532" w:lineRule="auto"/>
        <w:tabs>
          <w:tab w:leader="none" w:pos="4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2008</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780" w:right="1280" w:hanging="3772"/>
        <w:spacing w:after="0" w:line="532" w:lineRule="auto"/>
        <w:tabs>
          <w:tab w:leader="none" w:pos="48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 to ________</w:t>
      </w:r>
    </w:p>
    <w:p>
      <w:pPr>
        <w:ind w:left="44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CLEARONE COMMUNICATIONS, INC.</w:t>
      </w:r>
    </w:p>
    <w:p>
      <w:pPr>
        <w:spacing w:after="0" w:line="3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3600" w:type="dxa"/>
        <w:tblCellMar>
          <w:top w:w="0" w:type="dxa"/>
          <w:left w:w="0" w:type="dxa"/>
          <w:bottom w:w="0" w:type="dxa"/>
          <w:right w:w="0" w:type="dxa"/>
        </w:tblCellMar>
      </w:tblPr>
      <w:tr>
        <w:trPr>
          <w:trHeight w:val="220"/>
        </w:trPr>
        <w:tc>
          <w:tcPr>
            <w:tcW w:w="2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Utah</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87-0398877</w:t>
            </w:r>
          </w:p>
        </w:tc>
      </w:tr>
      <w:tr>
        <w:trPr>
          <w:trHeight w:val="216"/>
        </w:trPr>
        <w:tc>
          <w:tcPr>
            <w:tcW w:w="2460" w:type="dxa"/>
            <w:vAlign w:val="bottom"/>
          </w:tcPr>
          <w:p>
            <w:pPr>
              <w:jc w:val="center"/>
              <w:ind w:right="230"/>
              <w:spacing w:after="0"/>
              <w:rPr>
                <w:sz w:val="20"/>
                <w:szCs w:val="20"/>
                <w:color w:val="auto"/>
              </w:rPr>
            </w:pPr>
            <w:r>
              <w:rPr>
                <w:rFonts w:ascii="Arial" w:cs="Arial" w:eastAsia="Arial" w:hAnsi="Arial"/>
                <w:sz w:val="18"/>
                <w:szCs w:val="18"/>
                <w:color w:val="auto"/>
                <w:w w:val="93"/>
              </w:rPr>
              <w:t>(State or other jurisdiction of</w:t>
            </w:r>
          </w:p>
        </w:tc>
        <w:tc>
          <w:tcPr>
            <w:tcW w:w="1660" w:type="dxa"/>
            <w:vAlign w:val="bottom"/>
          </w:tcPr>
          <w:p>
            <w:pPr>
              <w:jc w:val="center"/>
              <w:ind w:left="21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210"/>
              <w:spacing w:after="0"/>
              <w:rPr>
                <w:sz w:val="20"/>
                <w:szCs w:val="20"/>
                <w:color w:val="auto"/>
              </w:rPr>
            </w:pPr>
            <w:r>
              <w:rPr>
                <w:rFonts w:ascii="Arial" w:cs="Arial" w:eastAsia="Arial" w:hAnsi="Arial"/>
                <w:sz w:val="18"/>
                <w:szCs w:val="18"/>
                <w:color w:val="auto"/>
                <w:w w:val="92"/>
              </w:rPr>
              <w:t>incorporation or organization)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0940"/>
          </w:cols>
          <w:pgMar w:left="240" w:top="1040" w:right="719" w:bottom="1440" w:gutter="0" w:footer="0" w:header="0"/>
        </w:sectPr>
      </w:pPr>
    </w:p>
    <w:p>
      <w:pPr>
        <w:spacing w:after="0" w:line="238" w:lineRule="exact"/>
        <w:rPr>
          <w:sz w:val="24"/>
          <w:szCs w:val="24"/>
          <w:color w:val="auto"/>
        </w:rPr>
      </w:pPr>
    </w:p>
    <w:p>
      <w:pPr>
        <w:jc w:val="center"/>
        <w:ind w:left="1840"/>
        <w:spacing w:after="0"/>
        <w:rPr>
          <w:sz w:val="20"/>
          <w:szCs w:val="20"/>
          <w:color w:val="auto"/>
        </w:rPr>
      </w:pPr>
      <w:r>
        <w:rPr>
          <w:rFonts w:ascii="Arial" w:cs="Arial" w:eastAsia="Arial" w:hAnsi="Arial"/>
          <w:sz w:val="16"/>
          <w:szCs w:val="16"/>
          <w:color w:val="auto"/>
        </w:rPr>
        <w:t>Securities registered under Section 12(b) of the Act:</w:t>
      </w:r>
    </w:p>
    <w:p>
      <w:pPr>
        <w:spacing w:after="0" w:line="46" w:lineRule="exact"/>
        <w:rPr>
          <w:sz w:val="24"/>
          <w:szCs w:val="24"/>
          <w:color w:val="auto"/>
        </w:rPr>
      </w:pPr>
    </w:p>
    <w:p>
      <w:pPr>
        <w:jc w:val="center"/>
        <w:ind w:left="184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271" w:lineRule="exact"/>
        <w:rPr>
          <w:sz w:val="24"/>
          <w:szCs w:val="24"/>
          <w:color w:val="auto"/>
        </w:rPr>
      </w:pPr>
    </w:p>
    <w:p>
      <w:pPr>
        <w:sectPr>
          <w:pgSz w:w="11900" w:h="16838" w:orient="portrait"/>
          <w:cols w:equalWidth="0" w:num="2">
            <w:col w:w="5600" w:space="520"/>
            <w:col w:w="4820"/>
          </w:cols>
          <w:pgMar w:left="240" w:top="1040" w:right="719" w:bottom="1440" w:gutter="0" w:footer="0" w:header="0"/>
          <w:type w:val="continuous"/>
        </w:sectPr>
      </w:pPr>
    </w:p>
    <w:p>
      <w:pPr>
        <w:ind w:left="244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Capital Market</w:t>
      </w:r>
    </w:p>
    <w:p>
      <w:pPr>
        <w:spacing w:after="0" w:line="200" w:lineRule="exact"/>
        <w:rPr>
          <w:sz w:val="24"/>
          <w:szCs w:val="24"/>
          <w:color w:val="auto"/>
        </w:rPr>
      </w:pPr>
    </w:p>
    <w:p>
      <w:pPr>
        <w:sectPr>
          <w:pgSz w:w="11900" w:h="16838" w:orient="portrait"/>
          <w:cols w:equalWidth="0" w:num="2">
            <w:col w:w="5820" w:space="720"/>
            <w:col w:w="4400"/>
          </w:cols>
          <w:pgMar w:left="240" w:top="1040" w:right="719" w:bottom="1440" w:gutter="0" w:footer="0" w:header="0"/>
          <w:type w:val="continuous"/>
        </w:sectPr>
      </w:pPr>
    </w:p>
    <w:p>
      <w:pPr>
        <w:spacing w:after="0" w:line="64"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8"/>
          <w:szCs w:val="18"/>
          <w:b w:val="1"/>
          <w:bCs w:val="1"/>
          <w:color w:val="auto"/>
        </w:rPr>
        <w:t>None</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85"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792480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040" w:right="71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20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“larger accelerated filer,” “accelerated filer” and “smaller reporting company” in Rule 12b-2 of the Exchange Act. (Check one):</w:t>
      </w:r>
    </w:p>
    <w:p>
      <w:pPr>
        <w:spacing w:after="0" w:line="118" w:lineRule="exact"/>
        <w:rPr>
          <w:sz w:val="20"/>
          <w:szCs w:val="20"/>
          <w:color w:val="auto"/>
        </w:rPr>
      </w:pPr>
    </w:p>
    <w:p>
      <w:pPr>
        <w:ind w:right="3780"/>
        <w:spacing w:after="0" w:line="240"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 Smaller Reporting Company </w:t>
      </w:r>
      <w:r>
        <w:rPr>
          <w:rFonts w:ascii="MS PGothic" w:cs="MS PGothic" w:eastAsia="MS PGothic" w:hAnsi="MS PGothic"/>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2" w:lineRule="exact"/>
        <w:rPr>
          <w:sz w:val="20"/>
          <w:szCs w:val="20"/>
          <w:color w:val="auto"/>
        </w:rPr>
      </w:pPr>
    </w:p>
    <w:p>
      <w:pPr>
        <w:spacing w:after="0" w:line="207" w:lineRule="exact"/>
        <w:tabs>
          <w:tab w:leader="none" w:pos="1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shares of voting common stock held by non-affiliates was approximately $48,415,000 at December 31, 2007, based on the $5.42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September 9, 2008 was 10,230,968.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Portions of the definitive proxy statement for the Annual Meeting of Shareholders to be held November 14, 2008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386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920" w:type="dxa"/>
            <w:vAlign w:val="bottom"/>
            <w:tcBorders>
              <w:bottom w:val="single" w:sz="8" w:color="CCEEFF"/>
            </w:tcBorders>
            <w:gridSpan w:val="7"/>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BUSINESS</w:t>
            </w: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1A.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RISK FACTORS</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1B.</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UNRESOLVED STAFF COMMENTS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PROPERTIES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LEGAL PROCEEDINGS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SUBMISSION OF MATTERS TO A VOTE OF SECURITY HOLDERS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8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860" w:type="dxa"/>
            <w:vAlign w:val="bottom"/>
            <w:tcBorders>
              <w:top w:val="single" w:sz="8" w:color="CCEEFF"/>
            </w:tcBorders>
            <w:gridSpan w:val="6"/>
          </w:tcPr>
          <w:p>
            <w:pPr>
              <w:spacing w:after="0"/>
              <w:rPr>
                <w:sz w:val="15"/>
                <w:szCs w:val="15"/>
                <w:color w:val="auto"/>
              </w:rPr>
            </w:pPr>
          </w:p>
        </w:tc>
        <w:tc>
          <w:tcPr>
            <w:tcW w:w="8940" w:type="dxa"/>
            <w:vAlign w:val="bottom"/>
            <w:tcBorders>
              <w:top w:val="single" w:sz="8" w:color="CCEEFF"/>
            </w:tcBorders>
          </w:tcPr>
          <w:p>
            <w:pPr>
              <w:ind w:left="400"/>
              <w:spacing w:after="0" w:line="176" w:lineRule="exact"/>
              <w:rPr>
                <w:sz w:val="20"/>
                <w:szCs w:val="20"/>
                <w:color w:val="auto"/>
              </w:rPr>
            </w:pPr>
            <w:r>
              <w:rPr>
                <w:rFonts w:ascii="Arial" w:cs="Arial" w:eastAsia="Arial" w:hAnsi="Arial"/>
                <w:sz w:val="18"/>
                <w:szCs w:val="18"/>
                <w:color w:val="auto"/>
                <w:w w:val="98"/>
              </w:rPr>
              <w:t>MARKET FOR REGISTRANT’S COMMON EQUITY, RELATED STOCKHOLDER MATTERS, AND ISSUER</w:t>
            </w:r>
          </w:p>
        </w:tc>
        <w:tc>
          <w:tcPr>
            <w:tcW w:w="920" w:type="dxa"/>
            <w:vAlign w:val="bottom"/>
            <w:tcBorders>
              <w:top w:val="single" w:sz="8" w:color="CCEEFF"/>
            </w:tcBorders>
          </w:tcPr>
          <w:p>
            <w:pPr>
              <w:jc w:val="center"/>
              <w:ind w:left="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PURCHASES OF EQUITY SECURITIES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SELECTED FINANCIAL DATA</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7.</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ITEM 7A.</w:t>
              </w:r>
            </w:hyperlink>
          </w:p>
        </w:tc>
        <w:tc>
          <w:tcPr>
            <w:tcW w:w="800" w:type="dxa"/>
            <w:vAlign w:val="bottom"/>
            <w:tcBorders>
              <w:bottom w:val="single" w:sz="8" w:color="CCEEFF"/>
            </w:tcBorders>
            <w:gridSpan w:val="3"/>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8.</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FINANCIAL STATEMENTS AND SUPPLEMENTAL DATA</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9.</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CHANGE IN AND DISAGREEMENTS WITH ACCOUNTANTS ON ACCOUNTING AND FINANCIAL</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DISCLOSURE</w:t>
            </w:r>
          </w:p>
        </w:tc>
        <w:tc>
          <w:tcPr>
            <w:tcW w:w="9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9A.</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CONTROLS AND PROCEDURES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ITEM 9B.</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OTHER INFORMATION</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PART III.</w:t>
              </w:r>
            </w:hyperlink>
          </w:p>
        </w:tc>
        <w:tc>
          <w:tcPr>
            <w:tcW w:w="780" w:type="dxa"/>
            <w:vAlign w:val="bottom"/>
            <w:tcBorders>
              <w:bottom w:val="single" w:sz="8" w:color="CCEEFF"/>
            </w:tcBorders>
            <w:gridSpan w:val="2"/>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10.</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DIRECTORS AND EXECUTIVE OFFICERS OF THE REGISTRANT</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ITEM 11.</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EXECUTIVE COMPENSATION</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12.</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STOCKHOLDER MATTERS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ITEM 13.</w:t>
              </w:r>
            </w:hyperlink>
          </w:p>
        </w:tc>
        <w:tc>
          <w:tcPr>
            <w:tcW w:w="840" w:type="dxa"/>
            <w:vAlign w:val="bottom"/>
            <w:tcBorders>
              <w:bottom w:val="single" w:sz="8" w:color="CCEEFF"/>
            </w:tcBorders>
            <w:gridSpan w:val="5"/>
            <w:shd w:val="clear" w:color="auto" w:fill="CCEEFF"/>
          </w:tcPr>
          <w:p>
            <w:pPr>
              <w:spacing w:after="0"/>
              <w:rPr>
                <w:sz w:val="17"/>
                <w:szCs w:val="17"/>
                <w:color w:val="auto"/>
              </w:rPr>
            </w:pPr>
          </w:p>
        </w:tc>
        <w:tc>
          <w:tcPr>
            <w:tcW w:w="8940" w:type="dxa"/>
            <w:vAlign w:val="bottom"/>
            <w:tcBorders>
              <w:bottom w:val="single" w:sz="8" w:color="CCEEFF"/>
            </w:tcBorders>
            <w:shd w:val="clear" w:color="auto" w:fill="CCEEFF"/>
          </w:tcPr>
          <w:p>
            <w:pPr>
              <w:ind w:left="400"/>
              <w:spacing w:after="0" w:line="176" w:lineRule="exact"/>
              <w:rPr>
                <w:sz w:val="20"/>
                <w:szCs w:val="20"/>
                <w:color w:val="auto"/>
              </w:rPr>
            </w:pPr>
            <w:r>
              <w:rPr>
                <w:rFonts w:ascii="Arial" w:cs="Arial" w:eastAsia="Arial" w:hAnsi="Arial"/>
                <w:sz w:val="18"/>
                <w:szCs w:val="18"/>
                <w:color w:val="auto"/>
              </w:rPr>
              <w:t>CERTAIN RELATIONSHIPS AND RELATED TRANSACTIONS</w:t>
            </w: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14.</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PRINCIPAL ACCOUNTANT FEES AND SERVICES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IV.</w:t>
              </w:r>
            </w:hyperlink>
          </w:p>
        </w:tc>
        <w:tc>
          <w:tcPr>
            <w:tcW w:w="8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15.</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EXHIBITS AND FINANCIAL STATEMENT SCHEDULES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SIGNATURES</w:t>
              </w:r>
            </w:hyperlink>
          </w:p>
        </w:tc>
        <w:tc>
          <w:tcPr>
            <w:tcW w:w="89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1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 xml:space="preserve">ClearOne was formed as a Utah corporation in 1983 organized under the laws of the State of Utah. Our website address is </w:t>
      </w:r>
      <w:r>
        <w:rPr>
          <w:rFonts w:ascii="Arial" w:cs="Arial" w:eastAsia="Arial" w:hAnsi="Arial"/>
          <w:sz w:val="16"/>
          <w:szCs w:val="16"/>
          <w:u w:val="single" w:color="auto"/>
          <w:color w:val="auto"/>
        </w:rPr>
        <w:t>www.clearone.com</w:t>
      </w:r>
      <w:r>
        <w:rPr>
          <w:rFonts w:ascii="Arial" w:cs="Arial" w:eastAsia="Arial" w:hAnsi="Arial"/>
          <w:sz w:val="16"/>
          <w:szCs w:val="16"/>
          <w:color w:val="auto"/>
        </w:rPr>
        <w:t>. Our annual reports on Form 10-K, quarterly reports on Form 10-Q, current reports on Form 8-K, and amendments to such reports are available, free of charge, on our website as soon as reasonably practicable after we file electronically such material with, or furnish it to, the Securities and Exchange Commission.</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4" w:name="page5"/>
    <w:bookmarkEnd w:id="4"/>
    <w:p>
      <w:pPr>
        <w:ind w:right="16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“Items 1A, Risk Factors”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currently participates in the following audio conferencing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156845</wp:posOffset>
            </wp:positionV>
            <wp:extent cx="210947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9470" cy="188595"/>
                    </a:xfrm>
                    <a:prstGeom prst="rect">
                      <a:avLst/>
                    </a:prstGeom>
                    <a:noFill/>
                  </pic:spPr>
                </pic:pic>
              </a:graphicData>
            </a:graphic>
          </wp:anchor>
        </w:drawing>
      </w:r>
    </w:p>
    <w:p>
      <w:pPr>
        <w:spacing w:after="0" w:line="227" w:lineRule="exact"/>
        <w:rPr>
          <w:sz w:val="20"/>
          <w:szCs w:val="20"/>
          <w:color w:val="auto"/>
        </w:rPr>
      </w:pPr>
    </w:p>
    <w:tbl>
      <w:tblPr>
        <w:tblLayout w:type="fixed"/>
        <w:tblInd w:w="231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b w:val="1"/>
                <w:bCs w:val="1"/>
                <w:color w:val="auto"/>
              </w:rPr>
              <w:t>Market</w:t>
            </w:r>
          </w:p>
        </w:tc>
        <w:tc>
          <w:tcPr>
            <w:tcW w:w="35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Typical Number of Participants</w:t>
            </w:r>
          </w:p>
        </w:tc>
      </w:tr>
      <w:tr>
        <w:trPr>
          <w:trHeight w:val="243"/>
        </w:trPr>
        <w:tc>
          <w:tcPr>
            <w:tcW w:w="112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2"/>
              </w:rPr>
              <w:t>Professional Conferencing:</w:t>
            </w:r>
          </w:p>
        </w:tc>
        <w:tc>
          <w:tcPr>
            <w:tcW w:w="35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20-200</w:t>
            </w:r>
          </w:p>
        </w:tc>
      </w:tr>
      <w:tr>
        <w:trPr>
          <w:trHeight w:val="250"/>
        </w:trPr>
        <w:tc>
          <w:tcPr>
            <w:tcW w:w="112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43"/>
        </w:trPr>
        <w:tc>
          <w:tcPr>
            <w:tcW w:w="112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Premium Conferencing</w:t>
            </w:r>
          </w:p>
        </w:tc>
        <w:tc>
          <w:tcPr>
            <w:tcW w:w="35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8-30</w:t>
            </w:r>
          </w:p>
        </w:tc>
      </w:tr>
      <w:tr>
        <w:trPr>
          <w:trHeight w:val="250"/>
        </w:trPr>
        <w:tc>
          <w:tcPr>
            <w:tcW w:w="112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43"/>
        </w:trPr>
        <w:tc>
          <w:tcPr>
            <w:tcW w:w="112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Tabletop Conferencing</w:t>
            </w:r>
          </w:p>
        </w:tc>
        <w:tc>
          <w:tcPr>
            <w:tcW w:w="35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1-30</w:t>
            </w:r>
          </w:p>
        </w:tc>
      </w:tr>
      <w:tr>
        <w:trPr>
          <w:trHeight w:val="250"/>
        </w:trPr>
        <w:tc>
          <w:tcPr>
            <w:tcW w:w="112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43"/>
        </w:trPr>
        <w:tc>
          <w:tcPr>
            <w:tcW w:w="112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Personal Conferencing</w:t>
            </w:r>
          </w:p>
        </w:tc>
        <w:tc>
          <w:tcPr>
            <w:tcW w:w="35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1-15</w:t>
            </w:r>
          </w:p>
        </w:tc>
      </w:tr>
      <w:tr>
        <w:trPr>
          <w:trHeight w:val="243"/>
        </w:trPr>
        <w:tc>
          <w:tcPr>
            <w:tcW w:w="1120" w:type="dxa"/>
            <w:vAlign w:val="bottom"/>
            <w:tcBorders>
              <w:left w:val="single" w:sz="8" w:color="auto"/>
              <w:bottom w:val="single" w:sz="8" w:color="auto"/>
            </w:tcBorders>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goal is to maintain our market leadership in the professional or installed segment of the audio conferencing systems market, continue building on our leadership in premium conferencing, the conferencing category we created, further penetrating the tabletop conferencing space and continue evaluating the best method for marketing and gaining traction in the personal conferencing market. We will continue to improve our existing high-quality products and develop additional new products as we build on what we believe to be the most advanced, highest-quality and most complete audio conferencing product line on the market. The principal components of our strategy to achieve this goal are set forth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and markets we serve.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provide our customers with audio conferencing products that offer high value, we are focused on listening to our customers and delivering products to meet their needs. By offering high quality products that are designed to solve conferencing ease-of-use issues and are easy to install, configure, and maintain, we believe we can provide greater value to our customers and enhance business communications and decision making.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 or VoIP), high definition audio, wireless connectivity, the convergence of voice and data networks, exploring new application models for our premium and personal audio conferencing technologies, and developing products based on internationally accepted standards and protocols.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and strengthen sales channels</w:t>
      </w:r>
    </w:p>
    <w:p>
      <w:pPr>
        <w:spacing w:after="0" w:line="25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continue to expand and strengthen domestic and international sales channels through the addition of key distributors and dealers that expand beyond our traditional audio-video channels that carry our professional conferencing line. We continue to direct significant sales efforts toward channel partners who are focused on the tabletop conferencing space. We also continue to strengthen our presence within the telephony reseller channel, which is best suited to sell our RAV premium conferencing systems, MAX tabletop conference phones, and CHAT personal conferencing products.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offer the industry’s most complete audio conferencing product line, including the following:</w:t>
      </w:r>
    </w:p>
    <w:p>
      <w:pPr>
        <w:spacing w:after="0" w:line="252" w:lineRule="exact"/>
        <w:rPr>
          <w:sz w:val="20"/>
          <w:szCs w:val="20"/>
          <w:color w:val="auto"/>
        </w:rPr>
      </w:pPr>
    </w:p>
    <w:p>
      <w:pPr>
        <w:ind w:left="66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Professionally installed audio conferencing systems that are used in executive boardrooms, courtrooms, hospitals, and auditoriums that integrate with all leading video and telepresence systems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Premium conferencing systems that integrate with video and web conferencing systems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Personal conferencing devices that enable hands-free audio communications in new ways that have never before been possible.</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plan to continue to broaden and expand our product offerings to meet the evolving needs of our customers, address changes in the markets we currently serve, and effectively target new markets for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52"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To stay on the leading edge of product and market developments, we plan to continue to identify partners with expertise in areas strategic to our growth objectives. We will work to develop partnerships with leaders in markets complimentary to conferencing who can benefit from our audio products and technologies and through whom we can access new market growth opportunities.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in using our products. We also dedicate significant resources to providing product training to our channel partners worldwide.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 is primarily focused on audio conferencing. We also previously operated in the conferencing services segment until July 1, 2004 (fiscal 2005), when we sold our conferencing services business to Clarinet, Inc., an affiliate of American Teleconferencing Services, Ltd. doing business as Premiere Conferencing and in the business services segment until March 4, 2005 (fiscal 2005), when we sold the remaining operations in that area to 6351352 Canada Inc., a Canada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Overview</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performance and reliability of our high-quality audio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hospitals, classrooms, and auditoriums, to premium conferencing systems that interface with video and web conferencing systems, to tabletop conference phones used in conference rooms and offices, and to personal conferencing devices that can be used with laptops and other portable devices. For each of the last three fiscal years, our professionally installed audio conferencing and tabletop conference phones have each contributed in excess of 15 percent of our consolidated revenue.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full-duplex audio. This enables natural communication between distant conferencing participants similar to that of being in the same room.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believe the principal drivers of demand for audio conferencing products are the following:</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availability of easy-to-use audio conferencing equipment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voice quality of audio conferencing systems compared to telephone handset speakerphones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Trending expansion of global, regional, and local corporate enterprises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expect to have a significant impact on the demand for audio conferencing systems include:</w:t>
      </w:r>
    </w:p>
    <w:p>
      <w:pPr>
        <w:spacing w:after="0" w:line="252"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 wider range of affordable audio conferencing products for small businesses and home offices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 toward deploying greater numbers of teleworkers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amount of travel within most enterprises for routine meetings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to the Internet Protocol, or IP, network from the traditional public switched telephone network, or PSTN and the deployment of VoIP applications</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space, the technological volatility of IP-based products, and continued pressures on enterprises to reduce spending.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been developing high-end, professionally installed audio conferencing products since 1991 and believe we have established strong brand recognition for these products worldwide. Our professional audio conferencing products include the Converge™ Pro, Converge Amplifiers, XAP® and Converge 560/590 product lines. The Converge SR 1212 product features similar technologies and is used for sound reinforcement applications.</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recently launched Converge Pro is expected to eventually replace the popular XAP® series of audio conferencing systems. The Converge Pro series delivers a significant feature set and performance improvements including unprecedented proprietary acoustical echo cancellation, noise cancellation, full duplex performance, enhanced management capabilities, and simplified configuration utilities. The Converge SR 1212 is a digital matrix mixer that provides advanced audio processing, microphone mixing, and routing for local sound reinforcement.</w:t>
      </w:r>
    </w:p>
    <w:p>
      <w:pPr>
        <w:spacing w:after="0" w:line="19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Converge Pro, XAP and SR 1212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customers asked for a professional audio solution that was less expensive and would fit the budgetary requirements for a mid-range conference room. The Converge 560 and Converge 590 professional conferencing systems fill this need. These products are positioned between our Professional and Premium conferencing product lines both in terms of functionality and price, and are an excellent fit for rooms requiring customized microphone and speaker configurations (up to nine microphones can be connected) along with connectivity to video and web conferencing systems. The Converge products also offer speech lift to amplify a presenter’s voice in the local room.</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2008, we introduced the Converge Amplifiers. There are two models of the Converge Amplifiers, the PA2250 and the PA4160. The PA 2250 is a two-channel amplifier that provides 250 watts per channel while the PA 4160 is a four-channel amplifier, providing 160 watts per channel. The PA 2250 and PA 4160, with their ample power and exceptional audio performance, satisfy the demand for high definition, multi-channel audio for conferencing, rich media presentations, and sound reinforcement applications.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ClearOne also offers a Tabletop Controller for the Converge Pro and XAP platforms. This affordable solution gives users the ability to easily start and navigate an audio conference without the need for touch panel control systems, which can be expensive, complex, or intimidating to users. The dial pad on the device resembles a telephone keypad for instant familiarity and users can dial a conference call as easily as dialing a telephone, with little or no training required. The Tabletop Controller can cost thousands less than touch-screen panel control systems and its simplified setup for the user-definable keys can save customers programming time and expense as well. Along with its sleek, functional design, this latest offering from ClearOne delivers what we believe to be the most cost-effective, attractive and easy-to-use control solution for Converge Pro and XAP systems on the market.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100"/>
        <w:spacing w:after="0" w:line="255" w:lineRule="auto"/>
        <w:rPr>
          <w:sz w:val="20"/>
          <w:szCs w:val="20"/>
          <w:color w:val="auto"/>
        </w:rPr>
      </w:pPr>
      <w:r>
        <w:rPr>
          <w:rFonts w:ascii="Arial" w:cs="Arial" w:eastAsia="Arial" w:hAnsi="Arial"/>
          <w:sz w:val="18"/>
          <w:szCs w:val="18"/>
          <w:color w:val="auto"/>
        </w:rPr>
        <w:t>In March 2007, Frost and Sullivan, an analyst group that focuses on the conferencing industry, awarded ClearOne their 2007 Product Line Strategy Award. This award is presented each year to a company that has demonstrated the most insight into customer needs and product demands within their industry, and has optimized its product line by leveraging products with the various price, performance, and feature points required by the market. Frost &amp; Sullivan noted that ClearOne is now firmly focused on developing and marketing a broad and comprehensive portfolio of best-in-class audio conferencing products, from professional audio systems, through to tabletop products and VoIP personal conferencing PC peripherals. They also lauded ClearOne's strategy in expanding its portfolio, leveraging its technology leadership in the professional audio space with its market-leading XAP, Converge 560/590, and Converge Pro product lines.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Systems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2004, we have provided our RAV audio conferencing system which is a complete, out-of-the-box system that includes an audio mixer, Bose® loudspeakers, microphones, and a control device that can be either wired or wireless. The RAV product uniquely combines the sound quality of a professionally installed audio system with the simplicity of a conference phone and can be easily connected to rich-media devices, such as video or web conferencing systems, to deliver enhanced audio performance. RAV is strategically positioned between our professional and tabletop conferencing systems in price and functionality, and fills an important audio conferencing application need for rooms requiring integration of high-end audio quality with web or video conferencing.</w:t>
      </w:r>
    </w:p>
    <w:p>
      <w:pPr>
        <w:spacing w:after="0" w:line="22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Distributed Echo Cancellation, noise cancellation, microphone gating, and a drag-and-drop graphical user interface for easy system setup, control, and management.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2003 we have provided our MAX line of tabletop conferencing phones. These phones encapsulate the high-end echo cancellation, noise cancellation, and audio processing technologies found in our professional audio conferencing products.</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 product line is comprised of four product families: the MAX® EX, MAXAttach™; MAX Wireless, MAXAttach Wireless; and MAX IP™, MAXAttach IP™ tabletop conferencing phones. MAX Wireless was the industry’s first wireless conferencing phone. Designed for use in executive offices or small conference rooms with multiple participants, MAX Wireless can be moved from room to room within 150 feet of its base station. MAXAttach Wireless began shipping in May 2005 and was the industry’s first and only dual-phone, completely wireless solution. This system gives customers tremendous flexibility in covering larger conference room areas.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MAX EX and MAXAttach wired phones feature a unique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separated and used as single phones in smaller conference rooms.</w:t>
      </w:r>
    </w:p>
    <w:p>
      <w:pPr>
        <w:spacing w:after="0" w:line="214"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Our latest additions to the MAX family are the MAX IP and MAXAttach IP, ClearOne’s first VoIP tabletop conference phones, which are based on the industry-standard SIP signaling protocol. These phones feature the same ability to daisy-chain up to four phones together, providing outstanding room coverage that other VoIP conference phones on the market cannot match.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Conferencing Products</w:t>
      </w:r>
    </w:p>
    <w:p>
      <w:pPr>
        <w:spacing w:after="0" w:line="25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April 2006, we began shipping the CHAT™ 50 personal speaker phone. This revolutionary crossover technology delivers ClearOne’s trademark crystal-clear full-duplex audio performance, and can be used in a variety of applications with a wide number of devices including the following: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left="1140"/>
        <w:spacing w:after="0"/>
        <w:rPr>
          <w:sz w:val="20"/>
          <w:szCs w:val="20"/>
          <w:color w:val="auto"/>
        </w:rPr>
      </w:pPr>
      <w:r>
        <w:rPr>
          <w:rFonts w:ascii="Arial" w:cs="Arial" w:eastAsia="Arial" w:hAnsi="Arial"/>
          <w:sz w:val="18"/>
          <w:szCs w:val="18"/>
          <w:color w:val="auto"/>
        </w:rPr>
        <w:t>PCs &amp; Macs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Cell phones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Telephones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iPods &amp; MP3 players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Desktop video conferencing</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VoIP telephony applications such as Skype &amp; Vonage; enterprise softphones; audio for web-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videoconferencing applications; gaming; audio playback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Connects to the 2.5mm headset jack of many cell phones for hands-free, full-duplex audio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conferencing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Connects to the headset jack (certain phone models) for hands-free, full-duplex audio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conferencing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full-bandwidth audio playback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hands-free, full-duplex audio conferencing</w:t>
      </w:r>
    </w:p>
    <w:p>
      <w:pPr>
        <w:spacing w:after="0" w:line="416" w:lineRule="exact"/>
        <w:rPr>
          <w:sz w:val="20"/>
          <w:szCs w:val="20"/>
          <w:color w:val="auto"/>
        </w:rPr>
      </w:pPr>
    </w:p>
    <w:p>
      <w:pPr>
        <w:sectPr>
          <w:pgSz w:w="11900" w:h="16838" w:orient="portrait"/>
          <w:cols w:equalWidth="0" w:num="2">
            <w:col w:w="3180" w:space="140"/>
            <w:col w:w="8080"/>
          </w:cols>
          <w:pgMar w:left="240" w:top="1003" w:right="25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Through public relations efforts by ClearOne, the CHAT 50 has garnered significant media coverage and won PC Magazine’s Editors’ Choice Award.</w:t>
      </w: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CHAT 150 began shipping in January 2007 and is the latest product to join ClearOne’s personal conferencing category. It offers many of the same connectivity options as the CHAT 50, but comes in a larger form factor and features three microphones compared to the single microphone on the CHAT 50 for use by a larger number of participants. The CHAT 150 connects to enterprise telephone handsets, PCs, and video conferencing systems. ClearOne believes the primary opportunity for the CHAT 150 is in connecting to the enterprise handset. Customers will now have the ability to add a high-quality, full-duplex speaker phone to their handsets, and still retain the full functionality that comes with today’s handsets, including access to company directory, voicemail access, audio bridge functions, and other features.</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CHAT 50 and CHAT 150 have also become popular with large enterprises and other software and hardware vendors due to their audio quality and flexibility. Several large enterprise customers bundle the CHAT products with a video conferencing system that they provide to their remote employees. We also have OEM agreements with several manufacturers who have chosen the CHAT products as the preferred audio endpoint to their video conferencing equipment or web collaboration software.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complement our audio conferencing products with microphones, conferencing-specific furniture, and until August 2006, document and education cameras. Our wide selection of wood, metal, and laminate conferencing furniture features audiovisual carts; plasma screen carts and pedestals; and video conferencing carts, tables, cabinets, and podiums.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use a two-tier channel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value-added resellers, and end-users.</w:t>
      </w:r>
    </w:p>
    <w:p>
      <w:pPr>
        <w:spacing w:after="0" w:line="21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fiscal 2008, approximately $27.8 million, or 70 percent, of our total product sales were generated in the United States and product sales of approximately $11.9 million, or 30 percent, were generated outside the United States. Revenue from product customers outside of the United States accounted for approximately 29 percent of our total product sales from continuing operations for fiscal 2007 and 28 percent for fiscal 2006. We sell our products in more than 70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our products directly to approximately 70 distributors throughout the world. Distributors purchase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25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distributors sell our products worldwide to approximately 1,000 independent systems integrators, telephony value-added resellers, IT value-added resellers, and PC dealers on a non-exclusive basis. While dealers, resellers, and systems integrators all sell our products directly to the end-users, systems integrators typically add significant value to each sale by combining our products with products from other manufacturers as part of an integrated system solution. Dealers and value-added resellers usually buy our products from distributors and may bundle our products with products from other manufacturers for resale to the end-user. We maintain close working ties in the field with our reseller partners and offer them education and training on all of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Much of our marketing effort is done in conjunction with our channel partners, who provide leverage for ClearOne in reaching customers and prospective customers worldwide. We also regularly attend industry forums and exhibit our products at trade shows, including the following:</w:t>
      </w:r>
    </w:p>
    <w:p>
      <w:pPr>
        <w:spacing w:after="0" w:line="174" w:lineRule="exact"/>
        <w:rPr>
          <w:sz w:val="20"/>
          <w:szCs w:val="20"/>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InfoComm – the AV industry’s largest trade show. In June 2008 we had a strong presence at InfoComm, where we highlighted a significant number of new products.</w:t>
      </w:r>
    </w:p>
    <w:p>
      <w:pPr>
        <w:spacing w:after="0" w:line="197"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Systems Contractors Association – this show focuses on the sound reinforcement industry, and we highlight our professional audio conferencing products.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 Integrator trade shows – we regularly invest and participate in trade shows hosted by our partners, namely system integrators.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there are multiple regional and international shows that we attend along with our channel partners. These shows provide exposure for ClearOne’s brand and products to the wide audience of show attendees.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also have a highly-focused public relations effort to get editorial coverage on ClearOne’s products in industry and non-industry publications alike.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any end-user accounted for more than 10 percent of our total revenue during fiscal 2008, 2007, or 2006. In fiscal 2008, revenues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included sales to three distributors that represented approximately 60 percent of total revenue. Each of these three distributors, NewComm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Distributing, Starin Marketing and VSO Marketing, accounted for more than 10 percent of consolidated revenue. As discussed above, these distributors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facilitate product sales to a large number of resellers, and subsequently to their end-users. Nevertheless, the loss of one or more distributors could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and have a material adverse effect on our business and results of operations. As of June 30, 2008, our shipped orders on which we had not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were $4.6 million and our backlog of unshipped orders was $1.1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t>Our competitors vary within each product category. We believe we are able to differentiate ourselves and therefore successfully compete as a result of the high audio quality of our products resulting from our proprietary audio signal processing technologies and technical support services as well as the strength of our brand, particularly in the professional conferencing space.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factors driving sales are the following:</w:t>
      </w:r>
    </w:p>
    <w:p>
      <w:pPr>
        <w:spacing w:after="0" w:line="252"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channel partnerships;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communicate the differentiated value-added features of our products through sales and marketing efforts;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design, quality, and functionality of products;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of brand name recognition;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penetration of distribution channels;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of customer support;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customer base.</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professional audio conferencing systems and sound reinforcement markets, our main competitors include Polycom, Biamp Systems, Lectrosonics, Peavey, Shure, and WideBand Solutions, with several other companies potentially poised to enter the market. According to industry sources, we have held the largest share of the installed segment of the conferencing systems market for many years, which we target with our professional audio conferencing products. ClearOne uniquely contributed to the professional conferencing space with the introduction of the Audio Perfect (“AP”) product line a number of years ago, followed by the XAP and continue the tradition of offering state of the art, differentiated professional product with the introduction of Converge Pro. We believe we continue to enjoy a strong reputation with the AV integrators and AV consultants for our product features, audio quality, and technical support.</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call premium conferencing. RAV is a unique product with capabilities we do not believe can be found on any other competing system.</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tabletop conferencing space, our primary competitors are Polycom, Aethra, Konftel, LifeSize, Panasonic, and a number of other smaller manufacturers. Despite having been in this space for a relatively short time, we quickly grew and continue to enjoy the number two position worldwide, second to the incumbent, Polycom. We believe we have obtained the number two position as a result of differentiating our MAX products on a number of fronts; they are more competitively priced than Polycom’s comparable products; MAX encapsulates our proprietary digital signal processing technologies which we believe are the most advanced in the industry; and our unique ability to attach or daisy chain multiple phones together for increased coverage has given us opportunities to solve customer problems that our competition cannot currently solve.</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personal conferencing space has seen a number of new entries. Our primary competitors in the personal conferencing space are Polycom, Actiontec, Iogear, mVox, Phoenix, and USRobotics. We believe that our CHAT 50 and CHAT 150 offer unique and distinct advantages in their superior audio performance and their abilities to connect to multiple devices and to be used in multiple scenarios. Our microphones compete with the products of Audio Technica, Global Media, Harmon Music, Shure, and others. Our conferencing furniture products compete primarily with the products of Accuwood, Comlink, and Video Furniture International.</w:t>
      </w:r>
    </w:p>
    <w:p>
      <w:pPr>
        <w:spacing w:after="0" w:line="215"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We cannot provide assurance that we will continue to compete effectively in the markets we serve.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Regulatory Environment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Most of the components that we purchase from various vendors are readily available from a number of sources. Alternative sourcing of various components is continually underway. Vendors are qualified by Corporate Quality Assurance. We have a vendor quality monitoring program that includes routinely checking incoming material for conformance to specifications, as required per written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the second and fourth quarters. There can be no assurance that any historic sales patterns will continue and, as a result, sales for any prior quarter are not necessarily indicative of the sales to be expected in any future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$7.1 million in fiscal 2008, $7.5 million in fiscal 2007, and $8.3 million in fiscal 2006.</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core competencies in research and product development include many audio technologies, including telephone echo cancellation, acoustic echo cancellation, and noise cancellation. Our ability to use digital signal processing technology to perform audio processing operations is also a core competency. We also have in-house expertise in wireless technologies, VoIP, and software and network application development. We believe that ongoing development of our core technological competencies is vital to maintaining and increasing future sales of our products and to enhancing new and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third-party manufacturers.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long-term benefits from our manufacturing outsourcing strategy include the following:</w:t>
      </w:r>
    </w:p>
    <w:p>
      <w:pPr>
        <w:spacing w:after="0" w:line="252"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Avoidance of a significant investment in upgrading our manufacturing infrastructure;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RoHS-compliant manufacturing facilities;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Scalability in our manufacturing process without major investment or major restructuring costs;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Achievement of future cost reductions on manufacturing costs and inventory costs based upon increased economies of scale in material and labor; and</w:t>
      </w:r>
    </w:p>
    <w:p>
      <w:pPr>
        <w:ind w:left="660" w:right="20" w:hanging="139"/>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world class quality products by partnering with outsource manufacturers certified with International Organization of Standardization (ISO)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right="12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currently have about 30 patents that are issued, pending, or applied for that cover our conferencing products and technologies. The expiration dates of issued patents range from 2018 to 2025. We hold or have filed for over 70 trademarks. Registered trademarks include ClearOne, XAP, MAX, AccuMic, Audio Perfect, Distributed Echo Cancellation, Gentner, and others. We have also filed for trademarks for RAV, Converge, Chat, and others. We have received or filed for registered copyrights of certain of our source code for acoustic echo cancellation and other related audio signal processing algorithms.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2008, we had 103 employees, 100 of whom were employed on a full-time basis, with 36 in sales, marketing, and customer support; 37 in product development; 16 in operations support; and 14 in administration, including finance. Of these employees, 86 were located in our Salt Lake City office, 12 in other U.S. locations, two in the United Kingdom and three in Asia. None of our employees are subject to a collective bargaining agreement and we believe our relationship with our employees is good. We occasionally hire contractors with specific technology skill sets to meet project timelines.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fiscal year ended June 30, 2001, we completed the sale of the assets of the remote control portion of our RFM/Broadcast division to Burk Technology, Inc.. During fiscal 2005, we sold our conferencing services segment to Premiere and we sold our Canadian audiovisual integration services business to 6351352 Canada Inc. During fiscal 2006, we sold our document and educational camera product line to Ken-A-Vision Manufacturing Co. Inc. Each disposition is summarized below and is discussed in detail in the footnotes to the June 30, 2008 consolidated financial statements included in this report.</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Sale of Assets to Burk Technology. </w:t>
      </w:r>
      <w:r>
        <w:rPr>
          <w:rFonts w:ascii="Arial" w:cs="Arial" w:eastAsia="Arial" w:hAnsi="Arial"/>
          <w:sz w:val="16"/>
          <w:szCs w:val="16"/>
          <w:color w:val="auto"/>
        </w:rPr>
        <w:t>On April 12, 2001, we sold the assets of the remote control portion of our RFM/Broadcast division to Burk, a privately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pre-tax gain on the sale of $1.3 million for fiscal 2006, $187,000 for fiscal 2005, and $93,000 for fiscal 2004. 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sale was approximately $2.4 million.</w:t>
      </w:r>
    </w:p>
    <w:p>
      <w:pPr>
        <w:spacing w:after="0" w:line="1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Sale of our Conferencing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July 2004, we sold our conferencing services business segment to Premiere. Consideration for the sale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$21.3 million in cash. Of the purchase price, $300,000 was placed into a working capital escrow account and an addition $1.0 million was placed into an 18 month indemnity escrow account. We received the $300,000 working capital escrow funds approximately 90 days after the execution date of the agreement. We received the $1.0 million in the indemnity escrow account together with the $30,000 in related interest income in January 2006. Additionally, $1.4 million of the proceeds was utilized to pay off equipment leases pertaining to assets being conveyed to Premiere. We realized a pre-tax gain on the sale of $1.0 million in fiscal 2006 and $17.4 million in fiscal 2005.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6"/>
          <w:szCs w:val="16"/>
          <w:b w:val="1"/>
          <w:bCs w:val="1"/>
          <w:i w:val="1"/>
          <w:iCs w:val="1"/>
          <w:color w:val="auto"/>
        </w:rPr>
        <w:t>Sale of OM Video – Canadian Audiovisual Integration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March 2005, we sold all of the issued and outstanding stock of our Canadian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ClearOne Communications of Canada, Inc. (“ClearOne Canada”) to 6351352 Canada Inc., a Canada corporation. ClearOne Canada owned all the issued and outstanding stock of Stechyson Electronics, Ltd., which conducts business under the name OM Video. We agreed to sell the stock of ClearOne Canada for $200,000 in cash; a $1.3 million note receivable over a 15-month period, with interest accruing on the unpaid balance at the rate of 5.3 percent per year; and contingent consideration ranging from 3.0 percent to 4.0 percent of related gross revenues over a five-year period. In June 2005, we were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$50,000. During fiscal 2007, we reevaluated our options and concluded that its best course of action was to enforce our security and appoint a receiver over the assets of OM Video.</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Sale of our Document and Educational Camera Product Line. </w:t>
      </w:r>
      <w:r>
        <w:rPr>
          <w:rFonts w:ascii="Arial" w:cs="Arial" w:eastAsia="Arial" w:hAnsi="Arial"/>
          <w:sz w:val="17"/>
          <w:szCs w:val="17"/>
          <w:color w:val="auto"/>
        </w:rPr>
        <w:t>In August 2006, we sold our document and educational camera product line to Ken-A-Vision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2008 consolidated financial statements and related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17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Revenue for any particular time period are difficult to predict with any degree of certainty. We usually ship products within a short time after we receive an order; so consequently, unshipped backlog has not been a good indicator of future revenue. We believe that the current level of backlog will fluctuate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5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additional time to obtain regulatory approvals of new products in international markets. Such regulations may impact our ability to expand our sales in a timely and cost-effective manner and as a result our business could be harmed.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 the following:</w:t>
      </w:r>
    </w:p>
    <w:p>
      <w:pPr>
        <w:spacing w:after="0" w:line="193"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 could adversely affect our net revenue and profit margins.</w:t>
      </w:r>
    </w:p>
    <w:p>
      <w:pPr>
        <w:spacing w:after="0" w:line="20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taken delivery of the product(s) within the last 35 days. Our net revenue and profit margins could adversely be affected if we reduce product price(s) significantly and/or distributors happen to have significant inventory on-hand of the affected product at the time of a price reduction. Further, if we do not have sufficient cash resources to compensate distributors on terms satisfactory to them or us, our price protection obligations may prevent us from reacting quickly to competitive market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outsource the manufacture of all of our products to third-party 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fulfillment strategy.</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January 2008, we commenced the use of a third party supply chain management firm who manages the receiving, storing, picking, packing, shipping and inventory management of the majority of our products. If this firm experiences difficulties or interruptions in its operations preventing it from adequately fulfilling our products, we would experience a delay in shipping product to our customers which would negatively impact our revenues. Should there be any disruption in the third party’s services as a result of natural disaster, economic or political difficulties, quarantines, labor disputes, transportation restrictions, acts of terror or other similar events, such disruption would have a material adverse effect on our business. Currently, we do not have a second source for fulfillment of the majority of our products.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 merit of such claims. In the event of a claim, we might be required to license third-party technology or redesign our products, which may not be possible or economically feasible.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81"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third-party technology and license agreements.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grant credit to substantially all of our customers without requiring collateral.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52"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97" w:lineRule="exact"/>
        <w:rPr>
          <w:sz w:val="20"/>
          <w:szCs w:val="20"/>
          <w:color w:val="auto"/>
        </w:rPr>
      </w:pPr>
    </w:p>
    <w:p>
      <w:pPr>
        <w:ind w:left="66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2008, we had outstanding options to acquire approximately 1.2 million shares of our common stock at a weighted average exercise price of</w:t>
      </w:r>
    </w:p>
    <w:p>
      <w:pPr>
        <w:spacing w:after="0" w:line="4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$5.85 per share. An additional 996,000 shares remain available for grant under our 2007 Plan.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additional shares of our common stock could have a negative effect on the market price of our common stock.</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of substantial amounts of our common stock in the public market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7"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occupy a 36,279 square-foot facility in Salt Lake City, Utah under the terms of an operating lease expiring in December 2013 which supports our principal administrative, sales, marketing, customer support, and research and product development facility. We also occupy an approximate 6,500 square-foot facility in Salt Lake City under the terms of an operating lease expiring in December 2011 which supports our repair center. Finally, we lease an approximate 2,000 square-foot warehouse in Hong Kong under the terms of an operating lease expiring in February 2010 which supports our partners and customers located in the Asia-Pacific region.</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and after discussions with legal counsel, we do not believe any such other proceedings will have a material, adverse effect on our business, results of operations, financial position, or liquidity, except as described below.</w:t>
      </w: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ClearOne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As of August 21, 2008, these former officers have requested advancement of an additional $365,000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A trial date has been set for October 20, 2008 although we were informed on August 29, 2008 that the attorney’s representing the former officers filed a joint motion to continue the trial.</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We have accrued for legal fees and costs of the probable amount the Company was able to estimate of its contingent liability under the indemnification agreements at June 30, 2008. In accordance with Statement of Financial Accounting Standards No. 5, “Accounting for Contingencies”, we have accrued a total of $3.3 million, the balance of which was about $1.5 million at June 30, 2008 representing the probable amount that, as of the date of the financial statements, could be reasonably estimated of our contingent liability, through trial, under the indemnification agreements if required under applicable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law. The accrual is management’s best estimate of our contingent liability as of the date of the issuance of its financial statements. In accordance with SFAS No. 5, we will adjust our contingent liability, as necessary, to reflect the probable amount that can be reasonably estimated. Our actual liability may be higher or lower than management’s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b w:val="1"/>
          <w:bCs w:val="1"/>
          <w:i w:val="1"/>
          <w:iCs w:val="1"/>
          <w:color w:val="auto"/>
        </w:rPr>
        <w:t xml:space="preserve">Theft of Intellectual Property and Copyright Complaints. </w:t>
      </w:r>
      <w:r>
        <w:rPr>
          <w:rFonts w:ascii="Arial" w:cs="Arial" w:eastAsia="Arial" w:hAnsi="Arial"/>
          <w:sz w:val="17"/>
          <w:szCs w:val="17"/>
          <w:color w:val="auto"/>
        </w:rPr>
        <w:t>In January 2007, we filed a lawsuit in the Third Judicial District Court, Salt Lake County, State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Utah against WideBand Solutions, Inc. and two of its principals, one former employee named Dr. Jun Yang, and one previously affiliated with an entity which sold certain assets to us (the “Intellectual Property Case”). ClearOne also brought claims against Biamp Systems Corporation, Inc. The matter was subsequently removed to federal court, the United States District Court, District of Utah, Central Division. The case is styled </w:t>
      </w:r>
      <w:r>
        <w:rPr>
          <w:rFonts w:ascii="Arial" w:cs="Arial" w:eastAsia="Arial" w:hAnsi="Arial"/>
          <w:sz w:val="17"/>
          <w:szCs w:val="17"/>
          <w:i w:val="1"/>
          <w:iCs w:val="1"/>
          <w:color w:val="auto"/>
        </w:rPr>
        <w:t>ClearOne Communications,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 Jun Yang, et. al. </w:t>
      </w:r>
      <w:r>
        <w:rPr>
          <w:rFonts w:ascii="Arial" w:cs="Arial" w:eastAsia="Arial" w:hAnsi="Arial"/>
          <w:sz w:val="17"/>
          <w:szCs w:val="17"/>
          <w:color w:val="auto"/>
        </w:rPr>
        <w:t>Civil No. 2:07-co-37 TC. The Complaint brings claims against different combinations of the defendants for,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misappropriation of certain trade secrets, breach of contract, conversion, unjust enrichment and intentional interference with business and contractual relations, primarily in relation to certain algorithms and computer code. The relief being sought by us includes an order enjoining the defendants from further use of our trade secrets and an award consisting of, among other things, compensation and damages related to the unjust enrichment of the defendants. The court subsequently granted leave to add a third WideBand principal as a defendant to the case. In August 2007, we filed a motion for a preliminary injunction in the Intellectual Property Case, in the United States District Court, District of Utah, seeking to enjoin Wideband Solutions, Inc. from licensing certain technology we believe constitutes our intellectual property and trade secrets to Harman Music Group, Inc. On September 13, 2007, the court in the Intellectual Property Case granted ClearOne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also brings claims related to the theft and misuse of ClearOne’s confidential and trade secret information. On October 30, 2007, the Chief Judge of the United States District Court in the Intellectual Property Case, the Honorable Tena Campbell, issued a Memorandum Decision and Order (the “Injunction Order”). The Injunction Order “GRANTS ClearOne’s motion for a Preliminary Injunction,” and orders that “Dr. Yang, as well as his agents, servants, officers, employees, entities and those acting under his direction and control, are hereby enjoined from working on or delivering any computer code – either source code or object code – to Harman until the completion of the trial.” In reaching its decision, the Court found that Dr. Yang was subject to a valid and enforceable Confidentiality, Non-Competition, and Invention Assignment Agreement (the “NDA”), and that ClearOne had demonstrated “a substantial likelihood that ClearOne will succeed on its claims that Dr. Yang violated the NDA” and derived the code that WideBand was attempting to license to Harman from code belonging to ClearOne. The Injunction Order is Docket Entry 572. On November 5, 2007, the Honorable Tena Campbell issued an order establishing the amount for the bond to be posted by ClearOne in conjunction with the Court’s grant of ClearOne’s motion for a preliminary injunction. The bond was set in the amount of $907,909. In accordance with the order, we placed the bond with the clerk of the Court on November 6, 2007. On June 20, 2008, the Honorable Tena Campbell issued an order reducing the bond to $210,000.</w:t>
      </w:r>
    </w:p>
    <w:p>
      <w:pPr>
        <w:spacing w:after="0" w:line="209"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During October 2007, we filed a second action against WideBand and the same three principals named as defendants in the Intellectual Property Case, this time alleging copyright infringement, vicarious copyright infringement, and contributory copyright infringement (the “Copyright Case”). The claims in the Copyright Case arise out of a copyright issued to the Company for the same intellectual property, including the algorithms and computer code that is the subject of the claims in the Intellectual Property Case. The relief being sought by us includes an order enjoining the defendants from further use of our copyrighted material, and an award consisting of, among other things, compensation and damages related to the copyright infringement.</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June 2008, ClearOne filed a separate action in the United States District Court, District of Utah, Central Division, against WideBand Solutions, Inc., a Georgia corporation ("WideBand Georgia") and Donald Bowers, and the Complaint brings claims, among others, for declaratory judgment, fraudulent transfer under Utah Code Ann. § 25-6-1, et. seq., and misappropriation of trade secrets.</w:t>
      </w:r>
    </w:p>
    <w:p>
      <w:pPr>
        <w:spacing w:after="0" w:line="20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June 2008, the United States District Court entered an order granting ClearOne's request for a temporary restraining order ("TRO") against any sale or transfer of ownership of certain assets of WideBand to WideBand Solutions, Inc., a Georgia Corporation. The TRO provides that "ClearOne has met the elements necessary for issuance of a TRO to preserve the status quo," and imposes certain prohibitions against any sale or transfer of ownership of certain of the Defendants' assets, consisting of certain computer code and algorithms related thereto. The TRO also states that none of the Defendants' profits from the Disputed Code shall be transferred or conveyed to the Georgia entity.</w:t>
      </w:r>
    </w:p>
    <w:p>
      <w:pPr>
        <w:spacing w:after="0" w:line="20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Subsequently, during July 2008, ClearOne filed a motion for an additional TRO, to prevent the sale or transfer of any assets not already subject to the court’s June 2008 TRO. On July 10, 2008, the court was informed that the proposed sale of certain assets and/or business interests to WideBand Georgia had been rescinded, and on July 10, 2008, the court denied ClearOne’s July 2, 2008 application for a TRO as “moot.” The June 26, 2008 TRO remains in effect.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2" w:name="page23"/>
    <w:bookmarkEnd w:id="22"/>
    <w:p>
      <w:pPr>
        <w:ind w:right="40"/>
        <w:spacing w:after="0" w:line="287" w:lineRule="auto"/>
        <w:rPr>
          <w:sz w:val="20"/>
          <w:szCs w:val="20"/>
          <w:color w:val="auto"/>
        </w:rPr>
      </w:pPr>
      <w:r>
        <w:rPr>
          <w:rFonts w:ascii="Arial" w:cs="Arial" w:eastAsia="Arial" w:hAnsi="Arial"/>
          <w:sz w:val="16"/>
          <w:szCs w:val="16"/>
          <w:b w:val="1"/>
          <w:b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us by causing or allowing us to recognize revenue in violation of U.S. GAAP and to issue materially misstated financial statements and that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during June 2003. As to the other three actions, our Board of Directors appointed a special litigation committee of independent directors to evaluate the claims. The special committee determined that the maintenance of the derivative proceedings against the individual defendants was not in our best interests. Accordingly, during December 2003, we moved to dismiss those claims. During March 2004, our motions were granted, and the derivative claims were dismissed with prejudice as to all defendants except Ernst &amp; Young. We were substituted as the plaintiff in the action and are now pursuing in our own name the claims against Ernst &amp; Young. The dates of the arbitration case management have been scheduled including commencement of the hearing on April 20, 2009.</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Insurance Coverage Action. </w:t>
      </w:r>
      <w:r>
        <w:rPr>
          <w:rFonts w:ascii="Arial" w:cs="Arial" w:eastAsia="Arial" w:hAnsi="Arial"/>
          <w:sz w:val="16"/>
          <w:szCs w:val="16"/>
          <w:color w:val="auto"/>
        </w:rPr>
        <w:t>On February 9, 2004, ClearOne and Edward Dallin Bagley (“Bagley”), a former director and significant shareholder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ClearOne, jointly filed an action in the United States District Court for the District of Utah, Central Division, against National Union Fire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Pittsburgh, Pennsylvania (“National Union”) and Lumbermens Mutual Insurance Company (“Lumbermens Mutual”), the carriers of certain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liability insurance policies, to recover the costs of defending and resolving claims against certain of our present and former directors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officers in connection with the SEC complaint filed on January 15, 2003, the shareholders’ class action filed on June 30, 2003, and the shareholder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actions described above, and seeking other damages resulting from the refusal of such carriers to timely pay the amounts owing under such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insurance policies. This action has been consolidated into a declaratory relief action filed by one of the insurance carriers on February 6, 2004 against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ClearOne and certain of its current and former directors. In this action, the insurers assert that they are entitled to rescind insurance coverage under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officers’ liability insurance policies, $3.0 million of which was provided by National Union and $2.0 million which was provided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based on alleged misstatements in our insurance applications. In February 2005, we entered into a confidential settlement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Lumbermens Mutual pursuant to which ClearOne and Bagley received a lump-sum cash amount and the plaintiffs agreed to dismiss their claims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with prejudice. The cash settlement is being held in a segregated account until the claims involving National Union have been resolved,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which time the amounts received in the action will be allocated between the Company and Bagley. The amount distributed to us and Bagley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based on future negotiations between us and Bagley. We cannot currently estimate the amount of the settlement which it will ultimately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 Upon determining the amount of the settlement which we will ultimately receive, we will record this as a contingent gain. During October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granted summary judgment in favor of National Union on its rescission defense and accordingly entered a judgment dismissing all of the claims asserted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ClearOne and Mr. Bagley. In connection with the summary judgment, we have been ordered to pay approximately $59,000 in costs. However,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cash proceeds discussed above and the appeal of the summary judgment ruling discussed below, this potential liability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balance sheet as of June 30, 2008. On February 2, 2006, we and Mr. Bagley appealed the summary judgment ruling to the U.S. Court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Appeals for the Tenth Circuit, and on July 25, 2007, the Tenth Circuit issued its decision reversing the summary judgment as to ClearOne’s claims but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affirming it as to Bagley’s claims. The case has been remanded back to the district court for trial on ClearOne’s claims for breach of contract and for breach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implied covenant of good faith and fair dealing and on National Union’s defenses, including its rescission defense. No assurances can be given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prevail at trial. We and Bagley have entered into a Joint Prosecution and Defense Agreement in connection with the action under which we are obligated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pay all litigation expenses in the case except those which are solely related to Bagley’s claims. (See “Item 13. Certain Relationships and Related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These litigations are subject to all of the risks and uncertainties of litigation and there can be no assurance as to the probable result of the litigations.</w:t>
      </w: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MATERS TO A VOTE OF SECURITY HOLDERS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matter was submitted to a vote of security holders through the solicitation of proxies or otherwise during the fourth quarter of the fiscal year covered by this report.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common stock has been traded on the Nasdaq Capital Market under the symbol CLRO since August 14, 2007. Prior to that time, our common stock was quoted on the Over the Counter Bulletin Board. The over-the-counter market quotations reflect inter-dealer prices, without retail mark-up, mark-down, or commission and may not necessarily represent actual transactions. The following table sets forth high and low sale prices (or high and low bid quotations) of our common stock for each fiscal quarter indicated as reported on the applicable exchange or market.</w:t>
      </w:r>
    </w:p>
    <w:p>
      <w:pPr>
        <w:spacing w:after="0" w:line="194"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1240" w:type="dxa"/>
            <w:vAlign w:val="bottom"/>
          </w:tcPr>
          <w:p>
            <w:pPr>
              <w:spacing w:after="0"/>
              <w:rPr>
                <w:sz w:val="20"/>
                <w:szCs w:val="20"/>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Low</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High</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Low</w:t>
            </w:r>
          </w:p>
        </w:tc>
        <w:tc>
          <w:tcPr>
            <w:tcW w:w="60" w:type="dxa"/>
            <w:vAlign w:val="bottom"/>
          </w:tcPr>
          <w:p>
            <w:pPr>
              <w:spacing w:after="0"/>
              <w:rPr>
                <w:sz w:val="19"/>
                <w:szCs w:val="19"/>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7.25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4"/>
                <w:szCs w:val="24"/>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5"/>
              </w:rPr>
              <w:t>Second Quarter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Third Quarter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9, 2008, the closing price for our common stock as reported on the Nasdaq Capital Market was $4.74.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9, 2008, there were 10,230,968 shares of our common stock issued and outstanding and held by approximately 500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includes each broker dealer and clearing corporation, that hold shares for customers, as a single shareholder.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two equity compensation plans, our 1998 Stock Option Plan (the “1998 Plan”) and our 2007 Equity Incentive Plan (the “2007 Plan”).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The following table sets forth information as of June 30, 2008 with respect to compensation plans under which equity securities of ClearOne are authorized for issuance.</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2300"/>
        <w:spacing w:after="0"/>
        <w:rPr>
          <w:sz w:val="20"/>
          <w:szCs w:val="20"/>
          <w:color w:val="auto"/>
        </w:rPr>
      </w:pPr>
      <w:r>
        <w:rPr>
          <w:rFonts w:ascii="Arial" w:cs="Arial" w:eastAsia="Arial" w:hAnsi="Arial"/>
          <w:sz w:val="16"/>
          <w:szCs w:val="16"/>
          <w:color w:val="auto"/>
        </w:rPr>
        <w:t>Equity compensation</w:t>
      </w:r>
    </w:p>
    <w:p>
      <w:pPr>
        <w:spacing w:after="0" w:line="46" w:lineRule="exact"/>
        <w:rPr>
          <w:sz w:val="20"/>
          <w:szCs w:val="20"/>
          <w:color w:val="auto"/>
        </w:rPr>
      </w:pPr>
    </w:p>
    <w:p>
      <w:pPr>
        <w:jc w:val="center"/>
        <w:ind w:left="2400"/>
        <w:spacing w:after="0"/>
        <w:rPr>
          <w:sz w:val="20"/>
          <w:szCs w:val="20"/>
          <w:color w:val="auto"/>
        </w:rPr>
      </w:pPr>
      <w:r>
        <w:rPr>
          <w:rFonts w:ascii="Arial" w:cs="Arial" w:eastAsia="Arial" w:hAnsi="Arial"/>
          <w:sz w:val="17"/>
          <w:szCs w:val="17"/>
          <w:color w:val="auto"/>
        </w:rPr>
        <w:t>plans approved by</w:t>
      </w:r>
    </w:p>
    <w:p>
      <w:pPr>
        <w:spacing w:after="0" w:line="21" w:lineRule="exact"/>
        <w:rPr>
          <w:sz w:val="20"/>
          <w:szCs w:val="20"/>
          <w:color w:val="auto"/>
        </w:rPr>
      </w:pPr>
    </w:p>
    <w:p>
      <w:pPr>
        <w:jc w:val="center"/>
        <w:ind w:left="2240"/>
        <w:spacing w:after="0"/>
        <w:rPr>
          <w:sz w:val="20"/>
          <w:szCs w:val="20"/>
          <w:color w:val="auto"/>
        </w:rPr>
      </w:pPr>
      <w:r>
        <w:rPr>
          <w:rFonts w:ascii="Arial" w:cs="Arial" w:eastAsia="Arial" w:hAnsi="Arial"/>
          <w:sz w:val="18"/>
          <w:szCs w:val="18"/>
          <w:color w:val="auto"/>
        </w:rPr>
        <w:t>security holders</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6"/>
          <w:szCs w:val="16"/>
          <w:color w:val="auto"/>
        </w:rPr>
        <w:t>Equity compensation</w:t>
      </w:r>
    </w:p>
    <w:p>
      <w:pPr>
        <w:spacing w:after="0" w:line="32" w:lineRule="exact"/>
        <w:rPr>
          <w:sz w:val="20"/>
          <w:szCs w:val="20"/>
          <w:color w:val="auto"/>
        </w:rPr>
      </w:pPr>
    </w:p>
    <w:p>
      <w:pPr>
        <w:jc w:val="center"/>
        <w:ind w:left="2400"/>
        <w:spacing w:after="0"/>
        <w:rPr>
          <w:sz w:val="20"/>
          <w:szCs w:val="20"/>
          <w:color w:val="auto"/>
        </w:rPr>
      </w:pPr>
      <w:r>
        <w:rPr>
          <w:rFonts w:ascii="Arial" w:cs="Arial" w:eastAsia="Arial" w:hAnsi="Arial"/>
          <w:sz w:val="16"/>
          <w:szCs w:val="16"/>
          <w:color w:val="auto"/>
        </w:rPr>
        <w:t>plans not approved</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security holders</w:t>
      </w:r>
    </w:p>
    <w:p>
      <w:pPr>
        <w:spacing w:after="0" w:line="7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1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to be issued upon</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under equity</w:t>
            </w:r>
          </w:p>
        </w:tc>
      </w:tr>
      <w:tr>
        <w:trPr>
          <w:trHeight w:val="241"/>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648"/>
        </w:trPr>
        <w:tc>
          <w:tcPr>
            <w:tcW w:w="1720" w:type="dxa"/>
            <w:vAlign w:val="bottom"/>
          </w:tcPr>
          <w:p>
            <w:pPr>
              <w:jc w:val="center"/>
              <w:spacing w:after="0"/>
              <w:rPr>
                <w:sz w:val="20"/>
                <w:szCs w:val="20"/>
                <w:color w:val="auto"/>
              </w:rPr>
            </w:pPr>
            <w:r>
              <w:rPr>
                <w:rFonts w:ascii="Arial" w:cs="Arial" w:eastAsia="Arial" w:hAnsi="Arial"/>
                <w:sz w:val="18"/>
                <w:szCs w:val="18"/>
                <w:color w:val="auto"/>
                <w:w w:val="89"/>
              </w:rPr>
              <w:t>1,199,046</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$5.85</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996,000</w:t>
            </w:r>
          </w:p>
        </w:tc>
      </w:tr>
      <w:tr>
        <w:trPr>
          <w:trHeight w:val="871"/>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1,199,046</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$5.85</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996,000</w:t>
            </w: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-1148715</wp:posOffset>
            </wp:positionV>
            <wp:extent cx="434784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-874395</wp:posOffset>
            </wp:positionV>
            <wp:extent cx="434784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-599440</wp:posOffset>
            </wp:positionV>
            <wp:extent cx="434784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47845" cy="27432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-170815</wp:posOffset>
            </wp:positionV>
            <wp:extent cx="434784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80"/>
            <w:col w:w="7420"/>
          </w:cols>
          <w:pgMar w:left="240" w:top="517"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Issuer Purchases of Equity Securities. </w:t>
      </w:r>
      <w:r>
        <w:rPr>
          <w:rFonts w:ascii="Arial" w:cs="Arial" w:eastAsia="Arial" w:hAnsi="Arial"/>
          <w:sz w:val="16"/>
          <w:szCs w:val="16"/>
          <w:color w:val="auto"/>
        </w:rPr>
        <w:t>The following table details purchases by ClearOne of its own securities during the fourth fiscal quarter of 2008.</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2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may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Total Number</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Paid per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Plans or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20" w:type="dxa"/>
            <w:vAlign w:val="bottom"/>
          </w:tcPr>
          <w:p>
            <w:pPr>
              <w:ind w:left="660"/>
              <w:spacing w:after="0"/>
              <w:rPr>
                <w:sz w:val="20"/>
                <w:szCs w:val="20"/>
                <w:color w:val="auto"/>
              </w:rPr>
            </w:pPr>
            <w:r>
              <w:rPr>
                <w:rFonts w:ascii="Arial" w:cs="Arial" w:eastAsia="Arial" w:hAnsi="Arial"/>
                <w:sz w:val="18"/>
                <w:szCs w:val="18"/>
                <w:b w:val="1"/>
                <w:bCs w:val="1"/>
                <w:color w:val="auto"/>
              </w:rPr>
              <w:t>Period</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9"/>
                <w:szCs w:val="19"/>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Share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Programs (1)</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April 1, 2008 – April 30,</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42,915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4.80</w:t>
            </w:r>
          </w:p>
        </w:tc>
        <w:tc>
          <w:tcPr>
            <w:tcW w:w="1100" w:type="dxa"/>
            <w:vAlign w:val="bottom"/>
          </w:tcPr>
          <w:p>
            <w:pPr>
              <w:jc w:val="right"/>
              <w:spacing w:after="0"/>
              <w:rPr>
                <w:sz w:val="20"/>
                <w:szCs w:val="20"/>
                <w:color w:val="auto"/>
              </w:rPr>
            </w:pPr>
            <w:r>
              <w:rPr>
                <w:rFonts w:ascii="Arial" w:cs="Arial" w:eastAsia="Arial" w:hAnsi="Arial"/>
                <w:sz w:val="18"/>
                <w:szCs w:val="18"/>
                <w:color w:val="auto"/>
              </w:rPr>
              <w:t>42,915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1,056,105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May 1, 2008 – May 31,</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129,395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129,395</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20" w:type="dxa"/>
            <w:vAlign w:val="bottom"/>
          </w:tcPr>
          <w:p>
            <w:pPr>
              <w:spacing w:after="0" w:line="201" w:lineRule="exact"/>
              <w:rPr>
                <w:sz w:val="20"/>
                <w:szCs w:val="20"/>
                <w:color w:val="auto"/>
              </w:rPr>
            </w:pPr>
            <w:r>
              <w:rPr>
                <w:rFonts w:ascii="Arial" w:cs="Arial" w:eastAsia="Arial" w:hAnsi="Arial"/>
                <w:sz w:val="18"/>
                <w:szCs w:val="18"/>
                <w:color w:val="auto"/>
                <w:w w:val="98"/>
              </w:rPr>
              <w:t>June 1, 2008 – June 30,</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2008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222,310</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222,310</w:t>
            </w:r>
          </w:p>
        </w:tc>
        <w:tc>
          <w:tcPr>
            <w:tcW w:w="220" w:type="dxa"/>
            <w:vAlign w:val="bottom"/>
            <w:tcBorders>
              <w:lef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04"/>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30, 2007, we announced that our Board of Directors had approved a stock repurchase program to purchase up $3,625,000 of our common stock during the following 12 month period in open market and private block transactions. On May 1, 2008 we announced that our Board of Directors authorized the purchase of up to an additional $1 million of our common stock. All repurchased shares will be immediately retired. The stock repurchase program expired on August 30, 2008.</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Employee Stock Purchase Program. </w:t>
      </w:r>
      <w:r>
        <w:rPr>
          <w:rFonts w:ascii="Arial" w:cs="Arial" w:eastAsia="Arial" w:hAnsi="Arial"/>
          <w:sz w:val="18"/>
          <w:szCs w:val="18"/>
          <w:color w:val="auto"/>
        </w:rPr>
        <w:t>We have an Employee Stock Purchase Program (“ESPP”). A total of 500,000 shares of common stock were reserved</w:t>
      </w:r>
      <w:r>
        <w:rPr>
          <w:rFonts w:ascii="Arial" w:cs="Arial" w:eastAsia="Arial" w:hAnsi="Arial"/>
          <w:sz w:val="18"/>
          <w:szCs w:val="18"/>
          <w:b w:val="1"/>
          <w:bCs w:val="1"/>
          <w:color w:val="auto"/>
        </w:rPr>
        <w:t xml:space="preserve"> </w:t>
      </w:r>
      <w:r>
        <w:rPr>
          <w:rFonts w:ascii="Arial" w:cs="Arial" w:eastAsia="Arial" w:hAnsi="Arial"/>
          <w:sz w:val="18"/>
          <w:szCs w:val="18"/>
          <w:color w:val="auto"/>
        </w:rPr>
        <w:t>for issuance under the ESPP. During the fiscal year ended June 30, 2008, 1,326 shares of common stock were issued under the ESPP and compensation expense was approximately $7,000.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5" w:name="page26"/>
    <w:bookmarkEnd w:id="25"/>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selected financial data has been derived from our audited consolidated financial statements for the fiscal years ended June 30, 2008, 2007, 2006, 2005, and 2004. 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report.</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left="770"/>
              <w:spacing w:after="0"/>
              <w:rPr>
                <w:sz w:val="20"/>
                <w:szCs w:val="20"/>
                <w:color w:val="auto"/>
              </w:rPr>
            </w:pPr>
            <w:r>
              <w:rPr>
                <w:rFonts w:ascii="Arial" w:cs="Arial" w:eastAsia="Arial" w:hAnsi="Arial"/>
                <w:sz w:val="18"/>
                <w:szCs w:val="18"/>
                <w:b w:val="1"/>
                <w:bCs w:val="1"/>
                <w:color w:val="auto"/>
                <w:w w:val="89"/>
              </w:rPr>
              <w:t>Years Ended June 30,</w:t>
            </w: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of</w:t>
            </w: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dollars, except</w:t>
            </w: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w w:val="71"/>
              </w:rPr>
              <w:t>per</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share data)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39,752</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39,861</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35,362</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29,087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Sales &amp; Marketing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w w:val="99"/>
              </w:rPr>
              <w:t>Settlement in shareholders' class action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Impairment losses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Restructuring charge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(loss) from continuing operations</w:t>
            </w: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from continuing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3"/>
              </w:rPr>
              <w:t>Income (loss) from discontinued operations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2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80"/>
              <w:spacing w:after="0" w:line="201" w:lineRule="exact"/>
              <w:rPr>
                <w:sz w:val="20"/>
                <w:szCs w:val="20"/>
                <w:color w:val="auto"/>
              </w:rPr>
            </w:pPr>
            <w:r>
              <w:rPr>
                <w:rFonts w:ascii="Arial" w:cs="Arial" w:eastAsia="Arial" w:hAnsi="Arial"/>
                <w:sz w:val="18"/>
                <w:szCs w:val="18"/>
                <w:color w:val="auto"/>
              </w:rPr>
              <w:t>Basic earnings (loss) from continuing</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Diluted earnings (loss) from continuing</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tcPr>
          <w:p>
            <w:pPr>
              <w:ind w:left="80"/>
              <w:spacing w:after="0" w:line="201" w:lineRule="exact"/>
              <w:rPr>
                <w:sz w:val="20"/>
                <w:szCs w:val="20"/>
                <w:color w:val="auto"/>
              </w:rPr>
            </w:pPr>
            <w:r>
              <w:rPr>
                <w:rFonts w:ascii="Arial" w:cs="Arial" w:eastAsia="Arial" w:hAnsi="Arial"/>
                <w:sz w:val="18"/>
                <w:szCs w:val="18"/>
                <w:color w:val="auto"/>
              </w:rPr>
              <w:t>Basic earnings from discontinued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0"/>
                <w:szCs w:val="20"/>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Diluted earnings from discontinued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Basic earnings (loss)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 earnings (loss)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w w:val="97"/>
              </w:rPr>
              <w:t>Weighted average shares 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10,694,401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11,957,756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11,177,406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10,798,281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11,575,721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12,206,618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12,332,106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11,057,896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8"/>
              </w:rPr>
              <w:t>As of June 30,</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28,885</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38,317</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39,743</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34,879</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Long-term Securities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Capital leases, net of current maturities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2008 we reclassified approximately $11.2 million of auction rate securities from a current to long-term asset on our balance sheet. We believe it is probable that we will be able to collect all amounts due according to the contractual terms of the investments.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unaudited quarterly financial information for the years ended June 30, 2008, 2007 and 2006.</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8"/>
                <w:szCs w:val="18"/>
                <w:b w:val="1"/>
                <w:bCs w:val="1"/>
                <w:color w:val="auto"/>
              </w:rPr>
              <w:t>Fiscal 2008 Quarters 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Sept.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Dec.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June 30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9,442</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10,360</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(3,439)</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Sales &amp; Marketing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(1,855)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(2,393)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92"/>
              </w:rPr>
              <w:t>Income (loss) from continuing operations before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3,737</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Basic income (loss) earnings per common share: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income (loss) earnings per common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 income (loss) earnings per common share:</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 income (loss) earnings per common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8"/>
                <w:szCs w:val="18"/>
                <w:b w:val="1"/>
                <w:bCs w:val="1"/>
                <w:color w:val="auto"/>
              </w:rPr>
              <w:t>Fiscal 2007 Quarters 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Sept.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Dec.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June 30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9,411</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9,355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10,988</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Sales &amp; Marketing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(2,080)</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2"/>
              </w:rPr>
              <w:t>Income from continuing operations before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Basic income earnings per common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income earnings per common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Diluted income earnings per common share:</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 income earnings per common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13" w:right="7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8"/>
                <w:szCs w:val="18"/>
                <w:b w:val="1"/>
                <w:bCs w:val="1"/>
                <w:color w:val="auto"/>
              </w:rPr>
              <w:t>Fiscal 2006 Quarters Ended</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Sept.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Dec.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June 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12"/>
          </w:tcPr>
          <w:p>
            <w:pPr>
              <w:jc w:val="right"/>
              <w:ind w:right="10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Revenue</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8,777</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8,277</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9,206</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Sales &amp; Marketing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(loss) from continuing operations before income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earnings per common share: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Basic income (loss) earnings per common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earnings per common share: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Arial" w:cs="Arial" w:eastAsia="Arial" w:hAnsi="Arial"/>
                <w:sz w:val="18"/>
                <w:szCs w:val="18"/>
                <w:color w:val="auto"/>
              </w:rPr>
              <w:t>Diluted income (loss) earnings per common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included in this report.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 Unless otherwise indicated, all references to a year reflect our fiscal year that ends on June 30.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report. We believe the following critical accounting policies identify our most critical accounting policies, which are the policies that are both important to the representation of the registrant’s financial condition and results and requires our most difficult, subjective or complex judgments, often as a result of the need to make estimates about the effect of matters that are inherently uncertain..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provide a right of return on product sales to distributors.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cost of goods sold, and gross profit at each quarter end for the 24-month period ended June 30, 2008 (in thousands).</w:t>
      </w:r>
    </w:p>
    <w:p>
      <w:pPr>
        <w:spacing w:after="0" w:line="21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We offer rebates and market development funds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we analyzed our valuation allowance at June 30, 2008 and determined that based upon available evidence it is more likely than not that all of our deferred tax assets will be realized and as such reversed our previously established valuation allowance. The reversal of a previously established valuation allowance results in a benefit for income taxes. See Note 17 in the notes to financial statements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Share-Based Payment</w:t>
      </w:r>
    </w:p>
    <w:p>
      <w:pPr>
        <w:spacing w:after="0" w:line="25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Prior to June 30, 2005 and as permitted under the original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1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DISCUSSION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for the fiscal years ended June 30, 2008, 2007, and 2006, together with the percentage of total revenue which each such item represents.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Year Ended June 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2006</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right"/>
              <w:ind w:right="170"/>
              <w:spacing w:after="0" w:line="198" w:lineRule="exact"/>
              <w:rPr>
                <w:sz w:val="20"/>
                <w:szCs w:val="20"/>
                <w:color w:val="auto"/>
              </w:rPr>
            </w:pPr>
            <w:r>
              <w:rPr>
                <w:rFonts w:ascii="Arial" w:cs="Arial" w:eastAsia="Arial" w:hAnsi="Arial"/>
                <w:sz w:val="18"/>
                <w:szCs w:val="18"/>
                <w:b w:val="1"/>
                <w:bCs w:val="1"/>
                <w:color w:val="auto"/>
                <w:w w:val="89"/>
              </w:rPr>
              <w:t>(in thousands of dollars)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 of</w:t>
            </w:r>
          </w:p>
        </w:tc>
      </w:t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Revenue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r>
      <w:tr>
        <w:trPr>
          <w:trHeight w:val="459"/>
        </w:trPr>
        <w:tc>
          <w:tcPr>
            <w:tcW w:w="2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39,752</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39,861</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35,362</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23,291</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17,987</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(benefit):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ind w:left="80"/>
              <w:spacing w:after="0"/>
              <w:rPr>
                <w:sz w:val="20"/>
                <w:szCs w:val="20"/>
                <w:color w:val="auto"/>
              </w:rPr>
            </w:pPr>
            <w:r>
              <w:rPr>
                <w:rFonts w:ascii="Arial" w:cs="Arial" w:eastAsia="Arial" w:hAnsi="Arial"/>
                <w:sz w:val="18"/>
                <w:szCs w:val="18"/>
                <w:color w:val="auto"/>
              </w:rPr>
              <w:t>Sales &amp; Marketing</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Research and product development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7,669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Settlement in shareholders' class</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action</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operations before income taxes</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Benefit from (Provision) for income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w:t>
            </w:r>
          </w:p>
        </w:tc>
        <w:tc>
          <w:tcPr>
            <w:tcW w:w="1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3"/>
              </w:rPr>
              <w:t>Income from discontinued operations,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2008, 2007, and 2006. All items are discussed on a consolidated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revenues were $39.8 million for the fiscal year ended June 30, 2008 (“2008”) compared to revenues of $39.9 million and $35.4 million for the fiscal years ended June 30, 2007 (“2007”) and June 30, 2006 (“2006”), respectively.</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2008 revenues decreased $100,000 or less than one percent from 2007 and increased $4.4 million or 12 percent over 2006. The slight decrease in revenue in 2008 from 2007 was due primarily to declines in our premium, tabletop, conferencing furniture and conferencing accessories products which collectively decreased approximately $1.2 million partially offset by a collective increase of approximately $900,000 in our professional and personal conferencing products.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$4.4 million 2008 revenue increase over 2006 was due to continued growth in our professional conferencing products which increased approximately $4.7 million in 2008 over 2006. We also realized growth in our tabletop and personal conferencing products which collectively increased about $600,000 in 2008 from 2006. These increases were partially offset by declines in our premium conferencing and conferencing furniture products which collectively decreased by about $800,000.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fiscal years ended June 30, 2008 and 2007, the net change in deferred revenue based on the net movement of inventory in the channel was a net recognition of $325,000 and $1.0 million in revenue,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Revenue from sales outside of the United States as a percent of total revenue was 30 percent for 2008, 29 percent for 2007 and 28 percent for 2006.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COGS and gross profit together with each item’s amount as a percentage of total revenue:</w:t>
      </w: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8"/>
              </w:rPr>
              <w:t>Year Ended June 30,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4"/>
        </w:trPr>
        <w:tc>
          <w:tcPr>
            <w:tcW w:w="1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6"/>
                <w:szCs w:val="16"/>
                <w:color w:val="auto"/>
              </w:rPr>
            </w:pPr>
          </w:p>
        </w:tc>
        <w:tc>
          <w:tcPr>
            <w:tcW w:w="16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6"/>
                <w:szCs w:val="16"/>
                <w:color w:val="auto"/>
              </w:rPr>
            </w:pPr>
          </w:p>
        </w:tc>
        <w:tc>
          <w:tcPr>
            <w:tcW w:w="158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2006</w:t>
            </w:r>
          </w:p>
        </w:tc>
      </w:tr>
      <w:tr>
        <w:trPr>
          <w:trHeight w:val="20"/>
        </w:trPr>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8"/>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6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(in thousands of dollars)</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 of</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100"/>
              <w:spacing w:after="0"/>
              <w:rPr>
                <w:sz w:val="20"/>
                <w:szCs w:val="20"/>
                <w:color w:val="auto"/>
              </w:rPr>
            </w:pPr>
            <w:r>
              <w:rPr>
                <w:rFonts w:ascii="Arial" w:cs="Arial" w:eastAsia="Arial" w:hAnsi="Arial"/>
                <w:sz w:val="18"/>
                <w:szCs w:val="18"/>
                <w:b w:val="1"/>
                <w:bCs w:val="1"/>
                <w:color w:val="auto"/>
              </w:rPr>
              <w:t>% of</w:t>
            </w:r>
          </w:p>
        </w:tc>
      </w:tr>
      <w:tr>
        <w:trPr>
          <w:trHeight w:val="234"/>
        </w:trPr>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Revenue</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w:t>
            </w:r>
          </w:p>
        </w:tc>
      </w:tr>
      <w:tr>
        <w:trPr>
          <w:trHeight w:val="243"/>
        </w:trPr>
        <w:tc>
          <w:tcPr>
            <w:tcW w:w="1840" w:type="dxa"/>
            <w:vAlign w:val="bottom"/>
          </w:tcPr>
          <w:p>
            <w:pPr>
              <w:spacing w:after="0"/>
              <w:rPr>
                <w:sz w:val="20"/>
                <w:szCs w:val="20"/>
                <w:color w:val="auto"/>
              </w:rPr>
            </w:pPr>
            <w:r>
              <w:rPr>
                <w:rFonts w:ascii="Arial" w:cs="Arial" w:eastAsia="Arial" w:hAnsi="Arial"/>
                <w:sz w:val="18"/>
                <w:szCs w:val="18"/>
                <w:color w:val="auto"/>
              </w:rPr>
              <w:t>Cost of goods sold</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16,461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17,723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17,375</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w w:val="98"/>
              </w:rPr>
              <w:t>49.10%</w:t>
            </w:r>
          </w:p>
        </w:tc>
      </w:tr>
      <w:tr>
        <w:trPr>
          <w:trHeight w:val="243"/>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17,987</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50.90%</w:t>
            </w: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2008 gross profit was $23.3 million compared to $22.1 million in 2007 and $18.0 million in 2006. Gross profit margins (“GPM’s”), gross profit as a percentage of sales, were 58.6, 55.5 and 50.9 percent in 2008, 2007 and 2006, respectively.</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$100,000 revenue decrease in 2008 from 2007, we achieved a $1.2 million increase in gross profit and 3.1 percent GPM increase over the same period due primarily to the 2008 mix and magnitude of higher margin products, selective channel price increases in effect for all of 2008 and lower costs on several of our products realized from a combination of new product designs optimized for, among other things, lower manufacturing costs in addition to negotiating lower prices with certain of our outsourced manufacturing partners. 2008 gross profit was $5.3 million higher and GPM increased 7.7 percent over 2006 due to a 2008 mix of higher margin products, a significant decrease in inventory cost variances and product write-off’s from 2006 and the selective price increases and lower product costs discussed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$21.4 million in 2008 compared to $18.4 million in 2007 and $20.1 million in 2006. The following is a more detailed discussion of expenses related to sales and marketing, research and product development, general and administrative, and settlement in shareholders’ class action.</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3" w:name="page34"/>
    <w:bookmarkEnd w:id="33"/>
    <w:p>
      <w:pPr>
        <w:ind w:right="60"/>
        <w:spacing w:after="0" w:line="295" w:lineRule="auto"/>
        <w:rPr>
          <w:sz w:val="20"/>
          <w:szCs w:val="20"/>
          <w:color w:val="auto"/>
        </w:rPr>
      </w:pPr>
      <w:r>
        <w:rPr>
          <w:rFonts w:ascii="Arial" w:cs="Arial" w:eastAsia="Arial" w:hAnsi="Arial"/>
          <w:sz w:val="16"/>
          <w:szCs w:val="16"/>
          <w:b w:val="1"/>
          <w:bCs w:val="1"/>
          <w:u w:val="single" w:color="auto"/>
          <w:color w:val="auto"/>
        </w:rPr>
        <w:t>Sales and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trade shows, and other advertising and selling expenses. Total S&amp;M expenses were $6.7 million in 2008 compared to $7.8 million in 2007 and $7.9 million in 2006. As a percentage of revenues, S&amp;M expenses were 16.8 percent in 2008 compared to 19.5 percent in 2007 and 22.2 percent in 2006. 2008 S&amp;M expenses were about $1.1 million or 14 percent lower than 2007 due primarily to lower labor and related expenses which demonstrated our ability to leverage existing S&amp;M resources to generate a solid revenue result. 2008 S&amp;M expenses were approximately $1.2 million lower than 2006 also due to a decrease of approximately $1.4 million of labor and related expenses partially offset by higher marketing related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Research and Development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 application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including employee-related costs, outside services, expensed materials, depreciation, and an allocation of overhead expenses. Total R&amp;D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$7.1 million in 2008 compared to $7.5 million in 2007 and $8.3 million in 2006. As a percentage of revenues, R&amp;D expenses were 17.8 percent in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18.9 percent in 2007 and 23.5 percent in 2006. 2008 R&amp;D expenses decreased approximately $500,000 from 2007 due to lower project specific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R&amp;D costs, primarily related to our early fiscal 2008 completion and launch of our Converge Pro line of professional conferencing products. The 2008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in R&amp;D expenses of $1.2 million from 2006 was due to lower labor and related expenses and outside engineering expenses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$900,000 in addition to lower R&amp;D project specific expenses of about $400,000 each of which were related to ongoing R&amp;D efforts including bringing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our products into compliance with environmental directives.</w:t>
      </w:r>
    </w:p>
    <w:p>
      <w:pPr>
        <w:spacing w:after="0" w:line="23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u w:val="single" w:color="auto"/>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administrative costs, including finance and human resources. Total G&amp;A expenses were $7.7 million in 2008 compared to $3.1 million in 2007 and $5.1 million in 2006. As a percentage of revenues, G&amp;A expenses were 19.3 percent in 2008, 7.8 percent in 2007 and 14.4 percent in 2006. The significant $4.6 million increase in 2008 G&amp;A expenses from 2007 was due primarily to estimating and establishing a $3.3 million accrual for a contingent liability. The Company’s legal fees also increased approximately $1 million in 2008 from 2007 primarily associated with its theft of intellectual property and copyright complaints against WideBand Solutions, Inc. et al. (please refer to Item 3 “Legal Proceedings” in Part I of this Form 10-K for additional information on these legal proceedings). 2008 G&amp;A expenses were about $2.6 million higher than 2006 due primarily to the $3.3 million accrual for a contingent liability and $1 million in legal fees discussed above, partially offset by lower payroll and related expenses of about $400,000 associated with lower G&amp;A headcount, lower depreciation of about $250,000 and lower audit and related fees of $1.3 million required in much of 2006 to bring the Company’s financial statements current.</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Settlement in shareholders’ class action expense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June 2003, a consolidated complaint was filed against ClearOne, eight of our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former officers and directors, and our former auditor, Ernst &amp; Young, by a class consisting of purchasers of the Company’s common stock during the period from April 17, 2001 through January 15, 2003.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numbers of shares. On September 29, 2005, we completed our obligations under the settlement agreement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quoted by the Pink Sheets on the business day prior to the date the shares were mailed or (ii) the average closing price over the five trading days prior to such mailing date.</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2006 and fiscal 2005 we realized a (benefit) from this settlement in the amount of ($1.2 million) and ($2.1 million), respectively as a result of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liability associated with the 1.2 million shares was based upon the closing price of our common stock at the end of each quarter through the date the shares were issued on September 29, 2005. Accordingly, the expense (benefit) associated with these stock price fluctuations is no longer recognized.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ind w:right="60"/>
        <w:spacing w:after="0" w:line="298" w:lineRule="auto"/>
        <w:rPr>
          <w:sz w:val="20"/>
          <w:szCs w:val="20"/>
          <w:color w:val="auto"/>
        </w:rPr>
      </w:pPr>
      <w:r>
        <w:rPr>
          <w:rFonts w:ascii="Arial" w:cs="Arial" w:eastAsia="Arial" w:hAnsi="Arial"/>
          <w:sz w:val="16"/>
          <w:szCs w:val="16"/>
          <w:b w:val="1"/>
          <w:bCs w:val="1"/>
          <w:color w:val="auto"/>
        </w:rPr>
        <w:t xml:space="preserve">Other operating income, net. </w:t>
      </w:r>
      <w:r>
        <w:rPr>
          <w:rFonts w:ascii="Arial" w:cs="Arial" w:eastAsia="Arial" w:hAnsi="Arial"/>
          <w:sz w:val="16"/>
          <w:szCs w:val="16"/>
          <w:color w:val="auto"/>
        </w:rPr>
        <w:t>Other income, net, includes our interest income, interest expense, capital gains, gain (loss) on the disposal of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gain (loss). Other income was $1.0 million in 2008 compared to $1.5 million in 2007 and $1.0 million in 2006. The $500,000 decrease in 2008 from 2007 was due primarily to the Company’s 2007 receipt of approximately $300,000 in interest which accompanied a $3.1 million IRS refund payment in addition to lower interest income associated lower interest rates in the Company’s investments and lower cash and marketable securities balances as the Company used $4.3 million of its cash during 2008 to repurchase its common stock. Other operating income was about the same in both 2008 and 2006.</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(Provision for) Benefit from income taxes. </w:t>
      </w:r>
      <w:r>
        <w:rPr>
          <w:rFonts w:ascii="Arial" w:cs="Arial" w:eastAsia="Arial" w:hAnsi="Arial"/>
          <w:sz w:val="16"/>
          <w:szCs w:val="16"/>
          <w:color w:val="auto"/>
        </w:rPr>
        <w:t>The Company’s benefit for income taxes from continuing operations was $2.8 million in 2008 compared to a</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about ($457,000) in 2007 and a benefit of $1.0 million in 2006 The $2.8 million benefit in 2008 was due primarily to the reversal of the Company’s valuation allowance during the fiscal fourth quarter that the Company had recorded against its deferred tax assets. Given the company’s past history of losses from continuing operations, prior to its fiscal 2007, a valuation allowance was recorded against all of the Company’s deferred tax assets. The valuation allowance was initially established,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because it was not considered more likely than not that the deferred tax assets would be realized. However, as a result of our analysis and in accordance with generally accepted accounting principles, the previously established valuation allowance of approximately $4.1 million was reversed. The Company’s income taxes were negatively impacted in 2008 by its adoption of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in addition to its recognition of tax on the undistributed earnings of the Company’s foreign subsidiaries which together added approximately $541,000 to the Company’s 2008 income tax expense.</w:t>
      </w:r>
    </w:p>
    <w:p>
      <w:pPr>
        <w:spacing w:after="0" w:line="19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2007 the Company recorded a ($457,000) income tax provision. Due to the Company’s 2007 profitability, it was able to begin taking advantage of R&amp;D tax credits and state operating loss deductions resulting in a relatively low, 9 percent effective income tax rate on 2007 income from continuing operations. The Company realized a tax benefit in 2006 due to its losses from continuing operations.</w:t>
      </w:r>
    </w:p>
    <w:p>
      <w:pPr>
        <w:spacing w:after="0" w:line="20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Income from discontinued operations, net of tax. </w:t>
      </w:r>
      <w:r>
        <w:rPr>
          <w:rFonts w:ascii="Arial" w:cs="Arial" w:eastAsia="Arial" w:hAnsi="Arial"/>
          <w:sz w:val="16"/>
          <w:szCs w:val="16"/>
          <w:color w:val="auto"/>
        </w:rPr>
        <w:t>Income from discontinued operations, net of tax, includes the gain on the sale of our conferencing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business and the funds from the Indemnity Escrow account from Premiere related to the sale of our conferencing services business which was sold on July 1, 2004; income from discontinued operations related to our Canadian audiovisual integration business (“OM Video”); the gain on the March 4, 2005 sale of OM Video; payments on our note receivable related to the sale of OM Video; payments on our note receivable related to the sale to Burk; and income from discontinued operations to our Document and Educational Camera business sold to Ken-A-Vision Manufacturing Company, Inc. (“KAV”) on August 23, 2006. Accordingly, the results of operations and the financial position have been reclassified in the accompanying condensed consolidated financial statements as discontinued operations. The total income from discontinued operations, net of tax, was $16,000 for 2008 compared to $422,000 for 2007 and $2.2 million in 2006. Summary operating results of the discontinued operations are set forth below (in thousands of dollars).</w:t>
      </w:r>
    </w:p>
    <w:p>
      <w:pPr>
        <w:spacing w:after="0" w:line="187"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w w:val="91"/>
              </w:rPr>
              <w:t>Years Ended June 30,</w:t>
            </w: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2006</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w w:val="94"/>
              </w:rPr>
              <w:t>Total income from discontinued operations, 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of income taxes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Conferencing services business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OM Video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Burk Technology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r>
      <w:tr>
        <w:trPr>
          <w:trHeight w:val="223"/>
        </w:trPr>
        <w:tc>
          <w:tcPr>
            <w:tcW w:w="20" w:type="dxa"/>
            <w:vAlign w:val="bottom"/>
          </w:tcPr>
          <w:p>
            <w:pPr>
              <w:spacing w:after="0"/>
              <w:rPr>
                <w:sz w:val="19"/>
                <w:szCs w:val="19"/>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Ken-A-Vision</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Total income from discontinued operations,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of income taxes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June 30, 2008, our cash and cash equivalents were approximately $3.3 million and our marketable securities were approximately $17.1 million, which represented an overall decrease of $2.2 million in our balances from June 30, 2007 which had cash and cash equivalents of approximately $2.8 million and marketable securities of approximately $19.9 million. We had an overall decrease of approximately $1.4 million from our balances at June 30, 2006, which had cash and cash equivalents of approximately $1.2 million and marketable securities totaling $20.6 million.</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cash flows provided by operating activities were $3.5 million in 2008 compared to $6.8 million in 2007 and $2.2 million in 2006. 2008 net cash provided by operating activities was lower than 2007 by $3.3 million primarily due to the Company’s reversal of its previously established valuation allowance recorded against deferred tax assets which resulted in a ($4.5 million) non-cash adjustment in its statement of cash flows and $524,000 decrease in inventory write-off’s partially offset by the $853,000 increase in net income and $874,000 increase in changes in other operating assets and liabilities. The $1.3 million increase in net cash provided by operating activities in 2008 over 2006 was due to the $5.7 million increase in net income from continuing operations offset by a $2.4 million decrease in changes in other operating assets and liabilities which includes the ($4.5 million) deferred tax asset valuation allowance reversal in addition to lower depreciation, stock-based compensation, inventory write-offs and cash provided by discontinued operating activities which collectively decreased approximately $2.3 million.</w:t>
      </w:r>
    </w:p>
    <w:p>
      <w:pPr>
        <w:spacing w:after="0" w:line="206"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Net cash flows provided by (used in) investing activities were $700,000 in 2008 compared to $748,000 in 2007 and ($2.8 million) in 2006. The 2008 $48,000 decrease in net cash provided by investing activities from 2007 was due primarily to $925,000 less cash provided by discontinued investing activities in 2008 from 2007 related to the Company’s sale of its educational camera product line in August 2006 and the sale of its stock of ClearOne Canada to OM Video.</w:t>
      </w:r>
    </w:p>
    <w:p>
      <w:pPr>
        <w:spacing w:after="0" w:line="254" w:lineRule="auto"/>
        <w:rPr>
          <w:sz w:val="20"/>
          <w:szCs w:val="20"/>
          <w:color w:val="auto"/>
        </w:rPr>
      </w:pPr>
      <w:r>
        <w:rPr>
          <w:rFonts w:ascii="Arial" w:cs="Arial" w:eastAsia="Arial" w:hAnsi="Arial"/>
          <w:sz w:val="18"/>
          <w:szCs w:val="18"/>
          <w:color w:val="auto"/>
        </w:rPr>
        <w:t>This decrease was partially offset by a $838,000 increase in the sale of marketable securities, net of purchases of marketable securities in 2008. 2008 net cash provided by investing activities increased about $3.5 million from 2006 due primarily to increased sales of marketable securities of $6.2 million, net of purchases of marketable securities in 2008, partially offset by $1.9 million less cash provided by discontinued operating activities and an increase of $560,000 in cash used to purchase of property and equipment.</w:t>
      </w:r>
    </w:p>
    <w:p>
      <w:pPr>
        <w:spacing w:after="0" w:line="2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Net cash (used in) provided by financing activities during 2008 totaled approximately ($3.7 million) compared to ($6.0 million) in 2007 and $0 in 2006. During 2008, we repurchased 835,000 shares of our common stock for $4.3 million. Also during 2008 we received $800,000 and issued 228,000 of stock upon the exercise of employee stock options. We received a $70,000 tax benefit from option exercises in 2008. During 2007 we repurchased approximately 1.4 million shares of our common stock for approximately $6.1 million. We did not have any net cash flows (used in) financing activities in fiscal 2006.</w:t>
      </w:r>
    </w:p>
    <w:p>
      <w:pPr>
        <w:spacing w:after="0" w:line="18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Additionally, in 2008 we paid approximately $1.7 million in income taxes and reduced our July 1, 2007 balance of retained earnings by $295,000 upon adoption of FASB issued Interpretation No. 48 (“FIN 48”), “Accounting for Uncertainty in Income Taxes.” During 2007, we recorded $1.1 million in non-cash financing activities related to leasehold improvements to our headquarters, the majority of which was paid as an incentive by the lessor as part of the lease agreement. These improvements are being accounted for in accordance with FASB Technical Bulletin No. 88-1, </w:t>
      </w:r>
      <w:r>
        <w:rPr>
          <w:rFonts w:ascii="Arial" w:cs="Arial" w:eastAsia="Arial" w:hAnsi="Arial"/>
          <w:sz w:val="18"/>
          <w:szCs w:val="18"/>
          <w:i w:val="1"/>
          <w:iCs w:val="1"/>
          <w:color w:val="auto"/>
        </w:rPr>
        <w:t>Issues Relating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states among other things that landlord incentives which fund leasehold improvements should be recorded as deferred rent and amortized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to lease expense over the term of the lease.</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future income from operations and effective management of working capital will provide the liquidity needed to finance growth plans. In addition to capital expenditures, we may use cash during fiscal 2009 for selective infusions of technological, marketing or product manufacturing rights to broaden our product offerings; for continued share repurchases; and if available for a reasonable price, acquisitions that may strategically fit our business and are accretive to performance.</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At June 30, 2008, we had open purchase orders related to our contract manufacturers and other contractual obligations of approximately $6.2 million primarily related to inventory purchases.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6" w:name="page37"/>
    <w:bookmarkEnd w:id="36"/>
    <w:p>
      <w:pPr>
        <w:ind w:right="160"/>
        <w:spacing w:after="0" w:line="272" w:lineRule="auto"/>
        <w:rPr>
          <w:sz w:val="20"/>
          <w:szCs w:val="20"/>
          <w:color w:val="auto"/>
        </w:rPr>
      </w:pPr>
      <w:r>
        <w:rPr>
          <w:rFonts w:ascii="Arial" w:cs="Arial" w:eastAsia="Arial" w:hAnsi="Arial"/>
          <w:sz w:val="17"/>
          <w:szCs w:val="17"/>
          <w:color w:val="auto"/>
        </w:rPr>
        <w:t>As of June 30, 2008, we had approximately $12.3 million par value of auction rate securities, less a temporary valuation adjustment of approximately $1.1 million to reflect the current lack of liquidity of these investments. We recorded this temporary valuation adjustment in other comprehensive income, net of the related tax benefit of $413,000, which did not affect fiscal 2008 earnings, and reclassified these investments to long-term investment securities to reflect the lack of liquidity of these investments. Due to current market conditions, these investments have experienced failed auctions beginning in mid-February 2008. These failed auctions result in a lack of liquidity in the securities, but do not affect the underlying collateral of the securities and we believe that given their high credit quality, it will ultimately recover at par all amounts invested in these securities. We do not anticipate that any potential lack of liquidity in these auction rate securities will affect our ability to finance our operations and growth plans.</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4, 2005, we sold all of the issued and outstanding stock of ClearOne Canada to 6351352 Canada Inc. ClearOne Canada owned all the issued and outstanding stock of Stechyson Electronics, Ltd., which conducts business under the name OM Video. For the first two quarters of fiscal 2006 and during all of fiscal 2005, we received total payments, including interest, of $300,000 and $150,000, respectively, on the note receivable. Through December 31, 2005, all payments had been received and $854,000 of the promissory note remained outstanding; however, 6351352 Canada Inc. failed to make any subsequent, required payments under the note receivable until June 30, 2006 when it paid $50,000. We reevaluated our options and concluded that our best course of action was to enforce our security and appoint a receiver over the assets of OM Video. As of June 30, 2008, the amount of the promissory note and contingent earn-out provision was approximately $696,000 which is net of $632,000 collected through receivership. We do not expect to collect any further amounts through the receivership.</w:t>
      </w:r>
    </w:p>
    <w:p>
      <w:pPr>
        <w:spacing w:after="0" w:line="21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12, 2001, we sold the assets of the remote control portion of our RFM/Broadcast division to Burk for $750,000 in cash at closing, $1.8 million in the form of a seven-year promissory note, with interest at the rate of 9.0 percent per year, and up to $700,000 as a commission over a period of up to seven years. On August 22, 2005, we entered into a Mutual Release and Waiver Agreement with Burk pursuant to which Burk paid us $1.3 million in full satisfaction of the promissory note. We realized a pre-tax gain on the sale of $1.3 million for fiscal 2006, $187,000 for fiscal 2005, and $93,000 for fiscal 2004.</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1, 2004, we sold our conferencing services business segment to Premiere for $21.3 million. Of the purchase price, $1.0 million was placed into an 18-month indemnity escrow account. We received the $1.0 million in the indemnity escrow account in January 2006. We realized a pre-tax gain on the sale of $1.0 million for fiscal 2006 and $17.4 million for fiscal 2005.</w:t>
      </w:r>
    </w:p>
    <w:p>
      <w:pPr>
        <w:spacing w:after="0" w:line="2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2006, we sold our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 We realized a pre-tax (loss) on the sale of ($9,000) for fiscal 2007.</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Beginning in January 2003 and continuing through our fiscal 2006, we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was costly and diverted our resources, as well as had a material effect on our results of operations. We paid $127,000 in fiscal 2006, $2.5 million in fiscal 2005, and $2.5 million in fiscal 2004 in cash to settle the shareholders’ class action lawsuit. We incurred legal fees in the amount of approximately $1.9 million from January 2003 through June 2006 and we have incurred audit and tax fees in the amount of approximately $3.7 million from January 2004 through June 2006.</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related to our operating leases at June 30, 2008 are summarized below (in thousands of dollars):</w:t>
      </w:r>
    </w:p>
    <w:p>
      <w:pPr>
        <w:spacing w:after="0" w:line="200" w:lineRule="exact"/>
        <w:rPr>
          <w:sz w:val="20"/>
          <w:szCs w:val="20"/>
          <w:color w:val="auto"/>
        </w:rPr>
      </w:pPr>
    </w:p>
    <w:p>
      <w:pPr>
        <w:spacing w:after="0" w:line="29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Less than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w w:val="97"/>
              </w:rPr>
              <w:t>After 5</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1 Year</w:t>
            </w:r>
          </w:p>
        </w:tc>
        <w:tc>
          <w:tcPr>
            <w:tcW w:w="80" w:type="dxa"/>
            <w:vAlign w:val="bottom"/>
          </w:tcPr>
          <w:p>
            <w:pPr>
              <w:spacing w:after="0"/>
              <w:rPr>
                <w:sz w:val="20"/>
                <w:szCs w:val="20"/>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1-3 Years</w:t>
            </w:r>
          </w:p>
        </w:tc>
        <w:tc>
          <w:tcPr>
            <w:tcW w:w="14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4-5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4,408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Contractual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Obligations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do not expect the adoption of SFAS No. 157 to have a material effect on our financial statements.</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SFAS 159 and, at this point in time, have not determined the impact, if any, that this statement may have on our results of operations and financial position.</w:t>
      </w:r>
    </w:p>
    <w:p>
      <w:pPr>
        <w:spacing w:after="0" w:line="20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The Company is currently evaluating the impact of SFAS 141(R).</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7A. QUANTITATIVE AND QUALITATIVE DISCLOSURES ABOUT MARKET</w:t>
      </w:r>
    </w:p>
    <w:p>
      <w:pPr>
        <w:spacing w:after="0" w:line="256"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Financial instruments which potentially expose us to concentrations of credit risk primarily consist of cash and cash equivalents, short-term and long-term investments, accounts receivable and unbilled accounts receivable. We place our temporary cash in liquid investments at highly-rated financial institutions. However, the Company’s investment in auction-rate securities (“ARSs”) became illiquid during 2008 which was in contradiction to certain representations of the investment banks which hold certain of the Company’s cash and marketable securities. As of June 30, 2008, the cost basis balance of our long-term investments was $12.23 million which consisted exclusively of ARSs. The Company’s ARSs are held at two different investment banks: USB and Morgan Stanley. All but one of the ARS investments are AAA and/or Aaa rated. The other ARS is A2/A rated. Recently, auctions for these securities were not successful, resulting in the Company continuing to hold the securities and the issuers paying interest at the maximum contractual rate. Based on current credit market conditions, it is likely that future auctions related to these securities will be unsuccessful in the near term. Unsuccessful auctions will result in the Company holding securities beyond their next scheduled auction reset dates and limiting the short-term liquidity of these investments. Due to the unsuccessful auctions, at June 30, 2008, the Company determined there was a decline in the fair value of its ARS investments of about $1.1 million, which, in accordance with SFAS No. 115, Accounting for Certain Investments in Debt and Equity Securities, and related guidance issued by FASB and the SEC, was deemed temporary and recognized as an unrealized loss in the other comprehensive income section of the Company’s statement of operations. ClearOne believes that the underlying securities or collateral have not been affected and any lack of liquidity in its ARSs will not impact its ability to fund its operations.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the Company’s other investment securities, which are not ARSs, consist primarily of shares in U.S., state and local government agency obligations that have a par value of $1.00. These certificates have a rating of A or higher. Our investment securities also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of our non-ARSs, as a result of increase or decrease in interest rates.</w:t>
      </w:r>
    </w:p>
    <w:p>
      <w:pPr>
        <w:spacing w:after="0" w:line="215"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believe that our credit policies reflect normal industry terms and business risk. We do not anticipate non-performance by the counterparties and, accordingly, do not require collateral. Credit losses and write-offs of accounts receivable balances have historically not been material to our financial statements and have not exceeded our expectations.</w:t>
      </w:r>
    </w:p>
    <w:p>
      <w:pPr>
        <w:spacing w:after="0" w:line="20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did not have any notes payable and capital lease obligations as of June 30, 2008.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June 30, 2008. Based upon this evaluation our Chief Executive Officer and Chief Financial Officer concluded that our disclosure controls and procedures were effective as of June 30, 2008.</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during the fourth quarter ended June 30, 2008, and there were no significant deficiencies or material weaknesses.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relating to our directors is incorporated herein by reference to the definitive proxy statement for our 2008 Annual Meeting of Shareholders</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6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herein by reference to the definitive proxy statement for our 2008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1" w:name="page42"/>
    <w:bookmarkEnd w:id="41"/>
    <w:p>
      <w:pPr>
        <w:ind w:left="5280"/>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52"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1.</w:t>
      </w:r>
      <w:r>
        <w:rPr>
          <w:rFonts w:ascii="Arial" w:cs="Arial" w:eastAsia="Arial" w:hAnsi="Arial"/>
          <w:sz w:val="16"/>
          <w:szCs w:val="16"/>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Jones Simkins, P.C.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Hansen Barnett &amp; Maxwell, P.C.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June 30, 2008 and 2007</w:t>
      </w:r>
    </w:p>
    <w:p>
      <w:pPr>
        <w:spacing w:after="0" w:line="9" w:lineRule="exact"/>
        <w:rPr>
          <w:sz w:val="20"/>
          <w:szCs w:val="20"/>
          <w:color w:val="auto"/>
        </w:rPr>
      </w:pPr>
    </w:p>
    <w:p>
      <w:pPr>
        <w:ind w:left="1140" w:right="3620" w:hanging="323"/>
        <w:spacing w:after="0" w:line="250" w:lineRule="auto"/>
        <w:rPr>
          <w:sz w:val="20"/>
          <w:szCs w:val="20"/>
          <w:color w:val="auto"/>
        </w:rPr>
      </w:pPr>
      <w:r>
        <w:rPr>
          <w:rFonts w:ascii="Arial" w:cs="Arial" w:eastAsia="Arial" w:hAnsi="Arial"/>
          <w:sz w:val="18"/>
          <w:szCs w:val="18"/>
          <w:color w:val="auto"/>
        </w:rPr>
        <w:t>Consolidated Statements of Operations and Comprehensive Income (Loss) for fiscal years ended June 30, 2008, 2007, and 2006</w:t>
      </w:r>
    </w:p>
    <w:p>
      <w:pPr>
        <w:spacing w:after="0" w:line="1" w:lineRule="exact"/>
        <w:rPr>
          <w:sz w:val="20"/>
          <w:szCs w:val="20"/>
          <w:color w:val="auto"/>
        </w:rPr>
      </w:pPr>
    </w:p>
    <w:p>
      <w:pPr>
        <w:ind w:left="1140" w:right="3920" w:hanging="323"/>
        <w:spacing w:after="0" w:line="250" w:lineRule="auto"/>
        <w:rPr>
          <w:sz w:val="20"/>
          <w:szCs w:val="20"/>
          <w:color w:val="auto"/>
        </w:rPr>
      </w:pPr>
      <w:r>
        <w:rPr>
          <w:rFonts w:ascii="Arial" w:cs="Arial" w:eastAsia="Arial" w:hAnsi="Arial"/>
          <w:sz w:val="18"/>
          <w:szCs w:val="18"/>
          <w:color w:val="auto"/>
        </w:rPr>
        <w:t>Consolidated Statements of Shareholders’ Equity for fiscal years ended June 30, 2008, 2007, and 2006</w:t>
      </w:r>
    </w:p>
    <w:p>
      <w:pPr>
        <w:spacing w:after="0" w:line="1" w:lineRule="exact"/>
        <w:rPr>
          <w:sz w:val="20"/>
          <w:szCs w:val="20"/>
          <w:color w:val="auto"/>
        </w:rPr>
      </w:pPr>
    </w:p>
    <w:p>
      <w:pPr>
        <w:ind w:left="820" w:right="388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2008, 2007, and 2006 Notes to Consolidated Financial Statements</w:t>
      </w:r>
    </w:p>
    <w:p>
      <w:pPr>
        <w:spacing w:after="0" w:line="207"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accompanying consolidated financial statements and notes thereto.</w:t>
      </w:r>
    </w:p>
    <w:p>
      <w:pPr>
        <w:spacing w:after="0" w:line="193"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Exhibit</w:t>
            </w:r>
          </w:p>
        </w:tc>
        <w:tc>
          <w:tcPr>
            <w:tcW w:w="6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No.</w:t>
            </w:r>
          </w:p>
        </w:tc>
        <w:tc>
          <w:tcPr>
            <w:tcW w:w="620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Title of Document</w:t>
            </w:r>
          </w:p>
        </w:tc>
        <w:tc>
          <w:tcPr>
            <w:tcW w:w="30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Location</w:t>
            </w:r>
          </w:p>
        </w:tc>
        <w:tc>
          <w:tcPr>
            <w:tcW w:w="560" w:type="dxa"/>
            <w:vAlign w:val="bottom"/>
          </w:tcPr>
          <w:p>
            <w:pPr>
              <w:spacing w:after="0"/>
              <w:rPr>
                <w:sz w:val="20"/>
                <w:szCs w:val="20"/>
                <w:color w:val="auto"/>
              </w:rPr>
            </w:pPr>
          </w:p>
        </w:tc>
      </w:tr>
      <w:tr>
        <w:trPr>
          <w:trHeight w:val="176"/>
        </w:trPr>
        <w:tc>
          <w:tcPr>
            <w:tcW w:w="580" w:type="dxa"/>
            <w:vAlign w:val="bottom"/>
          </w:tcPr>
          <w:p>
            <w:pPr>
              <w:spacing w:after="0"/>
              <w:rPr>
                <w:sz w:val="15"/>
                <w:szCs w:val="15"/>
                <w:color w:val="auto"/>
              </w:rPr>
            </w:pPr>
          </w:p>
        </w:tc>
        <w:tc>
          <w:tcPr>
            <w:tcW w:w="1040" w:type="dxa"/>
            <w:vAlign w:val="bottom"/>
            <w:gridSpan w:val="3"/>
          </w:tcPr>
          <w:p>
            <w:pPr>
              <w:jc w:val="right"/>
              <w:ind w:right="280"/>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1</w:t>
            </w:r>
          </w:p>
        </w:tc>
        <w:tc>
          <w:tcPr>
            <w:tcW w:w="6200" w:type="dxa"/>
            <w:vAlign w:val="bottom"/>
          </w:tcPr>
          <w:p>
            <w:pPr>
              <w:ind w:left="180"/>
              <w:spacing w:after="0" w:line="176" w:lineRule="exact"/>
              <w:rPr>
                <w:sz w:val="20"/>
                <w:szCs w:val="20"/>
                <w:color w:val="auto"/>
              </w:rPr>
            </w:pPr>
            <w:r>
              <w:rPr>
                <w:rFonts w:ascii="Arial" w:cs="Arial" w:eastAsia="Arial" w:hAnsi="Arial"/>
                <w:sz w:val="18"/>
                <w:szCs w:val="18"/>
                <w:color w:val="auto"/>
              </w:rPr>
              <w:t>Articles of Incorporation and amendments thereto</w:t>
            </w:r>
          </w:p>
        </w:tc>
        <w:tc>
          <w:tcPr>
            <w:tcW w:w="3040" w:type="dxa"/>
            <w:vAlign w:val="bottom"/>
          </w:tcPr>
          <w:p>
            <w:pPr>
              <w:ind w:left="100"/>
              <w:spacing w:after="0" w:line="176" w:lineRule="exact"/>
              <w:rPr>
                <w:sz w:val="20"/>
                <w:szCs w:val="20"/>
                <w:color w:val="auto"/>
              </w:rPr>
            </w:pPr>
            <w:r>
              <w:rPr>
                <w:rFonts w:ascii="Arial" w:cs="Arial" w:eastAsia="Arial" w:hAnsi="Arial"/>
                <w:sz w:val="18"/>
                <w:szCs w:val="18"/>
                <w:color w:val="auto"/>
              </w:rPr>
              <w:t>This filing</w:t>
            </w:r>
          </w:p>
        </w:tc>
        <w:tc>
          <w:tcPr>
            <w:tcW w:w="56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Bylaws</w:t>
            </w:r>
          </w:p>
        </w:tc>
        <w:tc>
          <w:tcPr>
            <w:tcW w:w="304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5"/>
                <w:szCs w:val="25"/>
                <w:color w:val="auto"/>
                <w:vertAlign w:val="superscript"/>
              </w:rPr>
              <w:t>1</w:t>
            </w:r>
          </w:p>
        </w:tc>
        <w:tc>
          <w:tcPr>
            <w:tcW w:w="560" w:type="dxa"/>
            <w:vAlign w:val="bottom"/>
          </w:tcPr>
          <w:p>
            <w:pPr>
              <w:spacing w:after="0"/>
              <w:rPr>
                <w:sz w:val="19"/>
                <w:szCs w:val="19"/>
                <w:color w:val="auto"/>
              </w:rPr>
            </w:pPr>
          </w:p>
        </w:tc>
      </w:tr>
      <w:tr>
        <w:trPr>
          <w:trHeight w:val="202"/>
        </w:trPr>
        <w:tc>
          <w:tcPr>
            <w:tcW w:w="580" w:type="dxa"/>
            <w:vAlign w:val="bottom"/>
          </w:tcPr>
          <w:p>
            <w:pPr>
              <w:spacing w:after="0"/>
              <w:rPr>
                <w:sz w:val="17"/>
                <w:szCs w:val="17"/>
                <w:color w:val="auto"/>
              </w:rPr>
            </w:pPr>
          </w:p>
        </w:tc>
        <w:tc>
          <w:tcPr>
            <w:tcW w:w="10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10.1</w:t>
            </w:r>
          </w:p>
        </w:tc>
        <w:tc>
          <w:tcPr>
            <w:tcW w:w="6200" w:type="dxa"/>
            <w:vAlign w:val="bottom"/>
          </w:tcPr>
          <w:p>
            <w:pPr>
              <w:ind w:left="180"/>
              <w:spacing w:after="0" w:line="201" w:lineRule="exact"/>
              <w:rPr>
                <w:sz w:val="20"/>
                <w:szCs w:val="20"/>
                <w:color w:val="auto"/>
              </w:rPr>
            </w:pPr>
            <w:r>
              <w:rPr>
                <w:rFonts w:ascii="Arial" w:cs="Arial" w:eastAsia="Arial" w:hAnsi="Arial"/>
                <w:sz w:val="18"/>
                <w:szCs w:val="18"/>
                <w:color w:val="auto"/>
                <w:w w:val="91"/>
              </w:rPr>
              <w:t>Employment Separation Agreement between ClearOne Communications, Inc. and</w:t>
            </w:r>
          </w:p>
        </w:tc>
        <w:tc>
          <w:tcPr>
            <w:tcW w:w="3040" w:type="dxa"/>
            <w:vAlign w:val="bottom"/>
          </w:tcPr>
          <w:p>
            <w:pPr>
              <w:ind w:left="10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3</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Frances Flood, dated December 5, 2003.*</w:t>
            </w:r>
          </w:p>
        </w:tc>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0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10.2</w:t>
            </w:r>
          </w:p>
        </w:tc>
        <w:tc>
          <w:tcPr>
            <w:tcW w:w="6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Employment Separation Agreement between ClearOne Communications, Inc. and</w:t>
            </w:r>
          </w:p>
        </w:tc>
        <w:tc>
          <w:tcPr>
            <w:tcW w:w="3040" w:type="dxa"/>
            <w:vAlign w:val="bottom"/>
            <w:shd w:val="clear" w:color="auto" w:fill="CCEEFF"/>
          </w:tcPr>
          <w:p>
            <w:pPr>
              <w:ind w:left="10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3</w:t>
            </w: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Susie Strohm, dated December 5, 2003.*</w:t>
            </w:r>
          </w:p>
        </w:tc>
        <w:tc>
          <w:tcPr>
            <w:tcW w:w="304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580" w:type="dxa"/>
            <w:vAlign w:val="bottom"/>
          </w:tcPr>
          <w:p>
            <w:pPr>
              <w:spacing w:after="0"/>
              <w:rPr>
                <w:sz w:val="17"/>
                <w:szCs w:val="17"/>
                <w:color w:val="auto"/>
              </w:rPr>
            </w:pPr>
          </w:p>
        </w:tc>
        <w:tc>
          <w:tcPr>
            <w:tcW w:w="10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10.3</w:t>
            </w:r>
          </w:p>
        </w:tc>
        <w:tc>
          <w:tcPr>
            <w:tcW w:w="6200" w:type="dxa"/>
            <w:vAlign w:val="bottom"/>
          </w:tcPr>
          <w:p>
            <w:pPr>
              <w:ind w:left="180"/>
              <w:spacing w:after="0" w:line="201" w:lineRule="exact"/>
              <w:rPr>
                <w:sz w:val="20"/>
                <w:szCs w:val="20"/>
                <w:color w:val="auto"/>
              </w:rPr>
            </w:pPr>
            <w:r>
              <w:rPr>
                <w:rFonts w:ascii="Arial" w:cs="Arial" w:eastAsia="Arial" w:hAnsi="Arial"/>
                <w:sz w:val="18"/>
                <w:szCs w:val="18"/>
                <w:color w:val="auto"/>
                <w:w w:val="92"/>
              </w:rPr>
              <w:t>Joint Prosecution and Defense Agreement dated April 1, 2004 between ClearOne</w:t>
            </w:r>
          </w:p>
        </w:tc>
        <w:tc>
          <w:tcPr>
            <w:tcW w:w="3040" w:type="dxa"/>
            <w:vAlign w:val="bottom"/>
          </w:tcPr>
          <w:p>
            <w:pPr>
              <w:ind w:left="10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3</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Communications, Inc. Parsons Behle &amp; Latimer, Edward Dallin Bagley and</w:t>
            </w: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Arial" w:cs="Arial" w:eastAsia="Arial" w:hAnsi="Arial"/>
                <w:sz w:val="18"/>
                <w:szCs w:val="18"/>
                <w:color w:val="auto"/>
              </w:rPr>
              <w:t>Burbidge &amp; Mitchell, and amendment thereto</w:t>
            </w:r>
          </w:p>
        </w:tc>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1997 Employee Stock Purchase Plan</w:t>
            </w:r>
          </w:p>
        </w:tc>
        <w:tc>
          <w:tcPr>
            <w:tcW w:w="304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5"/>
                <w:szCs w:val="25"/>
                <w:color w:val="auto"/>
                <w:vertAlign w:val="superscript"/>
              </w:rPr>
              <w:t>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10.5</w:t>
            </w:r>
          </w:p>
        </w:tc>
        <w:tc>
          <w:tcPr>
            <w:tcW w:w="6200" w:type="dxa"/>
            <w:vAlign w:val="bottom"/>
          </w:tcPr>
          <w:p>
            <w:pPr>
              <w:ind w:left="180"/>
              <w:spacing w:after="0"/>
              <w:rPr>
                <w:sz w:val="20"/>
                <w:szCs w:val="20"/>
                <w:color w:val="auto"/>
              </w:rPr>
            </w:pPr>
            <w:r>
              <w:rPr>
                <w:rFonts w:ascii="Arial" w:cs="Arial" w:eastAsia="Arial" w:hAnsi="Arial"/>
                <w:sz w:val="18"/>
                <w:szCs w:val="18"/>
                <w:color w:val="auto"/>
              </w:rPr>
              <w:t>1998 Stock Option Plan</w:t>
            </w:r>
          </w:p>
        </w:tc>
        <w:tc>
          <w:tcPr>
            <w:tcW w:w="3040" w:type="dxa"/>
            <w:vAlign w:val="bottom"/>
          </w:tcPr>
          <w:p>
            <w:pPr>
              <w:ind w:left="100"/>
              <w:spacing w:after="0" w:line="22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5"/>
                <w:szCs w:val="25"/>
                <w:color w:val="auto"/>
                <w:vertAlign w:val="superscript"/>
              </w:rPr>
              <w:t>7</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2007 Equity Incentive Plan</w:t>
            </w:r>
          </w:p>
        </w:tc>
        <w:tc>
          <w:tcPr>
            <w:tcW w:w="3040" w:type="dxa"/>
            <w:vAlign w:val="bottom"/>
            <w:shd w:val="clear" w:color="auto" w:fill="CCEEFF"/>
          </w:tcPr>
          <w:p>
            <w:pPr>
              <w:ind w:left="100"/>
              <w:spacing w:after="0" w:line="22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5"/>
                <w:szCs w:val="25"/>
                <w:color w:val="auto"/>
                <w:vertAlign w:val="superscript"/>
              </w:rPr>
              <w:t>10</w:t>
            </w:r>
          </w:p>
        </w:tc>
        <w:tc>
          <w:tcPr>
            <w:tcW w:w="560" w:type="dxa"/>
            <w:vAlign w:val="bottom"/>
          </w:tcPr>
          <w:p>
            <w:pPr>
              <w:spacing w:after="0"/>
              <w:rPr>
                <w:sz w:val="19"/>
                <w:szCs w:val="19"/>
                <w:color w:val="auto"/>
              </w:rPr>
            </w:pPr>
          </w:p>
        </w:tc>
      </w:tr>
      <w:tr>
        <w:trPr>
          <w:trHeight w:val="608"/>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tcPr>
          <w:p>
            <w:pPr>
              <w:ind w:left="4000"/>
              <w:spacing w:after="0"/>
              <w:rPr>
                <w:sz w:val="20"/>
                <w:szCs w:val="20"/>
                <w:color w:val="auto"/>
              </w:rPr>
            </w:pPr>
            <w:r>
              <w:rPr>
                <w:rFonts w:ascii="Arial" w:cs="Arial" w:eastAsia="Arial" w:hAnsi="Arial"/>
                <w:sz w:val="18"/>
                <w:szCs w:val="18"/>
                <w:color w:val="auto"/>
              </w:rPr>
              <w:t>39</w:t>
            </w:r>
          </w:p>
        </w:tc>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2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2" w:name="page43"/>
    <w:bookmarkEnd w:id="42"/>
    <w:tbl>
      <w:tblPr>
        <w:tblLayout w:type="fixed"/>
        <w:tblInd w:w="580" w:type="dxa"/>
        <w:tblCellMar>
          <w:top w:w="0" w:type="dxa"/>
          <w:left w:w="0" w:type="dxa"/>
          <w:bottom w:w="0" w:type="dxa"/>
          <w:right w:w="0" w:type="dxa"/>
        </w:tblCellMar>
      </w:tblPr>
      <w:tr>
        <w:trPr>
          <w:trHeight w:val="287"/>
        </w:trPr>
        <w:tc>
          <w:tcPr>
            <w:tcW w:w="1020" w:type="dxa"/>
            <w:vAlign w:val="bottom"/>
            <w:gridSpan w:val="3"/>
          </w:tcPr>
          <w:p>
            <w:pPr>
              <w:jc w:val="center"/>
              <w:ind w:left="110"/>
              <w:spacing w:after="0"/>
              <w:rPr>
                <w:sz w:val="20"/>
                <w:szCs w:val="20"/>
                <w:color w:val="auto"/>
              </w:rPr>
            </w:pPr>
            <w:r>
              <w:rPr>
                <w:rFonts w:ascii="Arial" w:cs="Arial" w:eastAsia="Arial" w:hAnsi="Arial"/>
                <w:sz w:val="18"/>
                <w:szCs w:val="18"/>
                <w:color w:val="auto"/>
                <w:w w:val="85"/>
              </w:rPr>
              <w:t>10.7</w:t>
            </w:r>
          </w:p>
        </w:tc>
        <w:tc>
          <w:tcPr>
            <w:tcW w:w="9260" w:type="dxa"/>
            <w:vAlign w:val="bottom"/>
            <w:gridSpan w:val="2"/>
          </w:tcPr>
          <w:p>
            <w:pPr>
              <w:ind w:left="200"/>
              <w:spacing w:after="0"/>
              <w:rPr>
                <w:sz w:val="20"/>
                <w:szCs w:val="20"/>
                <w:color w:val="auto"/>
              </w:rPr>
            </w:pPr>
            <w:r>
              <w:rPr>
                <w:rFonts w:ascii="Arial" w:cs="Arial" w:eastAsia="Arial" w:hAnsi="Arial"/>
                <w:sz w:val="18"/>
                <w:szCs w:val="18"/>
                <w:color w:val="auto"/>
              </w:rPr>
              <w:t>Manufacturing Agreement between ClearOne Communications, Inc. and Inovar, Inc. Incorp. by reference</w:t>
            </w:r>
            <w:r>
              <w:rPr>
                <w:rFonts w:ascii="Arial" w:cs="Arial" w:eastAsia="Arial" w:hAnsi="Arial"/>
                <w:sz w:val="25"/>
                <w:szCs w:val="25"/>
                <w:color w:val="auto"/>
                <w:vertAlign w:val="superscript"/>
              </w:rPr>
              <w:t>4</w:t>
            </w:r>
          </w:p>
        </w:tc>
      </w:tr>
      <w:tr>
        <w:trPr>
          <w:trHeight w:val="230"/>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dated August 1, 2005</w:t>
            </w:r>
          </w:p>
        </w:tc>
        <w:tc>
          <w:tcPr>
            <w:tcW w:w="2980" w:type="dxa"/>
            <w:vAlign w:val="bottom"/>
          </w:tcPr>
          <w:p>
            <w:pPr>
              <w:spacing w:after="0"/>
              <w:rPr>
                <w:sz w:val="20"/>
                <w:szCs w:val="20"/>
                <w:color w:val="auto"/>
              </w:rPr>
            </w:pPr>
          </w:p>
        </w:tc>
      </w:tr>
      <w:tr>
        <w:trPr>
          <w:trHeight w:val="202"/>
        </w:trPr>
        <w:tc>
          <w:tcPr>
            <w:tcW w:w="1020" w:type="dxa"/>
            <w:vAlign w:val="bottom"/>
            <w:gridSpan w:val="3"/>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85"/>
              </w:rPr>
              <w:t>10.8</w:t>
            </w:r>
          </w:p>
        </w:tc>
        <w:tc>
          <w:tcPr>
            <w:tcW w:w="6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Office Lease between Edgewater Corporate Park, LLC and ClearOne</w:t>
            </w:r>
          </w:p>
        </w:tc>
        <w:tc>
          <w:tcPr>
            <w:tcW w:w="2980" w:type="dxa"/>
            <w:vAlign w:val="bottom"/>
            <w:shd w:val="clear" w:color="auto" w:fill="CCEEFF"/>
          </w:tcPr>
          <w:p>
            <w:pPr>
              <w:ind w:left="4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6</w:t>
            </w:r>
          </w:p>
        </w:tc>
      </w:tr>
      <w:tr>
        <w:trPr>
          <w:trHeight w:val="230"/>
        </w:trPr>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 Inc. dated June 5, 2006</w:t>
            </w:r>
          </w:p>
        </w:tc>
        <w:tc>
          <w:tcPr>
            <w:tcW w:w="2980" w:type="dxa"/>
            <w:vAlign w:val="bottom"/>
            <w:shd w:val="clear" w:color="auto" w:fill="CCEEFF"/>
          </w:tcPr>
          <w:p>
            <w:pPr>
              <w:spacing w:after="0"/>
              <w:rPr>
                <w:sz w:val="20"/>
                <w:szCs w:val="20"/>
                <w:color w:val="auto"/>
              </w:rPr>
            </w:pPr>
          </w:p>
        </w:tc>
      </w:tr>
      <w:tr>
        <w:trPr>
          <w:trHeight w:val="202"/>
        </w:trPr>
        <w:tc>
          <w:tcPr>
            <w:tcW w:w="1020" w:type="dxa"/>
            <w:vAlign w:val="bottom"/>
            <w:gridSpan w:val="3"/>
          </w:tcPr>
          <w:p>
            <w:pPr>
              <w:jc w:val="center"/>
              <w:ind w:left="110"/>
              <w:spacing w:after="0" w:line="201" w:lineRule="exact"/>
              <w:rPr>
                <w:sz w:val="20"/>
                <w:szCs w:val="20"/>
                <w:color w:val="auto"/>
              </w:rPr>
            </w:pPr>
            <w:r>
              <w:rPr>
                <w:rFonts w:ascii="Arial" w:cs="Arial" w:eastAsia="Arial" w:hAnsi="Arial"/>
                <w:sz w:val="18"/>
                <w:szCs w:val="18"/>
                <w:color w:val="auto"/>
                <w:w w:val="85"/>
              </w:rPr>
              <w:t>10.9</w:t>
            </w:r>
          </w:p>
        </w:tc>
        <w:tc>
          <w:tcPr>
            <w:tcW w:w="6280" w:type="dxa"/>
            <w:vAlign w:val="bottom"/>
          </w:tcPr>
          <w:p>
            <w:pPr>
              <w:ind w:left="200"/>
              <w:spacing w:after="0" w:line="201" w:lineRule="exact"/>
              <w:rPr>
                <w:sz w:val="20"/>
                <w:szCs w:val="20"/>
                <w:color w:val="auto"/>
              </w:rPr>
            </w:pPr>
            <w:r>
              <w:rPr>
                <w:rFonts w:ascii="Arial" w:cs="Arial" w:eastAsia="Arial" w:hAnsi="Arial"/>
                <w:sz w:val="18"/>
                <w:szCs w:val="18"/>
                <w:color w:val="auto"/>
                <w:w w:val="91"/>
              </w:rPr>
              <w:t>Consulting Agreement between Edward D. Bagley and ClearOne Communications,</w:t>
            </w:r>
          </w:p>
        </w:tc>
        <w:tc>
          <w:tcPr>
            <w:tcW w:w="2980" w:type="dxa"/>
            <w:vAlign w:val="bottom"/>
          </w:tcPr>
          <w:p>
            <w:pPr>
              <w:ind w:left="4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8</w:t>
            </w:r>
          </w:p>
        </w:tc>
      </w:tr>
      <w:tr>
        <w:trPr>
          <w:trHeight w:val="230"/>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Inc. dated July 6, 2007</w:t>
            </w:r>
          </w:p>
        </w:tc>
        <w:tc>
          <w:tcPr>
            <w:tcW w:w="2980" w:type="dxa"/>
            <w:vAlign w:val="bottom"/>
          </w:tcPr>
          <w:p>
            <w:pPr>
              <w:spacing w:after="0"/>
              <w:rPr>
                <w:sz w:val="20"/>
                <w:szCs w:val="20"/>
                <w:color w:val="auto"/>
              </w:rPr>
            </w:pPr>
          </w:p>
        </w:tc>
      </w:tr>
      <w:tr>
        <w:trPr>
          <w:trHeight w:val="202"/>
        </w:trPr>
        <w:tc>
          <w:tcPr>
            <w:tcW w:w="1020" w:type="dxa"/>
            <w:vAlign w:val="bottom"/>
            <w:gridSpan w:val="3"/>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3"/>
              </w:rPr>
              <w:t>10.10</w:t>
            </w:r>
          </w:p>
        </w:tc>
        <w:tc>
          <w:tcPr>
            <w:tcW w:w="6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Severance Agreement between ClearOne Communications, Inc. and Edward D.</w:t>
            </w:r>
          </w:p>
        </w:tc>
        <w:tc>
          <w:tcPr>
            <w:tcW w:w="2980" w:type="dxa"/>
            <w:vAlign w:val="bottom"/>
            <w:shd w:val="clear" w:color="auto" w:fill="CCEEFF"/>
          </w:tcPr>
          <w:p>
            <w:pPr>
              <w:ind w:left="4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8</w:t>
            </w:r>
          </w:p>
        </w:tc>
      </w:tr>
      <w:tr>
        <w:trPr>
          <w:trHeight w:val="230"/>
        </w:trPr>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Bagley dated July 6, 2007*</w:t>
            </w:r>
          </w:p>
        </w:tc>
        <w:tc>
          <w:tcPr>
            <w:tcW w:w="2980" w:type="dxa"/>
            <w:vAlign w:val="bottom"/>
            <w:shd w:val="clear" w:color="auto" w:fill="CCEEFF"/>
          </w:tcPr>
          <w:p>
            <w:pPr>
              <w:spacing w:after="0"/>
              <w:rPr>
                <w:sz w:val="20"/>
                <w:szCs w:val="20"/>
                <w:color w:val="auto"/>
              </w:rPr>
            </w:pPr>
          </w:p>
        </w:tc>
      </w:tr>
      <w:tr>
        <w:trPr>
          <w:trHeight w:val="202"/>
        </w:trPr>
        <w:tc>
          <w:tcPr>
            <w:tcW w:w="1020" w:type="dxa"/>
            <w:vAlign w:val="bottom"/>
            <w:gridSpan w:val="3"/>
          </w:tcPr>
          <w:p>
            <w:pPr>
              <w:jc w:val="center"/>
              <w:ind w:left="110"/>
              <w:spacing w:after="0" w:line="201" w:lineRule="exact"/>
              <w:rPr>
                <w:sz w:val="20"/>
                <w:szCs w:val="20"/>
                <w:color w:val="auto"/>
              </w:rPr>
            </w:pPr>
            <w:r>
              <w:rPr>
                <w:rFonts w:ascii="Arial" w:cs="Arial" w:eastAsia="Arial" w:hAnsi="Arial"/>
                <w:sz w:val="18"/>
                <w:szCs w:val="18"/>
                <w:color w:val="auto"/>
                <w:w w:val="84"/>
              </w:rPr>
              <w:t>10.11</w:t>
            </w:r>
          </w:p>
        </w:tc>
        <w:tc>
          <w:tcPr>
            <w:tcW w:w="6280" w:type="dxa"/>
            <w:vAlign w:val="bottom"/>
          </w:tcPr>
          <w:p>
            <w:pPr>
              <w:ind w:left="200"/>
              <w:spacing w:after="0" w:line="201" w:lineRule="exact"/>
              <w:rPr>
                <w:sz w:val="20"/>
                <w:szCs w:val="20"/>
                <w:color w:val="auto"/>
              </w:rPr>
            </w:pPr>
            <w:r>
              <w:rPr>
                <w:rFonts w:ascii="Arial" w:cs="Arial" w:eastAsia="Arial" w:hAnsi="Arial"/>
                <w:sz w:val="18"/>
                <w:szCs w:val="18"/>
                <w:color w:val="auto"/>
                <w:w w:val="98"/>
              </w:rPr>
              <w:t>Compromise Agreement between ClearOne Communications UK Limited and</w:t>
            </w:r>
          </w:p>
        </w:tc>
        <w:tc>
          <w:tcPr>
            <w:tcW w:w="2980" w:type="dxa"/>
            <w:vAlign w:val="bottom"/>
          </w:tcPr>
          <w:p>
            <w:pPr>
              <w:ind w:left="4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9</w:t>
            </w:r>
          </w:p>
        </w:tc>
      </w:tr>
      <w:tr>
        <w:trPr>
          <w:trHeight w:val="230"/>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Martin Offwood dated August 13, 2007*</w:t>
            </w:r>
          </w:p>
        </w:tc>
        <w:tc>
          <w:tcPr>
            <w:tcW w:w="2980" w:type="dxa"/>
            <w:vAlign w:val="bottom"/>
          </w:tcPr>
          <w:p>
            <w:pPr>
              <w:spacing w:after="0"/>
              <w:rPr>
                <w:sz w:val="20"/>
                <w:szCs w:val="20"/>
                <w:color w:val="auto"/>
              </w:rPr>
            </w:pPr>
          </w:p>
        </w:tc>
      </w:tr>
      <w:tr>
        <w:trPr>
          <w:trHeight w:val="202"/>
        </w:trPr>
        <w:tc>
          <w:tcPr>
            <w:tcW w:w="1020" w:type="dxa"/>
            <w:vAlign w:val="bottom"/>
            <w:gridSpan w:val="3"/>
            <w:shd w:val="clear" w:color="auto" w:fill="CCEEFF"/>
          </w:tcPr>
          <w:p>
            <w:pPr>
              <w:jc w:val="center"/>
              <w:ind w:left="110"/>
              <w:spacing w:after="0" w:line="201" w:lineRule="exact"/>
              <w:rPr>
                <w:sz w:val="20"/>
                <w:szCs w:val="20"/>
                <w:color w:val="auto"/>
              </w:rPr>
            </w:pPr>
            <w:r>
              <w:rPr>
                <w:rFonts w:ascii="Arial" w:cs="Arial" w:eastAsia="Arial" w:hAnsi="Arial"/>
                <w:sz w:val="18"/>
                <w:szCs w:val="18"/>
                <w:color w:val="auto"/>
                <w:w w:val="93"/>
              </w:rPr>
              <w:t>10.12</w:t>
            </w:r>
          </w:p>
        </w:tc>
        <w:tc>
          <w:tcPr>
            <w:tcW w:w="6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Warehouse Lease Agreement between Woodenshoe Development and Clearone</w:t>
            </w:r>
          </w:p>
        </w:tc>
        <w:tc>
          <w:tcPr>
            <w:tcW w:w="2980" w:type="dxa"/>
            <w:vAlign w:val="bottom"/>
            <w:shd w:val="clear" w:color="auto" w:fill="CCEEFF"/>
          </w:tcPr>
          <w:p>
            <w:pPr>
              <w:ind w:left="40"/>
              <w:spacing w:after="0" w:line="202" w:lineRule="exact"/>
              <w:rPr>
                <w:sz w:val="20"/>
                <w:szCs w:val="20"/>
                <w:color w:val="auto"/>
              </w:rPr>
            </w:pPr>
            <w:r>
              <w:rPr>
                <w:rFonts w:ascii="Arial" w:cs="Arial" w:eastAsia="Arial" w:hAnsi="Arial"/>
                <w:sz w:val="17"/>
                <w:szCs w:val="17"/>
                <w:color w:val="auto"/>
              </w:rPr>
              <w:t>Incorp. by reference</w:t>
            </w:r>
            <w:r>
              <w:rPr>
                <w:rFonts w:ascii="Arial" w:cs="Arial" w:eastAsia="Arial" w:hAnsi="Arial"/>
                <w:sz w:val="23"/>
                <w:szCs w:val="23"/>
                <w:color w:val="auto"/>
                <w:vertAlign w:val="superscript"/>
              </w:rPr>
              <w:t>9</w:t>
            </w:r>
          </w:p>
        </w:tc>
      </w:tr>
      <w:tr>
        <w:trPr>
          <w:trHeight w:val="230"/>
        </w:trPr>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 Inc. dated October 5, 2007</w:t>
            </w:r>
          </w:p>
        </w:tc>
        <w:tc>
          <w:tcPr>
            <w:tcW w:w="2980" w:type="dxa"/>
            <w:vAlign w:val="bottom"/>
            <w:shd w:val="clear" w:color="auto" w:fill="CCEEFF"/>
          </w:tcPr>
          <w:p>
            <w:pPr>
              <w:spacing w:after="0"/>
              <w:rPr>
                <w:sz w:val="20"/>
                <w:szCs w:val="20"/>
                <w:color w:val="auto"/>
              </w:rPr>
            </w:pPr>
          </w:p>
        </w:tc>
      </w:tr>
      <w:tr>
        <w:trPr>
          <w:trHeight w:val="230"/>
        </w:trPr>
        <w:tc>
          <w:tcPr>
            <w:tcW w:w="1020" w:type="dxa"/>
            <w:vAlign w:val="bottom"/>
            <w:gridSpan w:val="3"/>
          </w:tcPr>
          <w:p>
            <w:pPr>
              <w:jc w:val="center"/>
              <w:ind w:left="110"/>
              <w:spacing w:after="0"/>
              <w:rPr>
                <w:sz w:val="20"/>
                <w:szCs w:val="20"/>
                <w:color w:val="auto"/>
              </w:rPr>
            </w:pPr>
            <w:r>
              <w:rPr>
                <w:rFonts w:ascii="Arial" w:cs="Arial" w:eastAsia="Arial" w:hAnsi="Arial"/>
                <w:sz w:val="18"/>
                <w:szCs w:val="18"/>
                <w:color w:val="auto"/>
                <w:w w:val="85"/>
              </w:rPr>
              <w:t>14.1</w:t>
            </w:r>
          </w:p>
        </w:tc>
        <w:tc>
          <w:tcPr>
            <w:tcW w:w="6280" w:type="dxa"/>
            <w:vAlign w:val="bottom"/>
          </w:tcPr>
          <w:p>
            <w:pPr>
              <w:ind w:left="200"/>
              <w:spacing w:after="0"/>
              <w:rPr>
                <w:sz w:val="20"/>
                <w:szCs w:val="20"/>
                <w:color w:val="auto"/>
              </w:rPr>
            </w:pPr>
            <w:r>
              <w:rPr>
                <w:rFonts w:ascii="Arial" w:cs="Arial" w:eastAsia="Arial" w:hAnsi="Arial"/>
                <w:sz w:val="18"/>
                <w:szCs w:val="18"/>
                <w:color w:val="auto"/>
              </w:rPr>
              <w:t>Code of Ethics, approved by the Board of Directors on August 23, 2006</w:t>
            </w:r>
          </w:p>
        </w:tc>
        <w:tc>
          <w:tcPr>
            <w:tcW w:w="2980" w:type="dxa"/>
            <w:vAlign w:val="bottom"/>
          </w:tcPr>
          <w:p>
            <w:pPr>
              <w:ind w:left="40"/>
              <w:spacing w:after="0" w:line="229"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5"/>
                <w:szCs w:val="25"/>
                <w:color w:val="auto"/>
                <w:vertAlign w:val="superscript"/>
              </w:rPr>
              <w:t>6</w:t>
            </w:r>
          </w:p>
        </w:tc>
      </w:tr>
      <w:tr>
        <w:trPr>
          <w:trHeight w:val="176"/>
        </w:trPr>
        <w:tc>
          <w:tcPr>
            <w:tcW w:w="1020" w:type="dxa"/>
            <w:vAlign w:val="bottom"/>
            <w:gridSpan w:val="3"/>
            <w:shd w:val="clear" w:color="auto" w:fill="CCEEFF"/>
          </w:tcPr>
          <w:p>
            <w:pPr>
              <w:jc w:val="center"/>
              <w:ind w:left="110"/>
              <w:spacing w:after="0" w:line="176" w:lineRule="exact"/>
              <w:rPr>
                <w:sz w:val="20"/>
                <w:szCs w:val="20"/>
                <w:color w:val="auto"/>
              </w:rPr>
            </w:pPr>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p>
        </w:tc>
        <w:tc>
          <w:tcPr>
            <w:tcW w:w="62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Subsidiaries of the registrant</w:t>
            </w:r>
          </w:p>
        </w:tc>
        <w:tc>
          <w:tcPr>
            <w:tcW w:w="29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3"/>
          </w:tcPr>
          <w:p>
            <w:pPr>
              <w:jc w:val="center"/>
              <w:ind w:left="110"/>
              <w:spacing w:after="0" w:line="17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926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Consent of Jones Simkins P.C., Company’s independent auditors for the year ending This filing</w:t>
            </w:r>
          </w:p>
        </w:tc>
      </w:tr>
      <w:tr>
        <w:trPr>
          <w:trHeight w:val="237"/>
        </w:trPr>
        <w:tc>
          <w:tcPr>
            <w:tcW w:w="46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June 30, 2008</w:t>
            </w:r>
          </w:p>
        </w:tc>
        <w:tc>
          <w:tcPr>
            <w:tcW w:w="2980" w:type="dxa"/>
            <w:vAlign w:val="bottom"/>
          </w:tcPr>
          <w:p>
            <w:pPr>
              <w:spacing w:after="0"/>
              <w:rPr>
                <w:sz w:val="20"/>
                <w:szCs w:val="20"/>
                <w:color w:val="auto"/>
              </w:rPr>
            </w:pPr>
          </w:p>
        </w:tc>
      </w:tr>
      <w:tr>
        <w:trPr>
          <w:trHeight w:val="176"/>
        </w:trPr>
        <w:tc>
          <w:tcPr>
            <w:tcW w:w="1020" w:type="dxa"/>
            <w:vAlign w:val="bottom"/>
            <w:gridSpan w:val="3"/>
            <w:shd w:val="clear" w:color="auto" w:fill="CCEEFF"/>
          </w:tcPr>
          <w:p>
            <w:pPr>
              <w:jc w:val="center"/>
              <w:ind w:left="110"/>
              <w:spacing w:after="0" w:line="17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62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Consent of Hansen Barnett &amp; Maxwell, P.C., Company’s independent auditors for</w:t>
            </w:r>
          </w:p>
        </w:tc>
        <w:tc>
          <w:tcPr>
            <w:tcW w:w="29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37"/>
        </w:trPr>
        <w:tc>
          <w:tcPr>
            <w:tcW w:w="4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62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year ending June 30, 2006</w:t>
            </w:r>
          </w:p>
        </w:tc>
        <w:tc>
          <w:tcPr>
            <w:tcW w:w="2980" w:type="dxa"/>
            <w:vAlign w:val="bottom"/>
            <w:tcBorders>
              <w:top w:val="single" w:sz="8" w:color="CCEEFF"/>
            </w:tcBorders>
            <w:shd w:val="clear" w:color="auto" w:fill="CCEEFF"/>
          </w:tcPr>
          <w:p>
            <w:pPr>
              <w:spacing w:after="0"/>
              <w:rPr>
                <w:sz w:val="20"/>
                <w:szCs w:val="20"/>
                <w:color w:val="auto"/>
              </w:rPr>
            </w:pPr>
          </w:p>
        </w:tc>
      </w:tr>
      <w:tr>
        <w:trPr>
          <w:trHeight w:val="176"/>
        </w:trPr>
        <w:tc>
          <w:tcPr>
            <w:tcW w:w="1020" w:type="dxa"/>
            <w:vAlign w:val="bottom"/>
            <w:gridSpan w:val="3"/>
          </w:tcPr>
          <w:p>
            <w:pPr>
              <w:jc w:val="center"/>
              <w:ind w:left="110"/>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6280" w:type="dxa"/>
            <w:vAlign w:val="bottom"/>
          </w:tcPr>
          <w:p>
            <w:pPr>
              <w:ind w:left="200"/>
              <w:spacing w:after="0" w:line="176" w:lineRule="exact"/>
              <w:rPr>
                <w:sz w:val="20"/>
                <w:szCs w:val="20"/>
                <w:color w:val="auto"/>
              </w:rPr>
            </w:pPr>
            <w:r>
              <w:rPr>
                <w:rFonts w:ascii="Arial" w:cs="Arial" w:eastAsia="Arial" w:hAnsi="Arial"/>
                <w:sz w:val="18"/>
                <w:szCs w:val="18"/>
                <w:color w:val="auto"/>
              </w:rPr>
              <w:t>Section 302 Certification of Chief Executive Officer</w:t>
            </w:r>
          </w:p>
        </w:tc>
        <w:tc>
          <w:tcPr>
            <w:tcW w:w="2980" w:type="dxa"/>
            <w:vAlign w:val="bottom"/>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76"/>
        </w:trPr>
        <w:tc>
          <w:tcPr>
            <w:tcW w:w="1020" w:type="dxa"/>
            <w:vAlign w:val="bottom"/>
            <w:gridSpan w:val="3"/>
            <w:shd w:val="clear" w:color="auto" w:fill="CCEEFF"/>
          </w:tcPr>
          <w:p>
            <w:pPr>
              <w:jc w:val="center"/>
              <w:ind w:left="110"/>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62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Section 302 Certification of Interim Chief Financial Officer</w:t>
            </w:r>
          </w:p>
        </w:tc>
        <w:tc>
          <w:tcPr>
            <w:tcW w:w="29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3"/>
          </w:tcPr>
          <w:p>
            <w:pPr>
              <w:jc w:val="center"/>
              <w:ind w:left="110"/>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6280" w:type="dxa"/>
            <w:vAlign w:val="bottom"/>
          </w:tcPr>
          <w:p>
            <w:pPr>
              <w:ind w:left="200"/>
              <w:spacing w:after="0" w:line="176" w:lineRule="exact"/>
              <w:rPr>
                <w:sz w:val="20"/>
                <w:szCs w:val="20"/>
                <w:color w:val="auto"/>
              </w:rPr>
            </w:pPr>
            <w:r>
              <w:rPr>
                <w:rFonts w:ascii="Arial" w:cs="Arial" w:eastAsia="Arial" w:hAnsi="Arial"/>
                <w:sz w:val="18"/>
                <w:szCs w:val="18"/>
                <w:color w:val="auto"/>
              </w:rPr>
              <w:t>Section 1350 Certification of Chief Executive Officer</w:t>
            </w:r>
          </w:p>
        </w:tc>
        <w:tc>
          <w:tcPr>
            <w:tcW w:w="2980" w:type="dxa"/>
            <w:vAlign w:val="bottom"/>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6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76"/>
        </w:trPr>
        <w:tc>
          <w:tcPr>
            <w:tcW w:w="1020" w:type="dxa"/>
            <w:vAlign w:val="bottom"/>
            <w:gridSpan w:val="3"/>
            <w:shd w:val="clear" w:color="auto" w:fill="CCEEFF"/>
          </w:tcPr>
          <w:p>
            <w:pPr>
              <w:jc w:val="center"/>
              <w:ind w:left="110"/>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62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Section 1350 Certification of Interim Chief Financial Officer</w:t>
            </w:r>
          </w:p>
        </w:tc>
        <w:tc>
          <w:tcPr>
            <w:tcW w:w="298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15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Incorporated by reference to the Registrant’s registration statement on Form S-3/A filed with the Commission on November 1, 2002.</w:t>
      </w: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ind w:left="340" w:hanging="332"/>
        <w:spacing w:after="0" w:line="18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2006.</w:t>
      </w:r>
    </w:p>
    <w:p>
      <w:pPr>
        <w:ind w:left="340" w:hanging="332"/>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registration statement on form S-8 filed with the Commission on October 6, 2006.</w:t>
      </w:r>
    </w:p>
    <w:p>
      <w:pPr>
        <w:ind w:left="340" w:hanging="332"/>
        <w:spacing w:after="0" w:line="181"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Annual Report on Form 10-K for the fiscal year ended June 30, 2007.</w:t>
      </w:r>
    </w:p>
    <w:p>
      <w:pPr>
        <w:ind w:left="340" w:hanging="332"/>
        <w:spacing w:after="0" w:line="183"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Incorporated by reference to the Registrant’s Quarterly Report on Form 10-Q for the quarter ended September 30, 2007.</w:t>
      </w:r>
    </w:p>
    <w:p>
      <w:pPr>
        <w:spacing w:after="0" w:line="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8"/>
          <w:szCs w:val="18"/>
          <w:color w:val="auto"/>
        </w:rPr>
        <w:t>Incorporated by reference to the Registrant’s registration statement on Form S-8 filed with the Commission on January 22, 2008.</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7"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689" w:right="79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ind w:left="1720"/>
        <w:spacing w:after="0"/>
        <w:tabs>
          <w:tab w:leader="none" w:pos="5900" w:val="left"/>
          <w:tab w:leader="none" w:pos="6320" w:val="left"/>
        </w:tabs>
        <w:rPr>
          <w:sz w:val="20"/>
          <w:szCs w:val="20"/>
          <w:color w:val="auto"/>
        </w:rPr>
      </w:pPr>
      <w:r>
        <w:rPr>
          <w:rFonts w:ascii="Arial" w:cs="Arial" w:eastAsia="Arial" w:hAnsi="Arial"/>
          <w:sz w:val="18"/>
          <w:szCs w:val="18"/>
          <w:color w:val="auto"/>
        </w:rPr>
        <w:t>September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13550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35505"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Chairman</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capacity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Signature</w:t>
            </w:r>
          </w:p>
        </w:tc>
        <w:tc>
          <w:tcPr>
            <w:tcW w:w="36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Title</w:t>
            </w:r>
          </w:p>
        </w:tc>
        <w:tc>
          <w:tcPr>
            <w:tcW w:w="24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Date</w:t>
            </w:r>
          </w:p>
        </w:tc>
        <w:tc>
          <w:tcPr>
            <w:tcW w:w="114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 Zeynep Hakimoglu</w:t>
            </w:r>
          </w:p>
        </w:tc>
        <w:tc>
          <w:tcPr>
            <w:tcW w:w="3660" w:type="dxa"/>
            <w:vAlign w:val="bottom"/>
          </w:tcPr>
          <w:p>
            <w:pPr>
              <w:jc w:val="center"/>
              <w:ind w:right="190"/>
              <w:spacing w:after="0"/>
              <w:rPr>
                <w:sz w:val="20"/>
                <w:szCs w:val="20"/>
                <w:color w:val="auto"/>
              </w:rPr>
            </w:pPr>
            <w:r>
              <w:rPr>
                <w:rFonts w:ascii="Arial" w:cs="Arial" w:eastAsia="Arial" w:hAnsi="Arial"/>
                <w:sz w:val="18"/>
                <w:szCs w:val="18"/>
                <w:color w:val="auto"/>
                <w:w w:val="91"/>
              </w:rPr>
              <w:t>President, Chief Executive Officer, and</w:t>
            </w:r>
          </w:p>
        </w:tc>
        <w:tc>
          <w:tcPr>
            <w:tcW w:w="2420" w:type="dxa"/>
            <w:vAlign w:val="bottom"/>
          </w:tcPr>
          <w:p>
            <w:pPr>
              <w:jc w:val="center"/>
              <w:ind w:right="170"/>
              <w:spacing w:after="0"/>
              <w:rPr>
                <w:sz w:val="20"/>
                <w:szCs w:val="20"/>
                <w:color w:val="auto"/>
              </w:rPr>
            </w:pPr>
            <w:r>
              <w:rPr>
                <w:rFonts w:ascii="Arial" w:cs="Arial" w:eastAsia="Arial" w:hAnsi="Arial"/>
                <w:sz w:val="18"/>
                <w:szCs w:val="18"/>
                <w:color w:val="auto"/>
                <w:w w:val="88"/>
              </w:rPr>
              <w:t>September 10, 2008</w:t>
            </w:r>
          </w:p>
        </w:tc>
        <w:tc>
          <w:tcPr>
            <w:tcW w:w="114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660" w:type="dxa"/>
            <w:vAlign w:val="bottom"/>
          </w:tcPr>
          <w:p>
            <w:pPr>
              <w:jc w:val="center"/>
              <w:ind w:right="190"/>
              <w:spacing w:after="0" w:line="203" w:lineRule="exact"/>
              <w:rPr>
                <w:sz w:val="20"/>
                <w:szCs w:val="20"/>
                <w:color w:val="auto"/>
              </w:rPr>
            </w:pPr>
            <w:r>
              <w:rPr>
                <w:rFonts w:ascii="Arial" w:cs="Arial" w:eastAsia="Arial" w:hAnsi="Arial"/>
                <w:sz w:val="18"/>
                <w:szCs w:val="18"/>
                <w:color w:val="auto"/>
                <w:w w:val="89"/>
              </w:rPr>
              <w:t>Chairman</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Zeynep Hakimoglu</w:t>
            </w:r>
          </w:p>
        </w:tc>
        <w:tc>
          <w:tcPr>
            <w:tcW w:w="3660" w:type="dxa"/>
            <w:vAlign w:val="bottom"/>
          </w:tcPr>
          <w:p>
            <w:pPr>
              <w:jc w:val="center"/>
              <w:ind w:right="19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5"/>
        </w:trPr>
        <w:tc>
          <w:tcPr>
            <w:tcW w:w="11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 A. LeClaire</w:t>
            </w:r>
          </w:p>
        </w:tc>
        <w:tc>
          <w:tcPr>
            <w:tcW w:w="3660" w:type="dxa"/>
            <w:vAlign w:val="bottom"/>
          </w:tcPr>
          <w:p>
            <w:pPr>
              <w:jc w:val="center"/>
              <w:ind w:right="190"/>
              <w:spacing w:after="0"/>
              <w:rPr>
                <w:sz w:val="20"/>
                <w:szCs w:val="20"/>
                <w:color w:val="auto"/>
              </w:rPr>
            </w:pPr>
            <w:r>
              <w:rPr>
                <w:rFonts w:ascii="Arial" w:cs="Arial" w:eastAsia="Arial" w:hAnsi="Arial"/>
                <w:sz w:val="18"/>
                <w:szCs w:val="18"/>
                <w:color w:val="auto"/>
                <w:w w:val="93"/>
              </w:rPr>
              <w:t>Chief Financial Officer</w:t>
            </w:r>
          </w:p>
        </w:tc>
        <w:tc>
          <w:tcPr>
            <w:tcW w:w="2420" w:type="dxa"/>
            <w:vAlign w:val="bottom"/>
          </w:tcPr>
          <w:p>
            <w:pPr>
              <w:jc w:val="center"/>
              <w:ind w:right="170"/>
              <w:spacing w:after="0"/>
              <w:rPr>
                <w:sz w:val="20"/>
                <w:szCs w:val="20"/>
                <w:color w:val="auto"/>
              </w:rPr>
            </w:pPr>
            <w:r>
              <w:rPr>
                <w:rFonts w:ascii="Arial" w:cs="Arial" w:eastAsia="Arial" w:hAnsi="Arial"/>
                <w:sz w:val="18"/>
                <w:szCs w:val="18"/>
                <w:color w:val="auto"/>
                <w:w w:val="88"/>
              </w:rPr>
              <w:t>September 10, 2008</w:t>
            </w:r>
          </w:p>
        </w:tc>
        <w:tc>
          <w:tcPr>
            <w:tcW w:w="11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Greg A. LeClaire</w:t>
            </w:r>
          </w:p>
        </w:tc>
        <w:tc>
          <w:tcPr>
            <w:tcW w:w="3660" w:type="dxa"/>
            <w:vAlign w:val="bottom"/>
          </w:tcPr>
          <w:p>
            <w:pPr>
              <w:jc w:val="center"/>
              <w:ind w:right="190"/>
              <w:spacing w:after="0"/>
              <w:rPr>
                <w:sz w:val="20"/>
                <w:szCs w:val="20"/>
                <w:color w:val="auto"/>
              </w:rPr>
            </w:pPr>
            <w:r>
              <w:rPr>
                <w:rFonts w:ascii="Arial" w:cs="Arial" w:eastAsia="Arial" w:hAnsi="Arial"/>
                <w:sz w:val="18"/>
                <w:szCs w:val="18"/>
                <w:color w:val="auto"/>
                <w:w w:val="93"/>
              </w:rPr>
              <w:t>(Principal Financial and Accounting Officer)</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5"/>
        </w:trPr>
        <w:tc>
          <w:tcPr>
            <w:tcW w:w="11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 R. Baldwin</w:t>
            </w:r>
          </w:p>
        </w:tc>
        <w:tc>
          <w:tcPr>
            <w:tcW w:w="366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right="170"/>
              <w:spacing w:after="0"/>
              <w:rPr>
                <w:sz w:val="20"/>
                <w:szCs w:val="20"/>
                <w:color w:val="auto"/>
              </w:rPr>
            </w:pPr>
            <w:r>
              <w:rPr>
                <w:rFonts w:ascii="Arial" w:cs="Arial" w:eastAsia="Arial" w:hAnsi="Arial"/>
                <w:sz w:val="18"/>
                <w:szCs w:val="18"/>
                <w:color w:val="auto"/>
                <w:w w:val="88"/>
              </w:rPr>
              <w:t>September 10, 2008</w:t>
            </w:r>
          </w:p>
        </w:tc>
        <w:tc>
          <w:tcPr>
            <w:tcW w:w="11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5"/>
        </w:trPr>
        <w:tc>
          <w:tcPr>
            <w:tcW w:w="11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R. Hendricks</w:t>
            </w:r>
          </w:p>
        </w:tc>
        <w:tc>
          <w:tcPr>
            <w:tcW w:w="366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right="170"/>
              <w:spacing w:after="0"/>
              <w:rPr>
                <w:sz w:val="20"/>
                <w:szCs w:val="20"/>
                <w:color w:val="auto"/>
              </w:rPr>
            </w:pPr>
            <w:r>
              <w:rPr>
                <w:rFonts w:ascii="Arial" w:cs="Arial" w:eastAsia="Arial" w:hAnsi="Arial"/>
                <w:sz w:val="18"/>
                <w:szCs w:val="18"/>
                <w:color w:val="auto"/>
                <w:w w:val="88"/>
              </w:rPr>
              <w:t>September 10, 2008</w:t>
            </w:r>
          </w:p>
        </w:tc>
        <w:tc>
          <w:tcPr>
            <w:tcW w:w="11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5"/>
        </w:trPr>
        <w:tc>
          <w:tcPr>
            <w:tcW w:w="1140" w:type="dxa"/>
            <w:vAlign w:val="bottom"/>
          </w:tcPr>
          <w:p>
            <w:pPr>
              <w:spacing w:after="0"/>
              <w:rPr>
                <w:sz w:val="24"/>
                <w:szCs w:val="24"/>
                <w:color w:val="auto"/>
              </w:rPr>
            </w:pPr>
          </w:p>
        </w:tc>
        <w:tc>
          <w:tcPr>
            <w:tcW w:w="3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M. Huntsman</w:t>
            </w:r>
          </w:p>
        </w:tc>
        <w:tc>
          <w:tcPr>
            <w:tcW w:w="366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ind w:right="170"/>
              <w:spacing w:after="0"/>
              <w:rPr>
                <w:sz w:val="20"/>
                <w:szCs w:val="20"/>
                <w:color w:val="auto"/>
              </w:rPr>
            </w:pPr>
            <w:r>
              <w:rPr>
                <w:rFonts w:ascii="Arial" w:cs="Arial" w:eastAsia="Arial" w:hAnsi="Arial"/>
                <w:sz w:val="18"/>
                <w:szCs w:val="18"/>
                <w:color w:val="auto"/>
                <w:w w:val="88"/>
              </w:rPr>
              <w:t>September 10, 2008</w:t>
            </w:r>
          </w:p>
        </w:tc>
        <w:tc>
          <w:tcPr>
            <w:tcW w:w="11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tcPr>
          <w:p>
            <w:pPr>
              <w:jc w:val="right"/>
              <w:ind w:right="1970"/>
              <w:spacing w:after="0"/>
              <w:rPr>
                <w:sz w:val="20"/>
                <w:szCs w:val="20"/>
                <w:color w:val="auto"/>
              </w:rPr>
            </w:pPr>
            <w:r>
              <w:rPr>
                <w:rFonts w:ascii="Arial" w:cs="Arial" w:eastAsia="Arial" w:hAnsi="Arial"/>
                <w:sz w:val="18"/>
                <w:szCs w:val="18"/>
                <w:color w:val="auto"/>
              </w:rPr>
              <w:t>41</w:t>
            </w: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620" w:type="dxa"/>
            <w:vAlign w:val="bottom"/>
            <w:gridSpan w:val="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905"/>
        </w:trPr>
        <w:tc>
          <w:tcPr>
            <w:tcW w:w="2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58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87"/>
        </w:trPr>
        <w:tc>
          <w:tcPr>
            <w:tcW w:w="2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4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228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632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Report of Independent Registered Public Accounting Firm – Jones Simkins, P.C.</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F-2</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76"/>
        </w:trPr>
        <w:tc>
          <w:tcPr>
            <w:tcW w:w="2300" w:type="dxa"/>
            <w:vAlign w:val="bottom"/>
          </w:tcPr>
          <w:p>
            <w:pPr>
              <w:spacing w:after="0"/>
              <w:rPr>
                <w:sz w:val="15"/>
                <w:szCs w:val="15"/>
                <w:color w:val="auto"/>
              </w:rPr>
            </w:pPr>
          </w:p>
        </w:tc>
        <w:tc>
          <w:tcPr>
            <w:tcW w:w="6320" w:type="dxa"/>
            <w:vAlign w:val="bottom"/>
            <w:gridSpan w:val="3"/>
          </w:tcPr>
          <w:p>
            <w:pPr>
              <w:spacing w:after="0" w:line="176" w:lineRule="exact"/>
              <w:rPr>
                <w:sz w:val="20"/>
                <w:szCs w:val="20"/>
                <w:color w:val="auto"/>
              </w:rPr>
            </w:pPr>
            <w:r>
              <w:rPr>
                <w:rFonts w:ascii="Arial" w:cs="Arial" w:eastAsia="Arial" w:hAnsi="Arial"/>
                <w:sz w:val="18"/>
                <w:szCs w:val="18"/>
                <w:color w:val="auto"/>
              </w:rPr>
              <w:t>Report of Independent Registered Public Accounting Firm – Hansen Barnett &amp;</w:t>
            </w:r>
          </w:p>
        </w:tc>
        <w:tc>
          <w:tcPr>
            <w:tcW w:w="80" w:type="dxa"/>
            <w:vAlign w:val="bottom"/>
          </w:tcPr>
          <w:p>
            <w:pPr>
              <w:spacing w:after="0"/>
              <w:rPr>
                <w:sz w:val="15"/>
                <w:szCs w:val="15"/>
                <w:color w:val="auto"/>
              </w:rPr>
            </w:pPr>
          </w:p>
        </w:tc>
        <w:tc>
          <w:tcPr>
            <w:tcW w:w="440" w:type="dxa"/>
            <w:vAlign w:val="bottom"/>
            <w:gridSpan w:val="4"/>
          </w:tcPr>
          <w:p>
            <w:pPr>
              <w:jc w:val="center"/>
              <w:ind w:right="100"/>
              <w:spacing w:after="0" w:line="17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F-3</w:t>
              </w:r>
            </w:hyperlink>
          </w:p>
        </w:tc>
        <w:tc>
          <w:tcPr>
            <w:tcW w:w="2280" w:type="dxa"/>
            <w:vAlign w:val="bottom"/>
          </w:tcPr>
          <w:p>
            <w:pPr>
              <w:spacing w:after="0"/>
              <w:rPr>
                <w:sz w:val="15"/>
                <w:szCs w:val="15"/>
                <w:color w:val="auto"/>
              </w:rPr>
            </w:pPr>
          </w:p>
        </w:tc>
      </w:tr>
      <w:tr>
        <w:trPr>
          <w:trHeight w:val="237"/>
        </w:trPr>
        <w:tc>
          <w:tcPr>
            <w:tcW w:w="8620" w:type="dxa"/>
            <w:vAlign w:val="bottom"/>
            <w:gridSpan w:val="4"/>
          </w:tcPr>
          <w:p>
            <w:pPr>
              <w:ind w:left="2300"/>
              <w:spacing w:after="0"/>
              <w:rPr>
                <w:sz w:val="20"/>
                <w:szCs w:val="20"/>
                <w:color w:val="auto"/>
              </w:rPr>
            </w:pPr>
            <w:r>
              <w:rPr>
                <w:rFonts w:ascii="Arial" w:cs="Arial" w:eastAsia="Arial" w:hAnsi="Arial"/>
                <w:sz w:val="18"/>
                <w:szCs w:val="18"/>
                <w:color w:val="auto"/>
              </w:rPr>
              <w:t>Maxwell, P.C.</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96"/>
        </w:trPr>
        <w:tc>
          <w:tcPr>
            <w:tcW w:w="2300" w:type="dxa"/>
            <w:vAlign w:val="bottom"/>
          </w:tcPr>
          <w:p>
            <w:pPr>
              <w:spacing w:after="0"/>
              <w:rPr>
                <w:sz w:val="17"/>
                <w:szCs w:val="17"/>
                <w:color w:val="auto"/>
              </w:rPr>
            </w:pPr>
          </w:p>
        </w:tc>
        <w:tc>
          <w:tcPr>
            <w:tcW w:w="632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 as of June 30, 2008 and 2007</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F-4</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176"/>
        </w:trPr>
        <w:tc>
          <w:tcPr>
            <w:tcW w:w="2300" w:type="dxa"/>
            <w:vAlign w:val="bottom"/>
          </w:tcPr>
          <w:p>
            <w:pPr>
              <w:spacing w:after="0"/>
              <w:rPr>
                <w:sz w:val="15"/>
                <w:szCs w:val="15"/>
                <w:color w:val="auto"/>
              </w:rPr>
            </w:pPr>
          </w:p>
        </w:tc>
        <w:tc>
          <w:tcPr>
            <w:tcW w:w="6320" w:type="dxa"/>
            <w:vAlign w:val="bottom"/>
            <w:gridSpan w:val="3"/>
          </w:tcPr>
          <w:p>
            <w:pPr>
              <w:spacing w:after="0" w:line="176" w:lineRule="exact"/>
              <w:rPr>
                <w:sz w:val="20"/>
                <w:szCs w:val="20"/>
                <w:color w:val="auto"/>
              </w:rPr>
            </w:pPr>
            <w:r>
              <w:rPr>
                <w:rFonts w:ascii="Arial" w:cs="Arial" w:eastAsia="Arial" w:hAnsi="Arial"/>
                <w:sz w:val="18"/>
                <w:szCs w:val="18"/>
                <w:color w:val="auto"/>
                <w:w w:val="94"/>
              </w:rPr>
              <w:t>Consolidated Statements of Operations and Comprehensive Income for fiscal years</w:t>
            </w:r>
          </w:p>
        </w:tc>
        <w:tc>
          <w:tcPr>
            <w:tcW w:w="80" w:type="dxa"/>
            <w:vAlign w:val="bottom"/>
          </w:tcPr>
          <w:p>
            <w:pPr>
              <w:spacing w:after="0"/>
              <w:rPr>
                <w:sz w:val="15"/>
                <w:szCs w:val="15"/>
                <w:color w:val="auto"/>
              </w:rPr>
            </w:pPr>
          </w:p>
        </w:tc>
        <w:tc>
          <w:tcPr>
            <w:tcW w:w="440" w:type="dxa"/>
            <w:vAlign w:val="bottom"/>
            <w:gridSpan w:val="4"/>
          </w:tcPr>
          <w:p>
            <w:pPr>
              <w:jc w:val="center"/>
              <w:ind w:right="100"/>
              <w:spacing w:after="0" w:line="17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F-5</w:t>
              </w:r>
            </w:hyperlink>
          </w:p>
        </w:tc>
        <w:tc>
          <w:tcPr>
            <w:tcW w:w="2280" w:type="dxa"/>
            <w:vAlign w:val="bottom"/>
          </w:tcPr>
          <w:p>
            <w:pPr>
              <w:spacing w:after="0"/>
              <w:rPr>
                <w:sz w:val="15"/>
                <w:szCs w:val="15"/>
                <w:color w:val="auto"/>
              </w:rPr>
            </w:pPr>
          </w:p>
        </w:tc>
      </w:tr>
      <w:tr>
        <w:trPr>
          <w:trHeight w:val="237"/>
        </w:trPr>
        <w:tc>
          <w:tcPr>
            <w:tcW w:w="8620" w:type="dxa"/>
            <w:vAlign w:val="bottom"/>
            <w:gridSpan w:val="4"/>
          </w:tcPr>
          <w:p>
            <w:pPr>
              <w:ind w:left="2300"/>
              <w:spacing w:after="0"/>
              <w:rPr>
                <w:sz w:val="20"/>
                <w:szCs w:val="20"/>
                <w:color w:val="auto"/>
              </w:rPr>
            </w:pPr>
            <w:r>
              <w:rPr>
                <w:rFonts w:ascii="Arial" w:cs="Arial" w:eastAsia="Arial" w:hAnsi="Arial"/>
                <w:sz w:val="18"/>
                <w:szCs w:val="18"/>
                <w:color w:val="auto"/>
              </w:rPr>
              <w:t>ended June 30, 2008, 2007, and 2006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6"/>
        </w:trPr>
        <w:tc>
          <w:tcPr>
            <w:tcW w:w="2300" w:type="dxa"/>
            <w:vAlign w:val="bottom"/>
          </w:tcPr>
          <w:p>
            <w:pPr>
              <w:spacing w:after="0"/>
              <w:rPr>
                <w:sz w:val="15"/>
                <w:szCs w:val="15"/>
                <w:color w:val="auto"/>
              </w:rPr>
            </w:pPr>
          </w:p>
        </w:tc>
        <w:tc>
          <w:tcPr>
            <w:tcW w:w="6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1"/>
              </w:rPr>
              <w:t>Consolidated Statements of Shareholders' Equity for fiscal years ended June 30, 2008,</w:t>
            </w:r>
          </w:p>
        </w:tc>
        <w:tc>
          <w:tcPr>
            <w:tcW w:w="8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center"/>
              <w:ind w:right="100"/>
              <w:spacing w:after="0" w:line="17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F-7</w:t>
              </w:r>
            </w:hyperlink>
          </w:p>
        </w:tc>
        <w:tc>
          <w:tcPr>
            <w:tcW w:w="2280" w:type="dxa"/>
            <w:vAlign w:val="bottom"/>
          </w:tcPr>
          <w:p>
            <w:pPr>
              <w:spacing w:after="0"/>
              <w:rPr>
                <w:sz w:val="15"/>
                <w:szCs w:val="15"/>
                <w:color w:val="auto"/>
              </w:rPr>
            </w:pPr>
          </w:p>
        </w:tc>
      </w:tr>
      <w:tr>
        <w:trPr>
          <w:trHeight w:val="237"/>
        </w:trPr>
        <w:tc>
          <w:tcPr>
            <w:tcW w:w="2300" w:type="dxa"/>
            <w:vAlign w:val="bottom"/>
          </w:tcPr>
          <w:p>
            <w:pPr>
              <w:spacing w:after="0"/>
              <w:rPr>
                <w:sz w:val="20"/>
                <w:szCs w:val="20"/>
                <w:color w:val="auto"/>
              </w:rPr>
            </w:pPr>
          </w:p>
        </w:tc>
        <w:tc>
          <w:tcPr>
            <w:tcW w:w="63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2007, and 2006</w:t>
            </w: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80" w:type="dxa"/>
            <w:vAlign w:val="bottom"/>
          </w:tcPr>
          <w:p>
            <w:pPr>
              <w:spacing w:after="0"/>
              <w:rPr>
                <w:sz w:val="20"/>
                <w:szCs w:val="20"/>
                <w:color w:val="auto"/>
              </w:rPr>
            </w:pPr>
          </w:p>
        </w:tc>
      </w:tr>
      <w:tr>
        <w:trPr>
          <w:trHeight w:val="176"/>
        </w:trPr>
        <w:tc>
          <w:tcPr>
            <w:tcW w:w="2300" w:type="dxa"/>
            <w:vAlign w:val="bottom"/>
          </w:tcPr>
          <w:p>
            <w:pPr>
              <w:spacing w:after="0"/>
              <w:rPr>
                <w:sz w:val="15"/>
                <w:szCs w:val="15"/>
                <w:color w:val="auto"/>
              </w:rPr>
            </w:pPr>
          </w:p>
        </w:tc>
        <w:tc>
          <w:tcPr>
            <w:tcW w:w="6320" w:type="dxa"/>
            <w:vAlign w:val="bottom"/>
            <w:gridSpan w:val="3"/>
          </w:tcPr>
          <w:p>
            <w:pPr>
              <w:spacing w:after="0" w:line="176" w:lineRule="exact"/>
              <w:rPr>
                <w:sz w:val="20"/>
                <w:szCs w:val="20"/>
                <w:color w:val="auto"/>
              </w:rPr>
            </w:pPr>
            <w:r>
              <w:rPr>
                <w:rFonts w:ascii="Arial" w:cs="Arial" w:eastAsia="Arial" w:hAnsi="Arial"/>
                <w:sz w:val="18"/>
                <w:szCs w:val="18"/>
                <w:color w:val="auto"/>
                <w:w w:val="89"/>
              </w:rPr>
              <w:t>Consolidated Statements of Cash Flows for fiscal years ended June 30, 2008, 2007, and</w:t>
            </w:r>
          </w:p>
        </w:tc>
        <w:tc>
          <w:tcPr>
            <w:tcW w:w="80" w:type="dxa"/>
            <w:vAlign w:val="bottom"/>
          </w:tcPr>
          <w:p>
            <w:pPr>
              <w:spacing w:after="0"/>
              <w:rPr>
                <w:sz w:val="15"/>
                <w:szCs w:val="15"/>
                <w:color w:val="auto"/>
              </w:rPr>
            </w:pPr>
          </w:p>
        </w:tc>
        <w:tc>
          <w:tcPr>
            <w:tcW w:w="440" w:type="dxa"/>
            <w:vAlign w:val="bottom"/>
            <w:gridSpan w:val="4"/>
          </w:tcPr>
          <w:p>
            <w:pPr>
              <w:jc w:val="center"/>
              <w:ind w:right="100"/>
              <w:spacing w:after="0" w:line="17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F-8</w:t>
              </w:r>
            </w:hyperlink>
          </w:p>
        </w:tc>
        <w:tc>
          <w:tcPr>
            <w:tcW w:w="2280" w:type="dxa"/>
            <w:vAlign w:val="bottom"/>
          </w:tcPr>
          <w:p>
            <w:pPr>
              <w:spacing w:after="0"/>
              <w:rPr>
                <w:sz w:val="15"/>
                <w:szCs w:val="15"/>
                <w:color w:val="auto"/>
              </w:rPr>
            </w:pPr>
          </w:p>
        </w:tc>
      </w:tr>
      <w:tr>
        <w:trPr>
          <w:trHeight w:val="237"/>
        </w:trPr>
        <w:tc>
          <w:tcPr>
            <w:tcW w:w="4040" w:type="dxa"/>
            <w:vAlign w:val="bottom"/>
            <w:gridSpan w:val="2"/>
          </w:tcPr>
          <w:p>
            <w:pPr>
              <w:ind w:left="2300"/>
              <w:spacing w:after="0"/>
              <w:rPr>
                <w:sz w:val="20"/>
                <w:szCs w:val="20"/>
                <w:color w:val="auto"/>
              </w:rPr>
            </w:pPr>
            <w:r>
              <w:rPr>
                <w:rFonts w:ascii="Arial" w:cs="Arial" w:eastAsia="Arial" w:hAnsi="Arial"/>
                <w:sz w:val="18"/>
                <w:szCs w:val="18"/>
                <w:color w:val="auto"/>
              </w:rPr>
              <w:t>2006</w:t>
            </w:r>
          </w:p>
        </w:tc>
        <w:tc>
          <w:tcPr>
            <w:tcW w:w="3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96"/>
        </w:trPr>
        <w:tc>
          <w:tcPr>
            <w:tcW w:w="2300" w:type="dxa"/>
            <w:vAlign w:val="bottom"/>
          </w:tcPr>
          <w:p>
            <w:pPr>
              <w:spacing w:after="0"/>
              <w:rPr>
                <w:sz w:val="17"/>
                <w:szCs w:val="17"/>
                <w:color w:val="auto"/>
              </w:rPr>
            </w:pPr>
          </w:p>
        </w:tc>
        <w:tc>
          <w:tcPr>
            <w:tcW w:w="6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Notes to Consolidated Financial Statements</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ind w:right="100"/>
              <w:spacing w:after="0" w:line="17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F-10</w:t>
              </w:r>
            </w:hyperlink>
          </w:p>
        </w:tc>
        <w:tc>
          <w:tcPr>
            <w:tcW w:w="2280" w:type="dxa"/>
            <w:vAlign w:val="bottom"/>
          </w:tcPr>
          <w:p>
            <w:pPr>
              <w:spacing w:after="0"/>
              <w:rPr>
                <w:sz w:val="17"/>
                <w:szCs w:val="17"/>
                <w:color w:val="auto"/>
              </w:rPr>
            </w:pPr>
          </w:p>
        </w:tc>
      </w:tr>
      <w:tr>
        <w:trPr>
          <w:trHeight w:val="851"/>
        </w:trPr>
        <w:tc>
          <w:tcPr>
            <w:tcW w:w="2300" w:type="dxa"/>
            <w:vAlign w:val="bottom"/>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4580" w:type="dxa"/>
            <w:vAlign w:val="bottom"/>
            <w:tcBorders>
              <w:top w:val="single" w:sz="8" w:color="CCEEFF"/>
            </w:tcBorders>
            <w:gridSpan w:val="2"/>
          </w:tcPr>
          <w:p>
            <w:pPr>
              <w:jc w:val="center"/>
              <w:ind w:right="1240"/>
              <w:spacing w:after="0"/>
              <w:rPr>
                <w:sz w:val="20"/>
                <w:szCs w:val="20"/>
                <w:color w:val="auto"/>
              </w:rPr>
            </w:pPr>
            <w:r>
              <w:rPr>
                <w:rFonts w:ascii="Arial" w:cs="Arial" w:eastAsia="Arial" w:hAnsi="Arial"/>
                <w:sz w:val="18"/>
                <w:szCs w:val="18"/>
                <w:color w:val="auto"/>
                <w:w w:val="96"/>
              </w:rPr>
              <w:t>F-1</w:t>
            </w: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Jones Simkins, P.C.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 of ClearOne Communications, Inc. and subsidiaries (the Company) as of June 30, 2008 and 2007, and the related consolidated statements of income and comprehensive income, shareholders’ equity, and cash flows for the years ended June 30, 2008 and 2007. These financial statements are the responsibility of the Company’s management. Our responsibility is to express an opinion on these financial statements based on our audits. The consolidated financial statements as of June 30, 2006 and for the year then ended , before the adjustments for the camera business described in Note 3 to the consolidated financial statements, were audited by other auditors whose report, dated August 21, 2006, expressed an unqualified opinion on those statements.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ClearOne Communications, Inc. as of June 30, 2008 and 2007, and the results of its operations and its cash flows for the years ended June 30, 2008 and 2007 in conformity with accounting principles generally accepted in the United States of America.</w:t>
      </w:r>
    </w:p>
    <w:p>
      <w:pPr>
        <w:spacing w:after="0" w:line="20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audited the adjustments for the camera business described in Note 3 that were applied to restate the 2006 consolidated financial statements for the discontinued operations. In our opinion, such adjustments are appropriate and have been properly applied. We were not engaged to audit, review, or apply any procedures to the 2006 consolidated financial statements of the Company other than with respect to the adjustments and, accordingly, we do not express an opinion or any other form of assurance on the 2006 consolidated financial statements taken as a whole.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 2008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46" w:name="page47"/>
    <w:bookmarkEnd w:id="46"/>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Hansen, Barnett &amp; Maxwell, P.C.</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before the effects of the adjustments to retrospectively apply the change in accounting described in Note 3, the accompanying consolidated statements of operations and comprehensive income, shareholders’ equity, and cash flows of ClearOne Communications, Inc. and subsidiaries for the year ended June 30, 2006 (the June 30, 2006 financial statements before the effects of the adjustments discussed in Note 3 are not presented herein). These consolidated financial statements are the responsibility of the Company’s management. Our responsibility is to express an opinion on these consolidated financial statements based on our audit.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June 30, 2006 consolidated financial statements, before the effects of the adjustments to retrospectively apply the change in accounting described in Note 3, present fairly, in all material respects, the results of operations of ClearOne Communications, Inc. and subsidiaries and their cash flows for the year ended June 30, 2006 in conformity with U.S. generally accepted accounting principles.</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described in Note 3 and, accordingly, we do not express an opinion or any other form of assurance about whether such adjustments are appropriate and have been properly applied. Those adjustments were audited by Jones Simkins, P.C.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0"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of $87 and $54,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44,300</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2,187</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10,228,902 and 10,861,920 shares issued and outstanding,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(11,794)</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30,438</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756" w:right="1379" w:bottom="1440" w:gutter="0" w:footer="0" w:header="0"/>
        </w:sectPr>
      </w:pPr>
    </w:p>
    <w:bookmarkStart w:id="48" w:name="page49"/>
    <w:bookmarkEnd w:id="4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39,752</w:t>
            </w:r>
          </w:p>
        </w:tc>
        <w:tc>
          <w:tcPr>
            <w:tcW w:w="100" w:type="dxa"/>
            <w:vAlign w:val="bottom"/>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39,861</w:t>
            </w:r>
          </w:p>
        </w:tc>
        <w:tc>
          <w:tcPr>
            <w:tcW w:w="16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&amp; marketing</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5,209</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securities, net of taxes of $413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49" w:name="page50"/>
    <w:bookmarkEnd w:id="49"/>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(CONTINUED) (in thousands of dollars,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 from continuing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8"/>
              </w:rPr>
              <w:t>Diluted earnings (loss) per common share from continuing operations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 from discontinued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10,694,401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11,497,773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11,957,756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10,798,281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11,575,721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12,206,618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Additional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Paid-In</w:t>
            </w:r>
          </w:p>
        </w:tc>
        <w:tc>
          <w:tcPr>
            <w:tcW w:w="18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Deferred</w:t>
            </w: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Comprehensive</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Accumulated</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Shareholders'</w:t>
            </w: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Income</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19"/>
                <w:szCs w:val="19"/>
                <w:color w:val="auto"/>
              </w:rPr>
            </w:pP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Balances at June 30, 2005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11,264,233</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49,393</w:t>
            </w:r>
          </w:p>
        </w:tc>
        <w:tc>
          <w:tcPr>
            <w:tcW w:w="18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(24,460)</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24,911</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80"/>
              <w:spacing w:after="0" w:line="201" w:lineRule="exact"/>
              <w:rPr>
                <w:sz w:val="20"/>
                <w:szCs w:val="20"/>
                <w:color w:val="auto"/>
              </w:rPr>
            </w:pPr>
            <w:r>
              <w:rPr>
                <w:rFonts w:ascii="Arial" w:cs="Arial" w:eastAsia="Arial" w:hAnsi="Arial"/>
                <w:sz w:val="18"/>
                <w:szCs w:val="18"/>
                <w:color w:val="auto"/>
              </w:rPr>
              <w:t>Issuance of Common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shareholder</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settlement agreement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920,494</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2,263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Compensation expense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resulting</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160"/>
              <w:spacing w:after="0" w:line="201" w:lineRule="exact"/>
              <w:rPr>
                <w:sz w:val="20"/>
                <w:szCs w:val="20"/>
                <w:color w:val="auto"/>
              </w:rPr>
            </w:pPr>
            <w:r>
              <w:rPr>
                <w:rFonts w:ascii="Arial" w:cs="Arial" w:eastAsia="Arial" w:hAnsi="Arial"/>
                <w:sz w:val="18"/>
                <w:szCs w:val="18"/>
                <w:color w:val="auto"/>
              </w:rPr>
              <w:t>from the modification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80"/>
              <w:spacing w:after="0" w:line="201" w:lineRule="exact"/>
              <w:rPr>
                <w:sz w:val="20"/>
                <w:szCs w:val="20"/>
                <w:color w:val="auto"/>
              </w:rPr>
            </w:pPr>
            <w:r>
              <w:rPr>
                <w:rFonts w:ascii="Arial" w:cs="Arial" w:eastAsia="Arial" w:hAnsi="Arial"/>
                <w:sz w:val="18"/>
                <w:szCs w:val="18"/>
                <w:color w:val="auto"/>
              </w:rPr>
              <w:t>Compensation cost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associated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SFAS No. 123R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w w:val="97"/>
              </w:rPr>
              <w:t>SFAS No. 123R transition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Balances at June 30, 2006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12,184,727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52,764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30,412</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Tender offer</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(1,073,552)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(4,603)</w:t>
            </w:r>
          </w:p>
        </w:tc>
      </w:tr>
      <w:tr>
        <w:trPr>
          <w:trHeight w:val="216"/>
        </w:trPr>
        <w:tc>
          <w:tcPr>
            <w:tcW w:w="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Stock buy back program</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(265,360)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100" w:type="dxa"/>
            <w:vAlign w:val="bottom"/>
          </w:tcPr>
          <w:p>
            <w:pPr>
              <w:ind w:left="80"/>
              <w:spacing w:after="0" w:line="201" w:lineRule="exact"/>
              <w:rPr>
                <w:sz w:val="20"/>
                <w:szCs w:val="20"/>
                <w:color w:val="auto"/>
              </w:rPr>
            </w:pPr>
            <w:r>
              <w:rPr>
                <w:rFonts w:ascii="Arial" w:cs="Arial" w:eastAsia="Arial" w:hAnsi="Arial"/>
                <w:sz w:val="18"/>
                <w:szCs w:val="18"/>
                <w:color w:val="auto"/>
              </w:rPr>
              <w:t>Tax benefit stock option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exercise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Compensation cost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associated</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with SFAS No. 123R</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802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Employee stock purchase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program</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Balances at June 30, 2007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10,861,920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47,582</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(17,155)</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30,438</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Stock buy back program</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(834,646)</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(4,355)</w:t>
            </w: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 of stock options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228,368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r>
      <w:tr>
        <w:trPr>
          <w:trHeight w:val="202"/>
        </w:trPr>
        <w:tc>
          <w:tcPr>
            <w:tcW w:w="20" w:type="dxa"/>
            <w:vAlign w:val="bottom"/>
          </w:tcPr>
          <w:p>
            <w:pPr>
              <w:spacing w:after="0"/>
              <w:rPr>
                <w:sz w:val="17"/>
                <w:szCs w:val="17"/>
                <w:color w:val="auto"/>
              </w:rPr>
            </w:pPr>
          </w:p>
        </w:tc>
        <w:tc>
          <w:tcPr>
            <w:tcW w:w="2100" w:type="dxa"/>
            <w:vAlign w:val="bottom"/>
          </w:tcPr>
          <w:p>
            <w:pPr>
              <w:ind w:left="80"/>
              <w:spacing w:after="0" w:line="201" w:lineRule="exact"/>
              <w:rPr>
                <w:sz w:val="20"/>
                <w:szCs w:val="20"/>
                <w:color w:val="auto"/>
              </w:rPr>
            </w:pPr>
            <w:r>
              <w:rPr>
                <w:rFonts w:ascii="Arial" w:cs="Arial" w:eastAsia="Arial" w:hAnsi="Arial"/>
                <w:sz w:val="18"/>
                <w:szCs w:val="18"/>
                <w:color w:val="auto"/>
              </w:rPr>
              <w:t>Shares received/retired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upon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exercise of stock options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02"/>
        </w:trPr>
        <w:tc>
          <w:tcPr>
            <w:tcW w:w="20" w:type="dxa"/>
            <w:vAlign w:val="bottom"/>
          </w:tcPr>
          <w:p>
            <w:pPr>
              <w:spacing w:after="0"/>
              <w:rPr>
                <w:sz w:val="17"/>
                <w:szCs w:val="17"/>
                <w:color w:val="auto"/>
              </w:rPr>
            </w:pPr>
          </w:p>
        </w:tc>
        <w:tc>
          <w:tcPr>
            <w:tcW w:w="2100" w:type="dxa"/>
            <w:vAlign w:val="bottom"/>
          </w:tcPr>
          <w:p>
            <w:pPr>
              <w:ind w:left="80"/>
              <w:spacing w:after="0" w:line="201" w:lineRule="exact"/>
              <w:rPr>
                <w:sz w:val="20"/>
                <w:szCs w:val="20"/>
                <w:color w:val="auto"/>
              </w:rPr>
            </w:pPr>
            <w:r>
              <w:rPr>
                <w:rFonts w:ascii="Arial" w:cs="Arial" w:eastAsia="Arial" w:hAnsi="Arial"/>
                <w:sz w:val="18"/>
                <w:szCs w:val="18"/>
                <w:color w:val="auto"/>
              </w:rPr>
              <w:t>Tax benefit stock option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exercise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Compensation cost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associated</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with SFAS No. 123R</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Employee stock purchase</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program</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8"/>
                <w:szCs w:val="18"/>
                <w:color w:val="auto"/>
              </w:rPr>
              <w:t>Adoption of FIN 48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Unrealized (loss) on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marketable</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net of tax</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r>
      <w:tr>
        <w:trPr>
          <w:trHeight w:val="223"/>
        </w:trPr>
        <w:tc>
          <w:tcPr>
            <w:tcW w:w="20" w:type="dxa"/>
            <w:vAlign w:val="bottom"/>
          </w:tcPr>
          <w:p>
            <w:pPr>
              <w:spacing w:after="0"/>
              <w:rPr>
                <w:sz w:val="19"/>
                <w:szCs w:val="19"/>
                <w:color w:val="auto"/>
              </w:rPr>
            </w:pPr>
          </w:p>
        </w:tc>
        <w:tc>
          <w:tcPr>
            <w:tcW w:w="2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Balances at June 30, 2008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10,228,902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44,618</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(11,794)</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32,140</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058"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b w:val="1"/>
                <w:bCs w:val="1"/>
                <w:color w:val="auto"/>
              </w:rPr>
              <w:t>Years Ended 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5,640</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4,787</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(loss) from continuing</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to net cash provided by operations: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on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(4,467)</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Deposit - bond for preliminary injunction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Prepaids and other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Other long term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continuing operating activities</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Net cash provided by discontinued operating activities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(15,378)</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16,897</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Net cash provided by (used in) continuing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purchased and retired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(4,355)</w:t>
            </w: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Tax benefit from stock options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(3,680)</w:t>
            </w:r>
          </w:p>
        </w:tc>
        <w:tc>
          <w:tcPr>
            <w:tcW w:w="2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(5,990)</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2" w:name="page53"/>
    <w:bookmarkEnd w:id="52"/>
    <w:p>
      <w:pPr>
        <w:jc w:val="center"/>
        <w:spacing w:after="0" w:line="289" w:lineRule="auto"/>
        <w:rPr>
          <w:sz w:val="20"/>
          <w:szCs w:val="20"/>
          <w:color w:val="auto"/>
        </w:rPr>
      </w:pPr>
      <w:r>
        <w:rPr>
          <w:rFonts w:ascii="Arial" w:cs="Arial" w:eastAsia="Arial" w:hAnsi="Arial"/>
          <w:sz w:val="17"/>
          <w:szCs w:val="17"/>
          <w:b w:val="1"/>
          <w:bCs w:val="1"/>
          <w:color w:val="auto"/>
        </w:rPr>
        <w:t>CLEARONE COMMUNICATIONS, INC. AND SUBSIDIARIES CONSOLIDATED STATEMENTS OF CASH FLOWS (CONTINUED) (in thousands of dollars,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8"/>
                <w:szCs w:val="18"/>
                <w:b w:val="1"/>
                <w:bCs w:val="1"/>
                <w:color w:val="auto"/>
              </w:rPr>
              <w:t>Years Ended 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0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(received) for income taxes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Adoption of FIN48</w:t>
            </w:r>
          </w:p>
        </w:tc>
        <w:tc>
          <w:tcPr>
            <w:tcW w:w="10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Exchanged accounts receivable from a vendor with accounts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to the same vendor</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incentive for leasehold improvements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Sales of property and equipment for accounts payable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jc w:val="both"/>
        <w:ind w:right="78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discontinued operations portion of these consolidated financial statements include transactions from our previously wholly owned subsidiaries. All intercompany accounts and transactions have been eliminated in consolidation.</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–The results of operations for the Company’s foreign subsidiaries in the United Kingdom, Germany and Hong Kong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by the subsidiaries in the British Pound, Euro and Hong Kong dollar, respectively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our foreign subsidiaries is recorded in the accompanying consolidated statements of operations. Upon making the translations to the U.S. Dollar we concluded that as of the balance sheet date the impact of such re-measurements was immaterial and as such have posted through our statement of income as opposed to including in other comprehensive income.</w:t>
      </w:r>
    </w:p>
    <w:p>
      <w:pPr>
        <w:spacing w:after="0" w:line="2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its products. We outsource the manufacture of all of our products to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both the U.S. and Asia. If any of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9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Company places its temporary cash investments with high-quality financial institutions. At times, including at June 30, 2008 and 2007, such investments may be in excess of the Federal Deposit Insurance Corporation insurance limit of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4" w:name="page55"/>
    <w:bookmarkEnd w:id="54"/>
    <w:p>
      <w:pPr>
        <w:ind w:right="120"/>
        <w:spacing w:after="0" w:line="259"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Company’s marketable securities are classified as available-for-sale securities, are carried at fair value which approximated cost</w:t>
      </w:r>
      <w:r>
        <w:rPr>
          <w:rFonts w:ascii="Arial" w:cs="Arial" w:eastAsia="Arial" w:hAnsi="Arial"/>
          <w:sz w:val="18"/>
          <w:szCs w:val="18"/>
          <w:i w:val="1"/>
          <w:iCs w:val="1"/>
          <w:color w:val="auto"/>
        </w:rPr>
        <w:t xml:space="preserve"> </w:t>
      </w:r>
      <w:r>
        <w:rPr>
          <w:rFonts w:ascii="Arial" w:cs="Arial" w:eastAsia="Arial" w:hAnsi="Arial"/>
          <w:sz w:val="18"/>
          <w:szCs w:val="18"/>
          <w:color w:val="auto"/>
        </w:rPr>
        <w:t>and generally have original maturities of greater than one year.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w:t>
      </w:r>
    </w:p>
    <w:p>
      <w:pPr>
        <w:spacing w:after="0" w:line="2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regularly monitors and evaluates the value of its marketable securities. In accordance with SFAS No. 115, </w:t>
      </w:r>
      <w:r>
        <w:rPr>
          <w:rFonts w:ascii="Arial" w:cs="Arial" w:eastAsia="Arial" w:hAnsi="Arial"/>
          <w:sz w:val="17"/>
          <w:szCs w:val="17"/>
          <w:i w:val="1"/>
          <w:iCs w:val="1"/>
          <w:color w:val="auto"/>
        </w:rPr>
        <w:t>Accounting for Certain 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in Debt and Equity Securities</w:t>
      </w:r>
      <w:r>
        <w:rPr>
          <w:rFonts w:ascii="Arial" w:cs="Arial" w:eastAsia="Arial" w:hAnsi="Arial"/>
          <w:sz w:val="17"/>
          <w:szCs w:val="17"/>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w:t>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decline in the market value of any available-for-sale security below cost that is deemed to be other-than-temporary results in a reduction in carrying amount to fair value. The impairment is charged to earnings and a new cost basis for the security is established. During 2008 the Company recognized an other-than-temporary impairment. For each of the fiscal years ended June 30, 2007 and 2006 realized gains and losses upon the sale of available-for-sale securities were insignificant. Please refer to Note 7.</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Unrealized holding gains and losses, net of the related tax effect on available-for-sale securities, are excluded from earnings and are reported as a separate component of other comprehensive income until realized. During 2008, the Company determined there was a temporary decline in the fair value of its investments in auction-rate securities resulting in an unrealized loss in other comprehensive income. Based on current credit market conditions, it is likely that future auctions related to these securities will be unsuccessful in the near term. Such an unrealized loss does not affect net income (loss) for the applicable reporting period. No such unrealized losses were recorded for the fiscal years ended June 30, 2007 and 2006. Please refer to Note 7.</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Generally, credit is granted to customers without requiring collateral. The</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for doubtful accounts is the Company’s best estimate of the amount of probable credit losses in the Company’s existing accounts</w:t>
      </w:r>
    </w:p>
    <w:p>
      <w:pPr>
        <w:ind w:right="160"/>
        <w:spacing w:after="0" w:line="254" w:lineRule="auto"/>
        <w:rPr>
          <w:sz w:val="20"/>
          <w:szCs w:val="20"/>
          <w:color w:val="auto"/>
        </w:rPr>
      </w:pPr>
      <w:r>
        <w:rPr>
          <w:rFonts w:ascii="Arial" w:cs="Arial" w:eastAsia="Arial" w:hAnsi="Arial"/>
          <w:sz w:val="18"/>
          <w:szCs w:val="18"/>
          <w:color w:val="auto"/>
        </w:rPr>
        <w:t>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2008 and 2007 were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 at</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Charged to</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Beginning of</w:t>
            </w: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Costs and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89"/>
              </w:rPr>
              <w:t>Balance at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160"/>
              <w:spacing w:after="0"/>
              <w:rPr>
                <w:sz w:val="20"/>
                <w:szCs w:val="20"/>
                <w:color w:val="auto"/>
              </w:rPr>
            </w:pPr>
            <w:r>
              <w:rPr>
                <w:rFonts w:ascii="Arial" w:cs="Arial" w:eastAsia="Arial" w:hAnsi="Arial"/>
                <w:sz w:val="18"/>
                <w:szCs w:val="18"/>
                <w:color w:val="auto"/>
              </w:rPr>
              <w:t>Description</w:t>
            </w:r>
          </w:p>
        </w:tc>
        <w:tc>
          <w:tcPr>
            <w:tcW w:w="12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Period</w:t>
            </w: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Expenses</w:t>
            </w: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Deductions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5"/>
              </w:rPr>
              <w:t>End of Period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Inventoried costs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direct engineering and production costs, and applicable overhead, not in excess of estimated realizable value. Consideration is given to obsolescence, excessive levels, deterioration, direct selling expenses, and other factors in evaluating net realizable value. Consigned inventory includes product that has been delivered to customers for which revenue recognition criteria have not been met.</w:t>
      </w:r>
    </w:p>
    <w:p>
      <w:pPr>
        <w:spacing w:after="0" w:line="19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 Property and equipment are stated at cost less accumulated depreciation and amortization. Expenditures that materially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extends credit to customers who it believes have the wherewithal to pay. The Company has in place credit policies and procedures, an approval process for sales returns and credit memos, processes for managing and monitoring channel inventory levels.</w:t>
      </w:r>
    </w:p>
    <w:p>
      <w:pPr>
        <w:spacing w:after="0" w:line="19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provides a right of return on product sales to distributors. Further,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certain distributors. The level of inventory in the channel will fluctuate up or down, each quarter, based upon these distributors’ individual operations. Accordingly, each quarter-end revenue deferral is calculated and recorded based upon the underlying, estimated channel inventory at quarter-end. Although, certain distributors provide certain channel inventory amounts, the Company makes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w:t>
      </w:r>
    </w:p>
    <w:p>
      <w:pPr>
        <w:spacing w:after="0" w:line="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sold could differ from actual amounts, the Company believes that its calculations are indicative of actual levels of inventory in the distribution channel. The amounts of deferred cost of goods sold were included in consigned inventory. The following table details the amount of deferred revenue, cost of goods sold, and gross profit at each fiscal year end for the three years in the period ended June 30, 2008.</w:t>
      </w:r>
    </w:p>
    <w:p>
      <w:pPr>
        <w:spacing w:after="0" w:line="21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0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Goods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Profit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June 30, 2007</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offers rebates and market development funds to certain of its distributors, dealers/resellers, and end-users based upon volume of product purchased by them. The Company records rebates as a reduction of revenue in accordance with Emerging Issues Task Force (“EITF”) Issue No. 00-22, “Accounting for Points and Certain Other Time-Based or Volume-Based Sales Incentive Offers, and Offers for Free Products or Services to Be Delivered in the Future.” The Company also follows EITF Issue No. 01-9, “Accounting for Consideration Given by a Vendor to a Customer (Including a Reseller of the Vendor’s Products).” The Company continues to record rebates as a reduction of revenue in the period revenue is recognized.</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provides advance replacement units to end-users on defective units of certain products within 90 days of purchase date by the end-user. Since the purpose of these units are not revenue generating, the Company tracks the units due from the end-user, valued at retail price, until the defective unit has been returned, but no receivable balance is maintained on the Company’s balance sheet. The retail price value of in-transit advance replacement units was $816, $230 and $81, as of June 30, 2008, 2007 and 2006, respectively.</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ind w:right="4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2008 and 2007 follows:</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color w:val="auto"/>
                <w:w w:val="94"/>
              </w:rPr>
              <w:t>Balance at the beginning of year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Accruals/additions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00"/>
              <w:spacing w:after="0"/>
              <w:rPr>
                <w:sz w:val="20"/>
                <w:szCs w:val="20"/>
                <w:color w:val="auto"/>
              </w:rPr>
            </w:pPr>
            <w:r>
              <w:rPr>
                <w:rFonts w:ascii="Arial" w:cs="Arial" w:eastAsia="Arial" w:hAnsi="Arial"/>
                <w:sz w:val="18"/>
                <w:szCs w:val="18"/>
                <w:color w:val="auto"/>
              </w:rPr>
              <w:t>Usage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w:t>
      </w:r>
      <w:r>
        <w:rPr>
          <w:rFonts w:ascii="Arial" w:cs="Arial" w:eastAsia="Arial" w:hAnsi="Arial"/>
          <w:sz w:val="18"/>
          <w:szCs w:val="18"/>
          <w:i w:val="1"/>
          <w:iCs w:val="1"/>
          <w:color w:val="auto"/>
        </w:rPr>
        <w:t xml:space="preserve"> </w:t>
      </w:r>
      <w:r>
        <w:rPr>
          <w:rFonts w:ascii="Arial" w:cs="Arial" w:eastAsia="Arial" w:hAnsi="Arial"/>
          <w:sz w:val="18"/>
          <w:szCs w:val="18"/>
          <w:color w:val="auto"/>
        </w:rPr>
        <w:t>of media. Advertising expenses for the fiscal years ended June 30, 2008, 2007, and 2006 totaled $943, $741, and $631, respectively, and are included in the caption Sales &amp; Marketing.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increase or decrease the Company’s income tax provision or benefit. During the fourth fiscal quarter of 2008 the Company reversed a $4,100 valuation allowance recorded against deferred tax assets increasing its 2008 income tax benefit.</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first quarter of 2008, the Company adopted FASB issued Interpretation No. 48 (“FIN 48”). Under FIN 48,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20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Judgment is required in determining the provision for income taxes and related accruals, deferred tax assets and liabilities. In the ordinary course of business, there are transactions and calculations where the ultimate tax outcome is uncertain. Additionally, the Company’s tax returns are subject to audit by various tax authorities. Although the Company believes that its estimates are reasonable,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Income (loss) from continuing</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300"/>
              <w:spacing w:after="0" w:line="201" w:lineRule="exact"/>
              <w:rPr>
                <w:sz w:val="20"/>
                <w:szCs w:val="20"/>
                <w:color w:val="auto"/>
              </w:rPr>
            </w:pPr>
            <w:r>
              <w:rPr>
                <w:rFonts w:ascii="Arial" w:cs="Arial" w:eastAsia="Arial" w:hAnsi="Arial"/>
                <w:sz w:val="18"/>
                <w:szCs w:val="18"/>
                <w:color w:val="auto"/>
              </w:rPr>
              <w:t>Income from discontinued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operations, net of tax</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Gain on disposal of</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1"/>
              </w:rPr>
              <w:t>discontinued operations, net of tax</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w w:val="93"/>
              </w:rPr>
              <w:t>Basic weighted average shares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10,694,401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11,497,773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11,957,756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Dilutive common stock</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equivalents using treasury stock</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method</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248,862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640"/>
              <w:spacing w:after="0" w:line="201" w:lineRule="exact"/>
              <w:rPr>
                <w:sz w:val="20"/>
                <w:szCs w:val="20"/>
                <w:color w:val="auto"/>
              </w:rPr>
            </w:pPr>
            <w:r>
              <w:rPr>
                <w:rFonts w:ascii="Arial" w:cs="Arial" w:eastAsia="Arial" w:hAnsi="Arial"/>
                <w:sz w:val="18"/>
                <w:szCs w:val="18"/>
                <w:color w:val="auto"/>
                <w:w w:val="98"/>
              </w:rPr>
              <w:t>Diluted weighted average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shares</w:t>
            </w: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10,798,281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11,575,721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12,206,618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7"/>
              </w:rPr>
              <w:t>Basic earnings (loss) per common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share: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Discontinued operations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Disposal of discontinued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(loss) per common</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Arial" w:cs="Arial" w:eastAsia="Arial" w:hAnsi="Arial"/>
                <w:sz w:val="18"/>
                <w:szCs w:val="18"/>
                <w:color w:val="auto"/>
              </w:rPr>
              <w:t>Continuing operations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Discontinued 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ind w:left="300"/>
              <w:spacing w:after="0" w:line="201" w:lineRule="exact"/>
              <w:rPr>
                <w:sz w:val="20"/>
                <w:szCs w:val="20"/>
                <w:color w:val="auto"/>
              </w:rPr>
            </w:pPr>
            <w:r>
              <w:rPr>
                <w:rFonts w:ascii="Arial" w:cs="Arial" w:eastAsia="Arial" w:hAnsi="Arial"/>
                <w:sz w:val="18"/>
                <w:szCs w:val="18"/>
                <w:color w:val="auto"/>
              </w:rPr>
              <w:t>Disposal of discontinued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Options to purchase a weighted-average of 1,190,269, 1,206,311 and 1,355,179 shares of common stock were outstanding during fiscal 2008, 2007, and 2006, respectively, but were not included in the computation of diluted earnings per share as the effect would be anti-dilutive. Warrants to purchase 150,000 shares of common stock expired on November, 27, 2006 and were outstanding as of June 30, 2006, but were not included in the computation of diluted earnings per share as the effect would be anti-dilutive.</w:t>
      </w:r>
    </w:p>
    <w:p>
      <w:pPr>
        <w:spacing w:after="0" w:line="21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In December 2004, the Financial Accounting Standards Board (“FASB”) issued SFAS No. 123R, “Share-Based Payment.” SFAS</w:t>
      </w:r>
      <w:r>
        <w:rPr>
          <w:rFonts w:ascii="Arial" w:cs="Arial" w:eastAsia="Arial" w:hAnsi="Arial"/>
          <w:sz w:val="17"/>
          <w:szCs w:val="17"/>
          <w:i w:val="1"/>
          <w:iCs w:val="1"/>
          <w:color w:val="auto"/>
        </w:rPr>
        <w:t xml:space="preserve"> </w:t>
      </w:r>
      <w:r>
        <w:rPr>
          <w:rFonts w:ascii="Arial" w:cs="Arial" w:eastAsia="Arial" w:hAnsi="Arial"/>
          <w:sz w:val="17"/>
          <w:szCs w:val="17"/>
          <w:color w:val="auto"/>
        </w:rPr>
        <w:t>No. 123R is a revision of SFAS No. 123. SFAS No. 123R establishes standards for the accounting of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w:t>
      </w:r>
    </w:p>
    <w:p>
      <w:pPr>
        <w:spacing w:after="0" w:line="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w:t>
      </w:r>
    </w:p>
    <w:p>
      <w:pPr>
        <w:spacing w:after="0" w:line="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123R. See Note 13 for information about the Company’s various share-based compensation plans, the impact of adoption of SFAS No. 123R, and the assumptions used to calculate the fair value of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right="10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do not expect the adoption of SFAS No. 157 to have a material effect on our financial statements.</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February 2007, the FASB issued SFAS 159 “The Fair Value Option for Financial Assets and Financial Liabilities.” This statement permits entities to choose to measure many financial instruments and certain other items at fair value that are not currently required to be measured at fair value. The objective is to improve financial reporting by providing entities with the opportunity to mitigate volatility in reported earnings caused by measuring related assets and liabilities differently without having to apply complex hedge accounting provisions. This statement requires a business entity to report unrealized gains and losses on items for which the fair value option has been elected in earnings at each subsequent reporting date. An entity may decide whether to elect the fair value option for each eligible item on its election date, subject to certain requirements described in the statement. SFAS 159 is effective for fiscal years beginning after November 15, 2007. We are currently reviewing the requirements of SFAS 159 and, at this point in time, have not determined the impact, if any, that this statement may have on our results of operations and financial position.</w:t>
      </w:r>
    </w:p>
    <w:p>
      <w:pPr>
        <w:spacing w:after="0" w:line="20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2007, the FASB issued SFAS No. 141(R), “Business Combinations.” SFAS 141(R) requires all business combinations completed after the effective date to be accounted for by applying the acquisition method (previously referred to as the purchase method). Companies applying this method will have to identify the acquirer, determine the acquisition date and purchase price and recognize at their acquisition-date fair values the identifiable assets acquired, liabilities assumed, and any noncontrolling interests in the acquiree. In the case of a bargain purchase the acquirer is required to reevaluate the measurements of the recognized assets and liabilities at the acquisition date and recognize a gain on that date if an excess remains. SFAS 141(R) becomes effective for fiscal periods beginning after December 15, 2008. The Company is currently evaluating the impact of SFAS 141(R).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60" w:name="page61"/>
    <w:bookmarkEnd w:id="60"/>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fiscal 2005, the Company completed the sale of its conferencing services business component to Premiere and its Canadian audiovisual integration services to 6351352 Canada Inc. During fiscal 2006, the Company received the $1,000 Indemnity Escrow payment from Premiere, certain payments on the note receivable from the new owners of OM Video, and full satisfaction of the promissory note with Burk Technology, Inc. (“Burk”). During fiscal 2007, the Company sold its document and educational camera business to Ken-A-Vision Manufacturing Company, Inc. (“Ken-A-Vision”) and appointed a receiver over the assets of OM Video. Accordingly, the results of operations and the financial position of each of these components have been reclassified in the accompanying consolidated financial statements as discontinued operations. Summary operating results of the discontinued operations are as follows:</w:t>
      </w:r>
    </w:p>
    <w:p>
      <w:pPr>
        <w:spacing w:after="0" w:line="18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2007</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w w:val="99"/>
              </w:rPr>
              <w:t>Income from discontinued operations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Ken-A-Vision</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Borders>
              <w:top w:val="single" w:sz="8" w:color="CCEEFF"/>
            </w:tcBorders>
          </w:tcPr>
          <w:p>
            <w:pPr>
              <w:ind w:left="300"/>
              <w:spacing w:after="0" w:line="201" w:lineRule="exact"/>
              <w:rPr>
                <w:sz w:val="20"/>
                <w:szCs w:val="20"/>
                <w:color w:val="auto"/>
              </w:rPr>
            </w:pPr>
            <w:r>
              <w:rPr>
                <w:rFonts w:ascii="Arial" w:cs="Arial" w:eastAsia="Arial" w:hAnsi="Arial"/>
                <w:sz w:val="18"/>
                <w:szCs w:val="18"/>
                <w:color w:val="auto"/>
              </w:rPr>
              <w:t>Total income from discontinued</w:t>
            </w: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4"/>
              </w:rPr>
              <w:t>Gain (loss) on disposal of discontinued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Conferencing services business</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OM Video</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Burk Technology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Ken-A-Vision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Total gain on disposal of</w:t>
            </w: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7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Burk Technology</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Ken-A-Vision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300"/>
              <w:spacing w:after="0"/>
              <w:rPr>
                <w:sz w:val="20"/>
                <w:szCs w:val="20"/>
                <w:color w:val="auto"/>
              </w:rPr>
            </w:pPr>
            <w:r>
              <w:rPr>
                <w:rFonts w:ascii="Arial" w:cs="Arial" w:eastAsia="Arial" w:hAnsi="Arial"/>
                <w:sz w:val="18"/>
                <w:szCs w:val="18"/>
                <w:color w:val="auto"/>
              </w:rPr>
              <w:t>Total income tax provision</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(9)</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Total income from discontinued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operations, net of income taxes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Conferencing services business</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OM Video</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Burk Technology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ind w:left="140"/>
              <w:spacing w:after="0"/>
              <w:rPr>
                <w:sz w:val="20"/>
                <w:szCs w:val="20"/>
                <w:color w:val="auto"/>
              </w:rPr>
            </w:pPr>
            <w:r>
              <w:rPr>
                <w:rFonts w:ascii="Arial" w:cs="Arial" w:eastAsia="Arial" w:hAnsi="Arial"/>
                <w:sz w:val="18"/>
                <w:szCs w:val="18"/>
                <w:color w:val="auto"/>
              </w:rPr>
              <w:t>Ken-A-Vision</w:t>
            </w: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Total income from discontinued</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operations, net of income taxes</w:t>
            </w:r>
          </w:p>
        </w:tc>
        <w:tc>
          <w:tcPr>
            <w:tcW w:w="7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Conferencing Services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together with the $30 in related interest income in January 2006. Additionally, $1,365 of the proceeds was utilized to pay off equipment leases pertaining to assets being conveyed to Premiere. The Company realized a pre-tax gain on the sale of $1,030 and $17,369 during the fiscal years ended June 30, 2006 and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52"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 December 2004, a group of investors approached the Company about a possible purchase of OM Video. On January 27, 2005, the Company’s Board of Directors authorized its Chief Executive Officer to continue discussions regarding a stock sale of OM Video, its Canadian audiovisual integration services business component. The Company decided to sell this component after it deemphasized Canadian Business Services contracts.</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reevaluated its options and concluded that its best course of action was to enforce its security and appoint a receiver over the assets of OM Video. As of June 30, 2008, the amount of the promissory note and contingent earn-out provision was approximately $696 which is net of $632 collected through receivership. The Company does not expect to collect any further amounts through the receivership.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 Technology</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12, 2001, the Company sold the assets of the remote control portion of the RFM/Broadcast division to Burk, a privately held developer and manufacturer of broadcast facility control systems products. The Company retained the accounts payable of the remote control portion of the RFM/Broadcast division. Burk assumed obligations for unfilled customer orders and for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at closing). The commission was based upon future net sales of Burk over base sales established within the agreement. The Company realized a gain on the sale of $1,346 and $187 for the fiscal years ended June 30,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line="279" w:lineRule="auto"/>
        <w:rPr>
          <w:sz w:val="20"/>
          <w:szCs w:val="20"/>
          <w:color w:val="auto"/>
        </w:rPr>
      </w:pPr>
      <w:r>
        <w:rPr>
          <w:rFonts w:ascii="Arial" w:cs="Arial" w:eastAsia="Arial" w:hAnsi="Arial"/>
          <w:sz w:val="17"/>
          <w:szCs w:val="17"/>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Ken-A-Vision</w:t>
      </w:r>
    </w:p>
    <w:p>
      <w:pPr>
        <w:spacing w:after="0" w:line="252"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August 2006, the Company sold its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 payable in cash and a $318 note receivable payable over 24 months. As of June 30, 2008, the Company has received all amounts due to date under the receivable.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w w:val="95"/>
              </w:rPr>
              <w:t>Net assets of discontinued operations at June 30, 2006 consisted of the following:</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Year Ended June</w:t>
            </w:r>
          </w:p>
        </w:tc>
        <w:tc>
          <w:tcPr>
            <w:tcW w:w="0" w:type="dxa"/>
            <w:vAlign w:val="bottom"/>
          </w:tcPr>
          <w:p>
            <w:pPr>
              <w:spacing w:after="0"/>
              <w:rPr>
                <w:sz w:val="1"/>
                <w:szCs w:val="1"/>
                <w:color w:val="auto"/>
              </w:rPr>
            </w:pPr>
          </w:p>
        </w:tc>
      </w:tr>
      <w:tr>
        <w:trPr>
          <w:trHeight w:val="241"/>
        </w:trPr>
        <w:tc>
          <w:tcPr>
            <w:tcW w:w="34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216"/>
        </w:trPr>
        <w:tc>
          <w:tcPr>
            <w:tcW w:w="344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Patents, net</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for the years ended June 30, 2008, 2007, and 2006 are as follows:</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Year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2006</w:t>
            </w:r>
          </w:p>
        </w:tc>
        <w:tc>
          <w:tcPr>
            <w:tcW w:w="80" w:type="dxa"/>
            <w:vAlign w:val="bottom"/>
          </w:tcPr>
          <w:p>
            <w:pPr>
              <w:spacing w:after="0"/>
              <w:rPr>
                <w:sz w:val="19"/>
                <w:szCs w:val="19"/>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Income from discontinued</w:t>
            </w:r>
          </w:p>
        </w:tc>
        <w:tc>
          <w:tcPr>
            <w:tcW w:w="2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8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June 30, 2008 and 2007:</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2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Raw materials</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Consigned inventory</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r>
      <w:tr>
        <w:trPr>
          <w:trHeight w:val="237"/>
        </w:trPr>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inventory</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63" w:name="page64"/>
    <w:bookmarkEnd w:id="63"/>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Note Receivable</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2008, the Company held a note receivable with Ken-A-Vision which had a balance of $43 related to the sale of the document and educational camera product line. The note receivable is payable over 24 months, with an interest rate of 8.0% and a maturity date of September 2008. As of June 30, 2008, the Company had received all amounts due to date under the note receivable.</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2008 and 2007:</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560" w:type="dxa"/>
            <w:vAlign w:val="bottom"/>
          </w:tcPr>
          <w:p>
            <w:pPr>
              <w:spacing w:after="0"/>
              <w:rPr>
                <w:sz w:val="20"/>
                <w:szCs w:val="20"/>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20"/>
                <w:szCs w:val="20"/>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256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useful lives</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 to 10 years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7,825</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1 to 6 years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w:t>
            </w:r>
          </w:p>
        </w:tc>
      </w:tr>
      <w:tr>
        <w:trPr>
          <w:trHeight w:val="223"/>
        </w:trPr>
        <w:tc>
          <w:tcPr>
            <w:tcW w:w="2560" w:type="dxa"/>
            <w:vAlign w:val="bottom"/>
          </w:tcPr>
          <w:p>
            <w:pPr>
              <w:spacing w:after="0"/>
              <w:rPr>
                <w:sz w:val="20"/>
                <w:szCs w:val="20"/>
                <w:color w:val="auto"/>
              </w:rPr>
            </w:pPr>
            <w:r>
              <w:rPr>
                <w:rFonts w:ascii="Arial" w:cs="Arial" w:eastAsia="Arial" w:hAnsi="Arial"/>
                <w:sz w:val="18"/>
                <w:szCs w:val="18"/>
                <w:color w:val="auto"/>
                <w:w w:val="93"/>
              </w:rPr>
              <w:t>Manufacturing and test equipment</w:t>
            </w:r>
          </w:p>
        </w:tc>
        <w:tc>
          <w:tcPr>
            <w:tcW w:w="18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 to 10 years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60" w:type="dxa"/>
            <w:vAlign w:val="bottom"/>
          </w:tcPr>
          <w:p>
            <w:pPr>
              <w:spacing w:after="0"/>
              <w:rPr>
                <w:sz w:val="19"/>
                <w:szCs w:val="19"/>
                <w:color w:val="auto"/>
              </w:rPr>
            </w:pPr>
          </w:p>
        </w:tc>
      </w:tr>
      <w:tr>
        <w:trPr>
          <w:trHeight w:val="216"/>
        </w:trPr>
        <w:tc>
          <w:tcPr>
            <w:tcW w:w="25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10,547</w:t>
            </w: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Accumulated depreciation and</w:t>
            </w: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8"/>
                <w:szCs w:val="18"/>
                <w:color w:val="auto"/>
              </w:rPr>
              <w:t>amortization</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(8,484)</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(7,853)</w:t>
            </w:r>
          </w:p>
        </w:tc>
      </w:tr>
      <w:tr>
        <w:trPr>
          <w:trHeight w:val="257"/>
        </w:trPr>
        <w:tc>
          <w:tcPr>
            <w:tcW w:w="2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Investments</w:t>
      </w:r>
    </w:p>
    <w:p>
      <w:pPr>
        <w:spacing w:after="0" w:line="2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displays the gross unrealized losses and fair value of the Company’s investments with unrealized losses that are not deemed to be other-than-temporarily impaired (in thousands) inclusive of the length of time the securities have been in a continuous unrealized loss position at June 30, 2008:</w:t>
      </w:r>
    </w:p>
    <w:p>
      <w:pPr>
        <w:spacing w:after="0" w:line="147"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5"/>
          </w:tcPr>
          <w:p>
            <w:pPr>
              <w:ind w:left="60"/>
              <w:spacing w:after="0"/>
              <w:rPr>
                <w:sz w:val="20"/>
                <w:szCs w:val="20"/>
                <w:color w:val="auto"/>
              </w:rPr>
            </w:pPr>
            <w:r>
              <w:rPr>
                <w:rFonts w:ascii="Arial" w:cs="Arial" w:eastAsia="Arial" w:hAnsi="Arial"/>
                <w:sz w:val="18"/>
                <w:szCs w:val="18"/>
                <w:b w:val="1"/>
                <w:bCs w:val="1"/>
                <w:color w:val="auto"/>
                <w:w w:val="94"/>
              </w:rPr>
              <w:t>Total - All Less than 12</w:t>
            </w: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Months</w:t>
            </w:r>
          </w:p>
        </w:tc>
      </w:tr>
      <w:tr>
        <w:trPr>
          <w:trHeight w:val="216"/>
        </w:trPr>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0"/>
              </w:rPr>
              <w:t>Losses</w:t>
            </w:r>
          </w:p>
        </w:tc>
      </w:tr>
      <w:tr>
        <w:trPr>
          <w:trHeight w:val="23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June 30, 2008, $12,225 of the Company’s investments (at cost) were invested in auction rate securities ("ARSs"). Recently, auctions for these securities were not successful, resulting in the Company continuing to hold these securities and the issuers paying interest at the maximum contractual rate. Based on current credit market</w:t>
      </w:r>
    </w:p>
    <w:p>
      <w:pPr>
        <w:ind w:right="200"/>
        <w:spacing w:after="0" w:line="261" w:lineRule="auto"/>
        <w:rPr>
          <w:sz w:val="20"/>
          <w:szCs w:val="20"/>
          <w:color w:val="auto"/>
        </w:rPr>
      </w:pPr>
      <w:r>
        <w:rPr>
          <w:rFonts w:ascii="Arial" w:cs="Arial" w:eastAsia="Arial" w:hAnsi="Arial"/>
          <w:sz w:val="18"/>
          <w:szCs w:val="18"/>
          <w:color w:val="auto"/>
        </w:rPr>
        <w:t>conditions, it is likely that future auctions related to these securities will be unsuccessful in the near term. Unsuccessful auctions will result in the Company holding securities beyond their next scheduled auction reset dates and limiting the short-term liquidity of these investments.</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While these failures in the auction process have affected the Company’s ability to access these funds in the near term, the Company does not believe that the long-term value of the underlying securities or collateral have been affected. The Company’s ARSs are held at two different investment banks: UBS and Morgan Stanley. All but one of the ARS investments are AAA and/or Aaa rated. The other ARS is A2/A rated. Due to the current market conditions, the Company has evaluated the accounting treatment of its ARS investments. In its evaluation, the Company has reviewed SFAS No. 115, Accounting for Certain Investments in Debt and Equity Securities and related guidance issued by the FASB and the Securities and Exchange Commission (“SEC”).</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4" w:name="page65"/>
    <w:bookmarkEnd w:id="64"/>
    <w:p>
      <w:pPr>
        <w:ind w:right="20"/>
        <w:spacing w:after="0" w:line="286" w:lineRule="auto"/>
        <w:rPr>
          <w:sz w:val="20"/>
          <w:szCs w:val="20"/>
          <w:color w:val="auto"/>
        </w:rPr>
      </w:pPr>
      <w:r>
        <w:rPr>
          <w:rFonts w:ascii="Arial" w:cs="Arial" w:eastAsia="Arial" w:hAnsi="Arial"/>
          <w:sz w:val="16"/>
          <w:szCs w:val="16"/>
          <w:color w:val="auto"/>
        </w:rPr>
        <w:t xml:space="preserve">During the fiscal third quarter of 2008, the Company reclassified its entire ARS investment balance from short-term/current investments to long-term/non-current auction rate securities on its balance sheet due to the Company’s inability to determine when its ARS investments will become liquid. The Company also determined there was a decline in the fair value of its ARS investments of $1,057 which was deemed temporary. The Company deemed this decline temporary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and related guidance issued by FASB and the SEC which calls for the classification of impairments as “temporary” or “other-than-temporary.” A temporary impairment charge results in an unrealized loss being recorded in the other comprehensive income (loss) component of stockholders’ equity. Such an unrealized loss does not affect net income (loss) for the applicable reporting period. An other-than-temporary impairment charge is recorded as a recognized loss in the consolidated statement of operations and reduces net income (loss) for the applicable reporting period. The differentiating factors between temporary and other-than-temporary impairment are primarily the length of the time and the extent to which the market value has been less than cost, the financial condition and near-term prospects of the issuer and the intent and ability of the Company to retain its investment with the issuer for a period of time sufficient to allow for any anticipated recovery in market value. The Company, with its current knowledge, has the ability to hold the ARSs as long as required to realize the full par value which could be until final maturity of the underlying notes (between 2027 and 2039). Therefore since the Company believes it is probable that it will be able to collect all amounts due according to the contractual terms of the investment, the impairment has been deemed to be not other-than-temporary. From a UBS derived pricing model, it has reduced the value of the Company’s ARSs on its June 30, 2008 statement by approximately $1,057 from the par value.</w:t>
      </w:r>
    </w:p>
    <w:p>
      <w:pPr>
        <w:spacing w:after="0" w:line="1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was advised by UBS that the following variables were used in UBS’s pricing model: (1) type of auction security; (2) security rating; (3) insurance (if any) ; (4) collateral (if any); (5) taxable vs. tax-exempt; (6) estimated duration; (7) nature of the maximum rate formula (e.g. an issuer with a less favorable maximum rate formula would be more likely to refinance); and (8) likelihood of redemption. The Company’s assessment of a fair value of all but one of its ARSs at June 30, 2008 conformed to UBS’s statement of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The Company chose to follow UBS’s </w:t>
      </w:r>
      <w:r>
        <w:rPr>
          <w:rFonts w:ascii="Arial" w:cs="Arial" w:eastAsia="Arial" w:hAnsi="Arial"/>
          <w:sz w:val="16"/>
          <w:szCs w:val="16"/>
          <w:i w:val="1"/>
          <w:iCs w:val="1"/>
          <w:color w:val="auto"/>
        </w:rPr>
        <w:t>current value</w:t>
      </w:r>
      <w:r>
        <w:rPr>
          <w:rFonts w:ascii="Arial" w:cs="Arial" w:eastAsia="Arial" w:hAnsi="Arial"/>
          <w:sz w:val="16"/>
          <w:szCs w:val="16"/>
          <w:color w:val="auto"/>
        </w:rPr>
        <w:t xml:space="preserve"> after determining that using its own discounted cash flow method with the following major assumptions: (1) three month T-Bill plus 120 basis points (generally the minimum rate of annualized interest required by the ARS issuers) and (2) a term of five years (the estimated duration to reach full liquidity), derived a valuation within one percent of UBS’s valuation. One ARS was stated at par value on June 30, 2008 as it has experienced recent partial redemption, albeit minimal.</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unrealized holding losses on the Company’s marketable securities and reported as a separate component of accumulated other comprehensive income are as follows (in thousands):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Year ending June 30,</w:t>
            </w:r>
          </w:p>
        </w:tc>
      </w:tr>
      <w:tr>
        <w:trPr>
          <w:trHeight w:val="22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Balance, beginning of year</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Unrealized holding (losses), in marketable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(before taxes)</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8.  Comprehensive Income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6320" w:type="dxa"/>
            <w:vAlign w:val="bottom"/>
            <w:gridSpan w:val="2"/>
          </w:tcPr>
          <w:p>
            <w:pPr>
              <w:spacing w:after="0"/>
              <w:rPr>
                <w:sz w:val="20"/>
                <w:szCs w:val="20"/>
                <w:color w:val="auto"/>
              </w:rPr>
            </w:pPr>
            <w:r>
              <w:rPr>
                <w:rFonts w:ascii="Arial" w:cs="Arial" w:eastAsia="Arial" w:hAnsi="Arial"/>
                <w:sz w:val="18"/>
                <w:szCs w:val="18"/>
                <w:color w:val="auto"/>
              </w:rPr>
              <w:t>The components of comprehensive income (loss) are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28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Year ending June 30,</w:t>
            </w:r>
          </w:p>
        </w:tc>
      </w:tr>
      <w:tr>
        <w:trPr>
          <w:trHeight w:val="223"/>
        </w:trPr>
        <w:tc>
          <w:tcPr>
            <w:tcW w:w="28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r>
      <w:tr>
        <w:trPr>
          <w:trHeight w:val="216"/>
        </w:trPr>
        <w:tc>
          <w:tcPr>
            <w:tcW w:w="28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r>
      <w:tr>
        <w:trPr>
          <w:trHeight w:val="216"/>
        </w:trPr>
        <w:tc>
          <w:tcPr>
            <w:tcW w:w="28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2"/>
        </w:trPr>
        <w:tc>
          <w:tcPr>
            <w:tcW w:w="2880" w:type="dxa"/>
            <w:vAlign w:val="bottom"/>
          </w:tcPr>
          <w:p>
            <w:pPr>
              <w:spacing w:after="0"/>
              <w:rPr>
                <w:sz w:val="17"/>
                <w:szCs w:val="17"/>
                <w:color w:val="auto"/>
              </w:rPr>
            </w:pPr>
          </w:p>
        </w:tc>
        <w:tc>
          <w:tcPr>
            <w:tcW w:w="34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Unrealized gain (loss) on available-for-sale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r>
      <w:tr>
        <w:trPr>
          <w:trHeight w:val="230"/>
        </w:trPr>
        <w:tc>
          <w:tcPr>
            <w:tcW w:w="288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w:t>
            </w:r>
          </w:p>
        </w:tc>
        <w:tc>
          <w:tcPr>
            <w:tcW w:w="18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2880" w:type="dxa"/>
            <w:vAlign w:val="bottom"/>
          </w:tcPr>
          <w:p>
            <w:pPr>
              <w:spacing w:after="0"/>
              <w:rPr>
                <w:sz w:val="19"/>
                <w:szCs w:val="19"/>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237"/>
        </w:trPr>
        <w:tc>
          <w:tcPr>
            <w:tcW w:w="288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r>
      <w:tr>
        <w:trPr>
          <w:trHeight w:val="20"/>
        </w:trPr>
        <w:tc>
          <w:tcPr>
            <w:tcW w:w="288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and Deferred Rent</w:t>
      </w:r>
    </w:p>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$569, $595 and $416 for the years ended June 30, 2008, 2007, and 2006, respectively.</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5, 2006, the Company entered into a 62-month lease for its new principal administrative, sales, marketing, customer support, and research and development location which houses its corporate headquarters in Salt Lake City, Utah. Under the terms of the lease, the Company occupies a 36,279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w:t>
      </w:r>
    </w:p>
    <w:p>
      <w:pPr>
        <w:spacing w:after="0" w:line="22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Additionally, pursuant to the Company’s warehouse lease agreement dated September 20, 2006, the Company modified the terms generally providing that effective March 31, 2008, the Company would lease approximately 6,000 square feet for $3 per month which expires in December 2011 and is used by the Company as a repair facility and document and equipment storage.</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Finally, the Company leases an approximate 2,000 square-foot warehouse for $2 per month in Hong Kong which expires in February 2010 and supports our partners and customers located in the Asia-Pacific region.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terms of one year or more are as follows as of June 30,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85"/>
              </w:rPr>
              <w:t>June 30,</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Years Ending</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2009</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3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663</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2520" w:type="dxa"/>
            <w:vAlign w:val="bottom"/>
          </w:tcPr>
          <w:p>
            <w:pPr>
              <w:ind w:left="3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25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Total minimum lease</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440" w:type="dxa"/>
            <w:vAlign w:val="bottom"/>
          </w:tcPr>
          <w:p>
            <w:pPr>
              <w:spacing w:after="0"/>
              <w:rPr>
                <w:sz w:val="23"/>
                <w:szCs w:val="23"/>
                <w:color w:val="auto"/>
              </w:rPr>
            </w:pPr>
          </w:p>
        </w:tc>
        <w:tc>
          <w:tcPr>
            <w:tcW w:w="2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348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696"/>
        </w:trPr>
        <w:tc>
          <w:tcPr>
            <w:tcW w:w="3440" w:type="dxa"/>
            <w:vAlign w:val="bottom"/>
          </w:tcPr>
          <w:p>
            <w:pPr>
              <w:spacing w:after="0"/>
              <w:rPr>
                <w:sz w:val="24"/>
                <w:szCs w:val="24"/>
                <w:color w:val="auto"/>
              </w:rPr>
            </w:pPr>
          </w:p>
        </w:tc>
        <w:tc>
          <w:tcPr>
            <w:tcW w:w="2520" w:type="dxa"/>
            <w:vAlign w:val="bottom"/>
            <w:tcBorders>
              <w:top w:val="single" w:sz="8" w:color="CCEEFF"/>
            </w:tcBorders>
          </w:tcPr>
          <w:p>
            <w:pPr>
              <w:ind w:left="2100"/>
              <w:spacing w:after="0"/>
              <w:rPr>
                <w:sz w:val="20"/>
                <w:szCs w:val="20"/>
                <w:color w:val="auto"/>
              </w:rPr>
            </w:pPr>
            <w:r>
              <w:rPr>
                <w:rFonts w:ascii="Arial" w:cs="Arial" w:eastAsia="Arial" w:hAnsi="Arial"/>
                <w:sz w:val="18"/>
                <w:szCs w:val="18"/>
                <w:color w:val="auto"/>
              </w:rPr>
              <w:t>F-22</w:t>
            </w: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10.  Accrued Liabilities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616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as of June 30, 2008 and 2007: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6"/>
        </w:trPr>
        <w:tc>
          <w:tcPr>
            <w:tcW w:w="2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As of June 30,</w:t>
            </w:r>
          </w:p>
        </w:tc>
      </w:tr>
      <w:tr>
        <w:trPr>
          <w:trHeight w:val="223"/>
        </w:trPr>
        <w:tc>
          <w:tcPr>
            <w:tcW w:w="28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r>
      <w:tr>
        <w:trPr>
          <w:trHeight w:val="216"/>
        </w:trPr>
        <w:tc>
          <w:tcPr>
            <w:tcW w:w="28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salaries and other compensation</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3"/>
        </w:trPr>
        <w:tc>
          <w:tcPr>
            <w:tcW w:w="28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37"/>
        </w:trPr>
        <w:tc>
          <w:tcPr>
            <w:tcW w:w="2880" w:type="dxa"/>
            <w:vAlign w:val="bottom"/>
          </w:tcPr>
          <w:p>
            <w:pPr>
              <w:spacing w:after="0"/>
              <w:rPr>
                <w:sz w:val="20"/>
                <w:szCs w:val="20"/>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0"/>
        </w:trPr>
        <w:tc>
          <w:tcPr>
            <w:tcW w:w="288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Included in other accrued liabilities in June 30, 2008, is $1,458 which represents the probable amount that as of the date of the financial statements could be reasonably estimated of the Company’s liability, through trial, associated with the advancement of funds related to the indemnification agreements with two former officers (see Note 11 - </w:t>
      </w:r>
      <w:r>
        <w:rPr>
          <w:rFonts w:ascii="Arial" w:cs="Arial" w:eastAsia="Arial" w:hAnsi="Arial"/>
          <w:sz w:val="18"/>
          <w:szCs w:val="18"/>
          <w:i w:val="1"/>
          <w:iCs w:val="1"/>
          <w:color w:val="auto"/>
        </w:rPr>
        <w:t>Former Officer Indemnification</w:t>
      </w:r>
      <w:r>
        <w:rPr>
          <w:rFonts w:ascii="Arial" w:cs="Arial" w:eastAsia="Arial" w:hAnsi="Arial"/>
          <w:sz w:val="18"/>
          <w:szCs w:val="18"/>
          <w:color w:val="auto"/>
        </w:rPr>
        <w:t>).</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Outsource Manufacturers. </w:t>
      </w:r>
      <w:r>
        <w:rPr>
          <w:rFonts w:ascii="Arial" w:cs="Arial" w:eastAsia="Arial" w:hAnsi="Arial"/>
          <w:sz w:val="17"/>
          <w:szCs w:val="17"/>
          <w:color w:val="auto"/>
        </w:rPr>
        <w:t>The Company has manufacturing agreements with manufacturers related to the outsourced manufacturing of its products.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agreements establish annual volume commitments. The Company is also obligated to repurchase Company-forecasted but unused materials. The Company has accounted for its current outsourced manufacturing commitments and contingencies as a component of inventory and established a reserve for inventory obsolescence for inventory which is probable to be written off in the future. The Company has non-cancellable, non-returnable, and long-lead time commitments with its outsourced manufacturers and certain suppliers for inventory components that will be used in production. The Company’s exposure associated with these commitments is approximately $1.3 million</w:t>
      </w:r>
    </w:p>
    <w:p>
      <w:pPr>
        <w:spacing w:after="0" w:line="20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currently available to the Company and after discussions with legal counsel, the Company does not believe any such other proceedings will have a material, adverse effect on its business, results of operations, financial position, or liquidity, except as described below.</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Former Officer Indemnification. </w:t>
      </w:r>
      <w:r>
        <w:rPr>
          <w:rFonts w:ascii="Arial" w:cs="Arial" w:eastAsia="Arial" w:hAnsi="Arial"/>
          <w:sz w:val="17"/>
          <w:szCs w:val="17"/>
          <w:color w:val="auto"/>
        </w:rPr>
        <w:t>On July 25, 2007, the U.S. Attorney’s Office for the District of Utah indicted two of our former officers, Frances Flood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Susie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are cooperating fully with the U.S. Attorney’s Office in this matter and have been advised that we are neither a target nor a subject of the investigation or indictment. In December 2003, ClearOne entered into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$1.8 million in reasonable attorney’s fees and costs to defend against the charges. As of August 21, 2008, these former officers have requested advancement of an additional $365,000 in legal fees and costs incurred as of that date, which amounts we have not paid. On August 21, 2008, Ms. Strohm and her counsel filed a lawsuit in the Third Judicial District Court in Salt Lake City, Utah seeking a declaratory judgment and injunctive relief to compel us to continue to advance Ms. Strohm’s attorney’s fees and costs to defend against the charges, plus interest for amounts previously requested and not paid. Also on August 21, 2008, Ms. Flood filed a lawsuit in Federal District Court for the District of Utah, seeking similar relief. A trial date has been set for October 20, 2008 although we were informed on August 29, 2008 that the attorney’s representing the former officers filed a joint motion to continue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ind w:right="280"/>
        <w:spacing w:after="0" w:line="286" w:lineRule="auto"/>
        <w:rPr>
          <w:sz w:val="20"/>
          <w:szCs w:val="20"/>
          <w:color w:val="auto"/>
        </w:rPr>
      </w:pPr>
      <w:r>
        <w:rPr>
          <w:rFonts w:ascii="Arial" w:cs="Arial" w:eastAsia="Arial" w:hAnsi="Arial"/>
          <w:sz w:val="16"/>
          <w:szCs w:val="16"/>
          <w:color w:val="auto"/>
        </w:rPr>
        <w:t>We have accrued for legal fees and costs of the probable amount the Company was able to estimate of its contingent liability under the indemnification agreements at June 30, 2008. In accordance with Statement of Financial Accounting Standards No. 5, “Accounting for Contingencies”, we have accrued a total of $3.3 million, the balance of which was about $1.5 million at June 30, 2008 representing the probable amount that, as of the date of the financial statements, could be reasonably estimated of our contingent liability, through trial, under the indemnification agreements if required under applicable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law. The accrual is management’s best estimate of our contingent liability as of the date of the issuance of its financial statements. In accordance with SFAS No. 5, we will adjust our contingent liability, as necessary, to reflect the probable amount that can be reasonably estimated. Our actual liability may be higher or lower than management’s estimate upon final resolution of the matter. We will adjust our contingent liability, as needed, so that it remains an estimable and probable amount of our contingent financial liability as of the date of issuance of the applicable financial statements.</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Theft of Trade Secret Action. </w:t>
      </w:r>
      <w:r>
        <w:rPr>
          <w:rFonts w:ascii="Arial" w:cs="Arial" w:eastAsia="Arial" w:hAnsi="Arial"/>
          <w:sz w:val="18"/>
          <w:szCs w:val="18"/>
          <w:color w:val="auto"/>
        </w:rPr>
        <w:t>In January 2007 the Company filed a lawsuit in the Third Judicial District Court, Salt Lake County, State of Utah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WideBand 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w:t>
      </w:r>
    </w:p>
    <w:p>
      <w:pPr>
        <w:spacing w:after="0" w:line="21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i w:val="1"/>
          <w:i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Salt Lake County, State of Utah, by certain shareholders of the Company against various present and past officers and directors of the Company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the Company by causing or allowing the Company to recognize revenue in violation of U.S. GAAP and to issue materially misstated financial statements and that Ernst &amp; Young breached its professional responsibilities to the Company and acted in violation of U.S. GAAP and generally accepted auditing standards by failing to identify or prevent the alleged revenue recognition violations and by issuing unqualified audit opinions with respect to the Company’s fiscal 2002 and 2001 financial statements. One of these actions was dismissed without prejudice on June 13,</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 The dates of the arbitration case management have been scheduled including commencement of the hearing on April 20, 2009.</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The Insurance Coverage Action. </w:t>
      </w:r>
      <w:r>
        <w:rPr>
          <w:rFonts w:ascii="Arial" w:cs="Arial" w:eastAsia="Arial" w:hAnsi="Arial"/>
          <w:sz w:val="17"/>
          <w:szCs w:val="17"/>
          <w:color w:val="auto"/>
        </w:rPr>
        <w:t>On February 9, 2004, ClearOne and Edward Dallin Bagley (“Bagley”), a former director and significant shareholder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ClearOne, jointly filed an action in the United States District Court for the District of Utah, Central Division, against National Union Fire Insurance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Pittsburgh, Pennsylvania (“National Union”) and Lumbermens Mutual Insurance Company (“Lumbermens Mutual”), the carriers of certain prior period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liability insurance policies, to recover the costs of defending and resolving claims against certain of our present and former directors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officers in connection with the SEC complaint filed on January 15, 2003, the shareholders’ class action filed on June 30, 2003, and the shareholder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actions described above, and seeking other damages resulting from the refusal of such carriers to timely pay the amounts owing under such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insurance policies. This action has been consolidated into a declaratory relief action filed by one of the insurance carriers on February 6, 2004 against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ClearOne and certain of its current and former directors. In this action, the insurers assert that they are entitled to rescind insurance coverage under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directors and officers’ liability insurance policies, $3.0 million of which was provided by National Union and $2.0 million which was provided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based on alleged misstatements in our insurance applications. In February 2005, we entered into a confidential settlement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Lumbermens Mutual pursuant to which ClearOne and Bagley received a lump-sum cash amount and the plaintiffs agreed to dismiss their claims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with prejudice. The cash settlement is being held in a segregated account until the claims involving National Union have been resolved,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which time the amounts received in the action will be allocated between the Company and Bagley. The amount distributed to us and Bagley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determined based on future negotiations between us and Bagley. We cannot currently estimate the amount of the settlement which it will ultimately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receive. Upon determining the amount of the settlement which we will ultimately receive, we will record this as a contingent gain. During October 2005,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granted summary judgment in favor of National Union on its rescission defense and accordingly entered a judgment dismissing all of the claims asserted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ClearOne and Mr. Bagley. In connection with the summary judgment, we have been ordered to pay approximately $59,000 in costs. However,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Lumbermens Mutual cash proceeds discussed above and the appeal of the summary judgment ruling discussed below, this potential liability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 the balance sheet as of June 30, 2008. On February 2, 2006, we and Mr. Bagley appealed the summary judgment ruling to the U.S. Court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Appeals for the Tenth Circuit, and on July 25, 2007, the Tenth Circuit issued its decision reversing the summary judgment as to ClearOne’s claims but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affirming it as to Bagley’s claims. The case has been remanded back to the district court for trial on ClearOne’s claims for breach of contract and for breach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implied covenant of good faith and fair dealing and on National Union’s defenses, including its rescission defense. No assurances can be given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prevail at trial. We and Bagley have entered into a Joint Prosecution and Defense Agreement in connection with the action under which we are obligated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pay all litigation expenses in the case except those which are solely related to Bagley’s claims.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ind w:right="40"/>
        <w:spacing w:after="0" w:line="289"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above involved certain of the Company’s current and former directors and officers, all of whom are covered by the aforementioned indemnity and if applicable, certain prior period insurance policies. The Company has advanced and/or indemnified such persons for legal expenses incurred by them in such actions, and in accordance with the Statement of Financial Accounting Standards No. 5, “Accounting for Contingencies” (SFAS No. 5) accrued for amounts which were probable and estimable as of the date of the financial statements. As discussed above, the Company has sought reimbursement from its insurance carriers in certain cases. However, as also discussed above, the Company cannot predict with certainty the extent to which the Company will recover the indemnification payments from its insurers.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 is adequately accrued for the aforementioned contingent liabilities.</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5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December 11, 2001, the Company closed a private placement of 1,500,000 shares of common stock. Gross proceeds from the private placement were $25,500, before costs and expenses associated with this transaction, which totaled $1,665. In connection with this private placement, the Company issued warrants to purchase 150,000 shares of its common stock at $17.00 per share to its financial advisor. Such warrants vested immediately and were valued at $1,556 using the Black-Scholes option pricing model with the following assumptions: expected dividend yield of 0 percent, risk-free interest rate of 4.4 percent, expected price volatility of 68.0 percent, and contractual life of five years. The warrants expired on November 27,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August 30, 2007, the Company announced that its Board of Directors had approved a stock buy-back program to purchase up $3,625 of the Company’s common stock over a 12 month period in open market and private block transactions. On May 1, 2008 the Company announced that its Board of Directors authorized the purchase of up to an additional $1 million of the Company’s common stock. Each of these approved share repurchase programs have expired. In conjunction with these stock buy-back programs, the Company repurchased 835,000 shares for approximately $4,300. All repurchased shares were immediately retired.</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Payment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30, 2008, the Company had two share-based compensation plans, one which was replaced on November 20, 2007, and one which became active on the same date. The plans are described below.</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1998 Incentive Plan (the “1998 Plan”) had shares of common stock available for issuance to employees and directors. Provisions of the 1998 Plan included the granting of stock options. Provisions of the 1998 Plan include the granting of incentive and non-qualified stock options.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June 30, 2008, 20,000 and 125,250 of these options that cliff vest after 9.8 and 6.0 years, respectively, remain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ind w:right="180"/>
        <w:spacing w:after="0" w:line="302" w:lineRule="auto"/>
        <w:rPr>
          <w:sz w:val="20"/>
          <w:szCs w:val="20"/>
          <w:color w:val="auto"/>
        </w:rPr>
      </w:pPr>
      <w:r>
        <w:rPr>
          <w:rFonts w:ascii="Arial" w:cs="Arial" w:eastAsia="Arial" w:hAnsi="Arial"/>
          <w:sz w:val="16"/>
          <w:szCs w:val="16"/>
          <w:color w:val="auto"/>
        </w:rPr>
        <w:t>The Company also has a 2007 Equity Incentive Plan (the “2007 Plan”). Provisions of the 2007 Plan include the granting of up to 1,000,000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in their sole discretion, determine, or in the absence of a Compensation Committee, a properly constituted Compensation Committee or the Board itself.</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have the authority to elect that all unvested options shall vest and become exercisable immediately prior to the event or closing of the transaction. All options outstanding as of June 30, 2008 had contractual lives of ten years. Under the 1998 Plan, 2,500,000 shares were authorized for grant. As of June 30, 2008, there were 1,195,046 options outstanding under the 1998 Plan, which includes the cliff vesting and 3 or 4-year vesting options discussed above. As of June 30, 2008 there were 4,000 options outstanding under the 2007 Plan.</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fiscal years ended June 30, 2008, 2007, and 2006, the Company used the following assumptions: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Risk-free interest rate, average</w:t>
      </w:r>
    </w:p>
    <w:p>
      <w:pPr>
        <w:spacing w:after="0" w:line="3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Expected option life, average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Expected price volatility, average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Expected dividend yield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Expected annual forfeiture rate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June 30,</w:t>
            </w:r>
          </w:p>
        </w:tc>
        <w:tc>
          <w:tcPr>
            <w:tcW w:w="13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June 30,</w:t>
            </w:r>
          </w:p>
        </w:tc>
        <w:tc>
          <w:tcPr>
            <w:tcW w:w="13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02"/>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4.5%</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2"/>
              </w:rPr>
              <w:t>4.8%</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2"/>
              </w:rPr>
              <w:t>4.4%</w:t>
            </w:r>
          </w:p>
        </w:tc>
      </w:tr>
      <w:tr>
        <w:trPr>
          <w:trHeight w:val="216"/>
        </w:trPr>
        <w:tc>
          <w:tcPr>
            <w:tcW w:w="1280" w:type="dxa"/>
            <w:vAlign w:val="bottom"/>
          </w:tcPr>
          <w:p>
            <w:pPr>
              <w:ind w:left="320"/>
              <w:spacing w:after="0"/>
              <w:rPr>
                <w:sz w:val="20"/>
                <w:szCs w:val="20"/>
                <w:color w:val="auto"/>
              </w:rPr>
            </w:pPr>
            <w:r>
              <w:rPr>
                <w:rFonts w:ascii="Arial" w:cs="Arial" w:eastAsia="Arial" w:hAnsi="Arial"/>
                <w:sz w:val="18"/>
                <w:szCs w:val="18"/>
                <w:color w:val="auto"/>
              </w:rPr>
              <w:t>4.3 years</w:t>
            </w:r>
          </w:p>
        </w:tc>
        <w:tc>
          <w:tcPr>
            <w:tcW w:w="1300" w:type="dxa"/>
            <w:vAlign w:val="bottom"/>
          </w:tcPr>
          <w:p>
            <w:pPr>
              <w:ind w:left="320"/>
              <w:spacing w:after="0"/>
              <w:rPr>
                <w:sz w:val="20"/>
                <w:szCs w:val="20"/>
                <w:color w:val="auto"/>
              </w:rPr>
            </w:pPr>
            <w:r>
              <w:rPr>
                <w:rFonts w:ascii="Arial" w:cs="Arial" w:eastAsia="Arial" w:hAnsi="Arial"/>
                <w:sz w:val="18"/>
                <w:szCs w:val="18"/>
                <w:color w:val="auto"/>
              </w:rPr>
              <w:t>4.6 years</w:t>
            </w:r>
          </w:p>
        </w:tc>
        <w:tc>
          <w:tcPr>
            <w:tcW w:w="1300" w:type="dxa"/>
            <w:vAlign w:val="bottom"/>
          </w:tcPr>
          <w:p>
            <w:pPr>
              <w:ind w:left="320"/>
              <w:spacing w:after="0"/>
              <w:rPr>
                <w:sz w:val="20"/>
                <w:szCs w:val="20"/>
                <w:color w:val="auto"/>
              </w:rPr>
            </w:pPr>
            <w:r>
              <w:rPr>
                <w:rFonts w:ascii="Arial" w:cs="Arial" w:eastAsia="Arial" w:hAnsi="Arial"/>
                <w:sz w:val="18"/>
                <w:szCs w:val="18"/>
                <w:color w:val="auto"/>
              </w:rPr>
              <w:t>5.9 years</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0"/>
              </w:rPr>
              <w:t>73.9%</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88.3%</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87.2%</w:t>
            </w: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128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-1885315</wp:posOffset>
            </wp:positionH>
            <wp:positionV relativeFrom="paragraph">
              <wp:posOffset>-685165</wp:posOffset>
            </wp:positionV>
            <wp:extent cx="434784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-410845</wp:posOffset>
            </wp:positionV>
            <wp:extent cx="434784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-1885315</wp:posOffset>
            </wp:positionH>
            <wp:positionV relativeFrom="paragraph">
              <wp:posOffset>-136525</wp:posOffset>
            </wp:positionV>
            <wp:extent cx="434784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560"/>
            <w:col w:w="6160"/>
          </w:cols>
          <w:pgMar w:left="240" w:top="517" w:right="2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Under SFAS No. 123R,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 year vesting schedules to be 10.0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color w:val="auto"/>
        </w:rPr>
        <w:t>During the fiscal year ended June 30, 2006, the adoption of SFAS No. 123R resulted in incremental, pre-tax, stock-based compensation cost of $1,100.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ended June 30, 2006, the Company expensed $49 in cost of goods sold, $99 in sales and marketing, $203 in research and product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$756 in general and administrative, and $34 in other income (expense) related to the transition to SFAS No. 123R. The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associated with adoption of SFAS No. 123R increased net operating loss for the fiscal year ended June 30, 2006 by $1,107, decreased net income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$877, and reduced basic and diluted earnings per share by $0.07 per share. The total income tax provision (benefit) related to share-based compensation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ended June 30, 2006 was ($264) and is shown as a cash flow from operating activities in our cash flow statement.</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Year Ended June 30, 2006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SFAS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No. 123R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As Reported</w:t>
            </w:r>
          </w:p>
        </w:tc>
        <w:tc>
          <w:tcPr>
            <w:tcW w:w="10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3"/>
              </w:rPr>
              <w:t>Loss from continuing operations before income taxes</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shows the stock option activity for the fiscal years ended June 30, 2008, 2007 and 2006.</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1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20" w:type="dxa"/>
            <w:vAlign w:val="bottom"/>
          </w:tcPr>
          <w:p>
            <w:pPr>
              <w:spacing w:after="0"/>
              <w:rPr>
                <w:sz w:val="20"/>
                <w:szCs w:val="20"/>
                <w:color w:val="auto"/>
              </w:rPr>
            </w:pPr>
          </w:p>
        </w:tc>
        <w:tc>
          <w:tcPr>
            <w:tcW w:w="33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Stock Options</w:t>
            </w:r>
          </w:p>
        </w:tc>
        <w:tc>
          <w:tcPr>
            <w:tcW w:w="6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60" w:type="dxa"/>
            <w:vAlign w:val="bottom"/>
          </w:tcPr>
          <w:p>
            <w:pPr>
              <w:spacing w:after="0"/>
              <w:rPr>
                <w:sz w:val="20"/>
                <w:szCs w:val="20"/>
                <w:color w:val="auto"/>
              </w:rPr>
            </w:pPr>
          </w:p>
        </w:tc>
      </w:tr>
      <w:tr>
        <w:trPr>
          <w:trHeight w:val="432"/>
        </w:trPr>
        <w:tc>
          <w:tcPr>
            <w:tcW w:w="3320" w:type="dxa"/>
            <w:vAlign w:val="bottom"/>
            <w:gridSpan w:val="2"/>
          </w:tcPr>
          <w:p>
            <w:pPr>
              <w:jc w:val="right"/>
              <w:ind w:right="1130"/>
              <w:spacing w:after="0"/>
              <w:rPr>
                <w:sz w:val="20"/>
                <w:szCs w:val="20"/>
                <w:color w:val="auto"/>
              </w:rPr>
            </w:pPr>
            <w:r>
              <w:rPr>
                <w:rFonts w:ascii="Arial" w:cs="Arial" w:eastAsia="Arial" w:hAnsi="Arial"/>
                <w:sz w:val="18"/>
                <w:szCs w:val="18"/>
                <w:color w:val="auto"/>
                <w:w w:val="88"/>
              </w:rPr>
              <w:t>Outstanding at June 30, 2005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Expired and canceled</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(118,353)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Forfeited prior to vesting</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(165,839)</w:t>
            </w:r>
          </w:p>
        </w:tc>
        <w:tc>
          <w:tcPr>
            <w:tcW w:w="1080" w:type="dxa"/>
            <w:vAlign w:val="bottom"/>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tcPr>
          <w:p>
            <w:pPr>
              <w:jc w:val="right"/>
              <w:ind w:right="1130"/>
              <w:spacing w:after="0"/>
              <w:rPr>
                <w:sz w:val="20"/>
                <w:szCs w:val="20"/>
                <w:color w:val="auto"/>
              </w:rPr>
            </w:pPr>
            <w:r>
              <w:rPr>
                <w:rFonts w:ascii="Arial" w:cs="Arial" w:eastAsia="Arial" w:hAnsi="Arial"/>
                <w:sz w:val="18"/>
                <w:szCs w:val="18"/>
                <w:color w:val="auto"/>
                <w:w w:val="87"/>
              </w:rPr>
              <w:t>Outstanding at June 30, 2006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1,237,920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436,500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Expired and canceled</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(329,316)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Forfeited prior to vesting</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(55,965)</w:t>
            </w:r>
          </w:p>
        </w:tc>
        <w:tc>
          <w:tcPr>
            <w:tcW w:w="108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tcPr>
          <w:p>
            <w:pPr>
              <w:jc w:val="right"/>
              <w:ind w:right="1130"/>
              <w:spacing w:after="0"/>
              <w:rPr>
                <w:sz w:val="20"/>
                <w:szCs w:val="20"/>
                <w:color w:val="auto"/>
              </w:rPr>
            </w:pPr>
            <w:r>
              <w:rPr>
                <w:rFonts w:ascii="Arial" w:cs="Arial" w:eastAsia="Arial" w:hAnsi="Arial"/>
                <w:sz w:val="18"/>
                <w:szCs w:val="18"/>
                <w:color w:val="auto"/>
                <w:w w:val="87"/>
              </w:rPr>
              <w:t>Outstanding at June 30, 2007</w:t>
            </w: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1,273,199</w:t>
            </w: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5.38</w:t>
            </w:r>
          </w:p>
        </w:tc>
        <w:tc>
          <w:tcPr>
            <w:tcW w:w="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319,000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Expired and canceled</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(68,058)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00"/>
              <w:spacing w:after="0"/>
              <w:rPr>
                <w:sz w:val="20"/>
                <w:szCs w:val="20"/>
                <w:color w:val="auto"/>
              </w:rPr>
            </w:pPr>
            <w:r>
              <w:rPr>
                <w:rFonts w:ascii="Arial" w:cs="Arial" w:eastAsia="Arial" w:hAnsi="Arial"/>
                <w:sz w:val="18"/>
                <w:szCs w:val="18"/>
                <w:color w:val="auto"/>
              </w:rPr>
              <w:t>Forfeited prior to vesting</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(96,727)</w:t>
            </w:r>
          </w:p>
        </w:tc>
        <w:tc>
          <w:tcPr>
            <w:tcW w:w="108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Exercised</w:t>
            </w: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(228,368)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CCEEFF"/>
            </w:tcBorders>
          </w:tcPr>
          <w:p>
            <w:pPr>
              <w:jc w:val="right"/>
              <w:ind w:right="1130"/>
              <w:spacing w:after="0"/>
              <w:rPr>
                <w:sz w:val="20"/>
                <w:szCs w:val="20"/>
                <w:color w:val="auto"/>
              </w:rPr>
            </w:pPr>
            <w:r>
              <w:rPr>
                <w:rFonts w:ascii="Arial" w:cs="Arial" w:eastAsia="Arial" w:hAnsi="Arial"/>
                <w:sz w:val="18"/>
                <w:szCs w:val="18"/>
                <w:color w:val="auto"/>
                <w:w w:val="87"/>
              </w:rPr>
              <w:t>Outstanding at June 30, 2008</w:t>
            </w: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1,199,046</w:t>
            </w: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5.85</w:t>
            </w: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Exercisable</w:t>
            </w:r>
          </w:p>
        </w:tc>
        <w:tc>
          <w:tcPr>
            <w:tcW w:w="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747,736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ind w:left="80"/>
              <w:spacing w:after="0"/>
              <w:rPr>
                <w:sz w:val="20"/>
                <w:szCs w:val="20"/>
                <w:color w:val="auto"/>
              </w:rPr>
            </w:pPr>
            <w:r>
              <w:rPr>
                <w:rFonts w:ascii="Arial" w:cs="Arial" w:eastAsia="Arial" w:hAnsi="Arial"/>
                <w:sz w:val="18"/>
                <w:szCs w:val="18"/>
                <w:color w:val="auto"/>
              </w:rPr>
              <w:t>Options Outstanding</w:t>
            </w:r>
          </w:p>
        </w:tc>
        <w:tc>
          <w:tcPr>
            <w:tcW w:w="80" w:type="dxa"/>
            <w:vAlign w:val="bottom"/>
          </w:tcPr>
          <w:p>
            <w:pPr>
              <w:spacing w:after="0"/>
              <w:rPr>
                <w:sz w:val="20"/>
                <w:szCs w:val="20"/>
                <w:color w:val="auto"/>
              </w:rPr>
            </w:pPr>
          </w:p>
        </w:tc>
        <w:tc>
          <w:tcPr>
            <w:tcW w:w="2360" w:type="dxa"/>
            <w:vAlign w:val="bottom"/>
            <w:gridSpan w:val="4"/>
          </w:tcPr>
          <w:p>
            <w:pPr>
              <w:jc w:val="right"/>
              <w:ind w:right="370"/>
              <w:spacing w:after="0"/>
              <w:rPr>
                <w:sz w:val="20"/>
                <w:szCs w:val="20"/>
                <w:color w:val="auto"/>
              </w:rPr>
            </w:pPr>
            <w:r>
              <w:rPr>
                <w:rFonts w:ascii="Arial" w:cs="Arial" w:eastAsia="Arial" w:hAnsi="Arial"/>
                <w:sz w:val="18"/>
                <w:szCs w:val="18"/>
                <w:color w:val="auto"/>
              </w:rPr>
              <w:t>Options Exercisable</w:t>
            </w:r>
          </w:p>
        </w:tc>
        <w:tc>
          <w:tcPr>
            <w:tcW w:w="178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 Average</w:t>
            </w: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9"/>
              </w:rPr>
              <w:t>Weighted</w:t>
            </w:r>
          </w:p>
        </w:tc>
        <w:tc>
          <w:tcPr>
            <w:tcW w:w="178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Exercise Price</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Contractual Term</w:t>
            </w:r>
          </w:p>
        </w:tc>
        <w:tc>
          <w:tcPr>
            <w:tcW w:w="8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Options</w:t>
            </w: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1780" w:type="dxa"/>
            <w:vAlign w:val="bottom"/>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Range</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(Years)</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1780" w:type="dxa"/>
            <w:vAlign w:val="bottom"/>
          </w:tcPr>
          <w:p>
            <w:pPr>
              <w:spacing w:after="0"/>
              <w:rPr>
                <w:sz w:val="20"/>
                <w:szCs w:val="20"/>
                <w:color w:val="auto"/>
              </w:rPr>
            </w:pPr>
          </w:p>
        </w:tc>
      </w:tr>
      <w:tr>
        <w:trPr>
          <w:trHeight w:val="459"/>
        </w:trPr>
        <w:tc>
          <w:tcPr>
            <w:tcW w:w="17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$0.00 to $4.00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486,442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7.0 years</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352,442</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w:t>
            </w:r>
          </w:p>
        </w:tc>
        <w:tc>
          <w:tcPr>
            <w:tcW w:w="1780" w:type="dxa"/>
            <w:vAlign w:val="bottom"/>
          </w:tcPr>
          <w:p>
            <w:pPr>
              <w:spacing w:after="0"/>
              <w:rPr>
                <w:sz w:val="24"/>
                <w:szCs w:val="24"/>
                <w:color w:val="auto"/>
              </w:rPr>
            </w:pPr>
          </w:p>
        </w:tc>
      </w:tr>
      <w:tr>
        <w:trPr>
          <w:trHeight w:val="243"/>
        </w:trPr>
        <w:tc>
          <w:tcPr>
            <w:tcW w:w="1720" w:type="dxa"/>
            <w:vAlign w:val="bottom"/>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$4.01 to $8.00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572,354</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7.6 years</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268,470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780" w:type="dxa"/>
            <w:vAlign w:val="bottom"/>
            <w:tcBorders>
              <w:left w:val="single" w:sz="8" w:color="CCEEFF"/>
            </w:tcBorders>
          </w:tcPr>
          <w:p>
            <w:pPr>
              <w:spacing w:after="0"/>
              <w:rPr>
                <w:sz w:val="21"/>
                <w:szCs w:val="21"/>
                <w:color w:val="auto"/>
              </w:rPr>
            </w:pPr>
          </w:p>
        </w:tc>
      </w:tr>
      <w:tr>
        <w:trPr>
          <w:trHeight w:val="202"/>
        </w:trPr>
        <w:tc>
          <w:tcPr>
            <w:tcW w:w="17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$8.01 to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52,500</w:t>
            </w: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11.83</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2.1 years</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51,688</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w:t>
            </w:r>
          </w:p>
        </w:tc>
        <w:tc>
          <w:tcPr>
            <w:tcW w:w="1780" w:type="dxa"/>
            <w:vAlign w:val="bottom"/>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12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$12.01 to</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tcBorders>
              <w:left w:val="single" w:sz="8" w:color="CCEEFF"/>
            </w:tcBorders>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87,000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74,713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780" w:type="dxa"/>
            <w:vAlign w:val="bottom"/>
            <w:tcBorders>
              <w:left w:val="single" w:sz="8" w:color="CCEEFF"/>
            </w:tcBorders>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12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$16.01 to</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18.80</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1.8 years</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19.13</w:t>
            </w:r>
          </w:p>
        </w:tc>
        <w:tc>
          <w:tcPr>
            <w:tcW w:w="17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1720" w:type="dxa"/>
            <w:vAlign w:val="bottom"/>
          </w:tcPr>
          <w:p>
            <w:pPr>
              <w:spacing w:after="0"/>
              <w:rPr>
                <w:sz w:val="22"/>
                <w:szCs w:val="22"/>
                <w:color w:val="auto"/>
              </w:rPr>
            </w:pPr>
          </w:p>
        </w:tc>
        <w:tc>
          <w:tcPr>
            <w:tcW w:w="12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1,199,046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5.85</w:t>
            </w:r>
          </w:p>
        </w:tc>
        <w:tc>
          <w:tcPr>
            <w:tcW w:w="1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6.7 years</w:t>
            </w:r>
          </w:p>
        </w:tc>
        <w:tc>
          <w:tcPr>
            <w:tcW w:w="132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747,736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1780" w:type="dxa"/>
            <w:vAlign w:val="bottom"/>
            <w:tcBorders>
              <w:left w:val="single" w:sz="8" w:color="CCEEFF"/>
            </w:tcBorders>
          </w:tcPr>
          <w:p>
            <w:pPr>
              <w:spacing w:after="0"/>
              <w:rPr>
                <w:sz w:val="22"/>
                <w:szCs w:val="22"/>
                <w:color w:val="auto"/>
              </w:rPr>
            </w:pPr>
          </w:p>
        </w:tc>
      </w:tr>
      <w:tr>
        <w:trPr>
          <w:trHeight w:val="696"/>
        </w:trPr>
        <w:tc>
          <w:tcPr>
            <w:tcW w:w="172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F-28</w:t>
            </w:r>
          </w:p>
        </w:tc>
        <w:tc>
          <w:tcPr>
            <w:tcW w:w="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780" w:type="dxa"/>
            <w:vAlign w:val="bottom"/>
          </w:tcPr>
          <w:p>
            <w:pPr>
              <w:spacing w:after="0"/>
              <w:rPr>
                <w:sz w:val="24"/>
                <w:szCs w:val="24"/>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following table summarized information about non-vesting stock options outstanding as of June 30, 2008:</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4"/>
              </w:rPr>
              <w:t>Grant-Date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Non-vested Shares</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Non-vested at June 30, 2007</w:t>
            </w:r>
          </w:p>
        </w:tc>
        <w:tc>
          <w:tcPr>
            <w:tcW w:w="860" w:type="dxa"/>
            <w:vAlign w:val="bottom"/>
          </w:tcPr>
          <w:p>
            <w:pPr>
              <w:jc w:val="right"/>
              <w:spacing w:after="0"/>
              <w:rPr>
                <w:sz w:val="20"/>
                <w:szCs w:val="20"/>
                <w:color w:val="auto"/>
              </w:rPr>
            </w:pPr>
            <w:r>
              <w:rPr>
                <w:rFonts w:ascii="Arial" w:cs="Arial" w:eastAsia="Arial" w:hAnsi="Arial"/>
                <w:sz w:val="18"/>
                <w:szCs w:val="18"/>
                <w:color w:val="auto"/>
              </w:rPr>
              <w:t>478,654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319,000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Vested</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(249,617)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300"/>
              <w:spacing w:after="0"/>
              <w:rPr>
                <w:sz w:val="20"/>
                <w:szCs w:val="20"/>
                <w:color w:val="auto"/>
              </w:rPr>
            </w:pPr>
            <w:r>
              <w:rPr>
                <w:rFonts w:ascii="Arial" w:cs="Arial" w:eastAsia="Arial" w:hAnsi="Arial"/>
                <w:sz w:val="18"/>
                <w:szCs w:val="18"/>
                <w:color w:val="auto"/>
              </w:rPr>
              <w:t>Forfeited prior to vesting</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(96,727)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June 30,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451,310</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2008, the total compensation cost related to stock options not yet recognized and before the affect of any forfeitures was $1,016, which is expected to be recognized over approximately the next 3 years on a straight-line basis.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fiscal year ended June 30, 2008, 2007, and 2006 was $3.69, $2.65 and $1.96 per share, respectively.</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Due to the Company’s failure to remain current in its filing of periodic reports with the SEC during fiscal 2005, and most of 2006, employees, executive officers, and directors were not allowed to exercise options under the 1998 Plan. Since December 2003, individual grants that had been affected by this situation were modified to extend the exercise period of the option through the date the Company became current in its filings with the SEC and options again become exercisable. Since July 1, 2003, modifications of stock option grants include (i) the extension of the post-service exercise period of vested options held by persons who have ceased to remain employed by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for one former officer at termination. For the fiscal year ended June 30, 2006, the Company modified stock options related to 8 employees. Compensation cost is recognized immediately for options that are fully vested on the date of modification. During the fiscal year ended June 30, 2006, the Company expensed $16, in compensation cost associated with these modifications. The $16 of costs associated with modifications in fiscal 2006 are included in the $1,141 of SFAS No. 123R compensation expense disclosed above for the fiscal year ended June 30, 2006. The Company did not modify any stock options for the 2007 or 2008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3" w:name="page74"/>
    <w:bookmarkEnd w:id="73"/>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Significant Customers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Sales to significant customers that represented more than 10 percent of total revenues for the fiscal years ended June 30, 2008, 2007, and 2006 are as follows:</w:t>
      </w:r>
    </w:p>
    <w:p>
      <w:pPr>
        <w:spacing w:after="0" w:line="271" w:lineRule="exact"/>
        <w:rPr>
          <w:sz w:val="20"/>
          <w:szCs w:val="20"/>
          <w:color w:val="auto"/>
        </w:rPr>
      </w:pPr>
    </w:p>
    <w:tbl>
      <w:tblPr>
        <w:tblLayout w:type="fixed"/>
        <w:tblInd w:w="344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0"/>
                <w:szCs w:val="20"/>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Customer A</w:t>
            </w: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21"/>
                <w:szCs w:val="21"/>
                <w:color w:val="auto"/>
              </w:rPr>
            </w:pPr>
          </w:p>
        </w:tc>
      </w:tr>
      <w:tr>
        <w:trPr>
          <w:trHeight w:val="243"/>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21"/>
                <w:szCs w:val="21"/>
                <w:color w:val="auto"/>
              </w:rPr>
            </w:pPr>
          </w:p>
        </w:tc>
      </w:tr>
      <w:tr>
        <w:trPr>
          <w:trHeight w:val="250"/>
        </w:trPr>
        <w:tc>
          <w:tcPr>
            <w:tcW w:w="2020" w:type="dxa"/>
            <w:vAlign w:val="bottom"/>
          </w:tcPr>
          <w:p>
            <w:pPr>
              <w:spacing w:after="0"/>
              <w:rPr>
                <w:sz w:val="20"/>
                <w:szCs w:val="20"/>
                <w:color w:val="auto"/>
              </w:rPr>
            </w:pPr>
            <w:r>
              <w:rPr>
                <w:rFonts w:ascii="Arial" w:cs="Arial" w:eastAsia="Arial" w:hAnsi="Arial"/>
                <w:sz w:val="18"/>
                <w:szCs w:val="18"/>
                <w:color w:val="auto"/>
              </w:rPr>
              <w:t>Customer C</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4%</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0%</w:t>
            </w:r>
          </w:p>
        </w:tc>
        <w:tc>
          <w:tcPr>
            <w:tcW w:w="60" w:type="dxa"/>
            <w:vAlign w:val="bottom"/>
          </w:tcPr>
          <w:p>
            <w:pPr>
              <w:spacing w:after="0"/>
              <w:rPr>
                <w:sz w:val="21"/>
                <w:szCs w:val="21"/>
                <w:color w:val="auto"/>
              </w:rPr>
            </w:pPr>
          </w:p>
        </w:tc>
      </w:tr>
      <w:tr>
        <w:trPr>
          <w:trHeight w:val="284"/>
        </w:trPr>
        <w:tc>
          <w:tcPr>
            <w:tcW w:w="2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r>
              <w:rPr>
                <w:rFonts w:ascii="Arial" w:cs="Arial" w:eastAsia="Arial" w:hAnsi="Arial"/>
                <w:sz w:val="18"/>
                <w:szCs w:val="18"/>
                <w:u w:val="single" w:color="auto"/>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2%</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for the fiscal years ended June 30, 2008 and 2007:</w:t>
      </w:r>
    </w:p>
    <w:p>
      <w:pPr>
        <w:spacing w:after="0" w:line="248" w:lineRule="exact"/>
        <w:rPr>
          <w:sz w:val="20"/>
          <w:szCs w:val="20"/>
          <w:color w:val="auto"/>
        </w:rPr>
      </w:pPr>
    </w:p>
    <w:tbl>
      <w:tblPr>
        <w:tblLayout w:type="fixed"/>
        <w:tblInd w:w="400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0"/>
                <w:szCs w:val="20"/>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Customer A</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Customer B</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Customer C</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2%</w:t>
            </w:r>
          </w:p>
        </w:tc>
      </w:tr>
      <w:tr>
        <w:trPr>
          <w:trHeight w:val="27"/>
        </w:trPr>
        <w:tc>
          <w:tcPr>
            <w:tcW w:w="1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1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u w:val="single" w:color="auto"/>
                <w:color w:val="auto"/>
              </w:rPr>
              <w:t>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r>
              <w:rPr>
                <w:rFonts w:ascii="Arial" w:cs="Arial" w:eastAsia="Arial" w:hAnsi="Arial"/>
                <w:sz w:val="18"/>
                <w:szCs w:val="18"/>
                <w:u w:val="single" w:color="auto"/>
                <w:color w:val="auto"/>
              </w:rPr>
              <w:t>2%</w:t>
            </w:r>
          </w:p>
        </w:tc>
      </w:tr>
      <w:tr>
        <w:trPr>
          <w:trHeight w:val="20"/>
        </w:trPr>
        <w:tc>
          <w:tcPr>
            <w:tcW w:w="1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20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Severance Charges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fiscal year ended June 30, 2006, the Company entered into a settlement agreement and release with its former Vice-President in 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 and her surrender and delivery to the Company of 145,000 stock options (86,853 of which were vested).</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fiscal year ending June 30, 2007, the Company entered into a settlement agreement and release with its former Vice-President in connection with the cessation of his employment, which generally provided for his resignation from his position and employment with the Company, the payment of severance in the amount of $14, net of applicable taxes and a general release of claims against the Company by him.</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fiscal year ending June 30, 2008, the Company entered into a compromise agreement and release with its former Managing Director of ClearOne Communications, Ltd in connection with the cessation of his employment, which generally provided for this resignation from his position and employment with the Company, the payment of remuneration of approximately $94 representing six months’ notice, $10 for accrued but unused holiday pay, $32 severance, and a general release of claims against the Company by him.</w:t>
      </w:r>
    </w:p>
    <w:p>
      <w:pPr>
        <w:spacing w:after="0" w:line="2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and Profit Sharing Plan</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The Company’s contribution is determined annually by the board of directors. The Company’s retirement plan contribution expense for the fiscal years ended June 30, 2008, 2007, and 2006 totaled $108, $77 and $61,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17.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Non-U.S.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U.S. Federal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300"/>
              <w:spacing w:after="0"/>
              <w:rPr>
                <w:sz w:val="20"/>
                <w:szCs w:val="20"/>
                <w:color w:val="auto"/>
              </w:rPr>
            </w:pPr>
            <w:r>
              <w:rPr>
                <w:rFonts w:ascii="Arial" w:cs="Arial" w:eastAsia="Arial" w:hAnsi="Arial"/>
                <w:sz w:val="18"/>
                <w:szCs w:val="18"/>
                <w:color w:val="auto"/>
              </w:rPr>
              <w:t>U.S. State</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Non-U.S.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960"/>
              <w:spacing w:after="0"/>
              <w:rPr>
                <w:sz w:val="20"/>
                <w:szCs w:val="20"/>
                <w:color w:val="auto"/>
              </w:rPr>
            </w:pPr>
            <w:r>
              <w:rPr>
                <w:rFonts w:ascii="Arial" w:cs="Arial" w:eastAsia="Arial" w:hAnsi="Arial"/>
                <w:sz w:val="18"/>
                <w:szCs w:val="18"/>
                <w:color w:val="auto"/>
              </w:rPr>
              <w:t>Total current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U.S. Federal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300"/>
              <w:spacing w:after="0"/>
              <w:rPr>
                <w:sz w:val="20"/>
                <w:szCs w:val="20"/>
                <w:color w:val="auto"/>
              </w:rPr>
            </w:pPr>
            <w:r>
              <w:rPr>
                <w:rFonts w:ascii="Arial" w:cs="Arial" w:eastAsia="Arial" w:hAnsi="Arial"/>
                <w:sz w:val="18"/>
                <w:szCs w:val="18"/>
                <w:color w:val="auto"/>
              </w:rPr>
              <w:t>U.S. State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Borders>
              <w:right w:val="single" w:sz="8" w:color="CCEEFF"/>
            </w:tcBorders>
            <w:shd w:val="clear" w:color="auto" w:fill="CCEEFF"/>
          </w:tcPr>
          <w:p>
            <w:pPr>
              <w:ind w:left="640"/>
              <w:spacing w:after="0" w:line="201" w:lineRule="exact"/>
              <w:rPr>
                <w:sz w:val="20"/>
                <w:szCs w:val="20"/>
                <w:color w:val="auto"/>
              </w:rPr>
            </w:pPr>
            <w:r>
              <w:rPr>
                <w:rFonts w:ascii="Arial" w:cs="Arial" w:eastAsia="Arial" w:hAnsi="Arial"/>
                <w:sz w:val="18"/>
                <w:szCs w:val="18"/>
                <w:color w:val="auto"/>
                <w:w w:val="93"/>
              </w:rPr>
              <w:t>Change in deferred</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before valuation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allowance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ind w:left="640"/>
              <w:spacing w:after="0" w:line="201" w:lineRule="exact"/>
              <w:rPr>
                <w:sz w:val="20"/>
                <w:szCs w:val="20"/>
                <w:color w:val="auto"/>
              </w:rPr>
            </w:pPr>
            <w:r>
              <w:rPr>
                <w:rFonts w:ascii="Arial" w:cs="Arial" w:eastAsia="Arial" w:hAnsi="Arial"/>
                <w:sz w:val="18"/>
                <w:szCs w:val="18"/>
                <w:color w:val="auto"/>
                <w:w w:val="88"/>
              </w:rPr>
              <w:t>Decrease (increase)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Pr>
          <w:p>
            <w:pPr>
              <w:ind w:left="300"/>
              <w:spacing w:after="0"/>
              <w:rPr>
                <w:sz w:val="20"/>
                <w:szCs w:val="20"/>
                <w:color w:val="auto"/>
              </w:rPr>
            </w:pPr>
            <w:r>
              <w:rPr>
                <w:rFonts w:ascii="Arial" w:cs="Arial" w:eastAsia="Arial" w:hAnsi="Arial"/>
                <w:sz w:val="18"/>
                <w:szCs w:val="18"/>
                <w:color w:val="auto"/>
              </w:rPr>
              <w:t>in valuation allowance</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CEEFF"/>
              <w:right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Total deferred</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2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(Provision) benefit for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Years Ended June 30,</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U.S. federal statutory income tax rate at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34.0 percent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3"/>
              </w:rPr>
              <w:t>State income tax (provision) benefit, net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720"/>
              <w:spacing w:after="0"/>
              <w:rPr>
                <w:sz w:val="20"/>
                <w:szCs w:val="20"/>
                <w:color w:val="auto"/>
              </w:rPr>
            </w:pPr>
            <w:r>
              <w:rPr>
                <w:rFonts w:ascii="Arial" w:cs="Arial" w:eastAsia="Arial" w:hAnsi="Arial"/>
                <w:sz w:val="18"/>
                <w:szCs w:val="18"/>
                <w:color w:val="auto"/>
              </w:rPr>
              <w:t>of federal income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effect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Repatriated foreign earnings</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Non-deductible SFAS No. 123R</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720"/>
              <w:spacing w:after="0"/>
              <w:rPr>
                <w:sz w:val="20"/>
                <w:szCs w:val="20"/>
                <w:color w:val="auto"/>
              </w:rPr>
            </w:pPr>
            <w:r>
              <w:rPr>
                <w:rFonts w:ascii="Arial" w:cs="Arial" w:eastAsia="Arial" w:hAnsi="Arial"/>
                <w:sz w:val="18"/>
                <w:szCs w:val="18"/>
                <w:color w:val="auto"/>
              </w:rPr>
              <w:t>compensation expense</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rPr>
              <w:t>Foreign earnings or losses taxed at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720"/>
              <w:spacing w:after="0"/>
              <w:rPr>
                <w:sz w:val="20"/>
                <w:szCs w:val="20"/>
                <w:color w:val="auto"/>
              </w:rPr>
            </w:pPr>
            <w:r>
              <w:rPr>
                <w:rFonts w:ascii="Arial" w:cs="Arial" w:eastAsia="Arial" w:hAnsi="Arial"/>
                <w:sz w:val="18"/>
                <w:szCs w:val="18"/>
                <w:color w:val="auto"/>
              </w:rPr>
              <w:t>different rates</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Non-deductible items and other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w:t>
            </w:r>
          </w:p>
        </w:tc>
        <w:tc>
          <w:tcPr>
            <w:tcW w:w="3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6"/>
        </w:trPr>
        <w:tc>
          <w:tcPr>
            <w:tcW w:w="1720" w:type="dxa"/>
            <w:vAlign w:val="bottom"/>
          </w:tcPr>
          <w:p>
            <w:pPr>
              <w:spacing w:after="0"/>
              <w:rPr>
                <w:sz w:val="24"/>
                <w:szCs w:val="24"/>
                <w:color w:val="auto"/>
              </w:rPr>
            </w:pPr>
          </w:p>
        </w:tc>
        <w:tc>
          <w:tcPr>
            <w:tcW w:w="29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F-31</w:t>
            </w: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jc w:val="both"/>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2008 and 2007, significant components of the net U.S. deferred income tax assets and (liabilities) were as follows: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1"/>
              </w:rPr>
              <w:t>Long-</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316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term</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Current</w:t>
            </w: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Long-term</w:t>
            </w:r>
          </w:p>
        </w:tc>
      </w:tr>
      <w:tr>
        <w:trPr>
          <w:trHeight w:val="216"/>
        </w:trPr>
        <w:tc>
          <w:tcPr>
            <w:tcW w:w="3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Accumulated research and development</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Alternative minimum tax credits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Deductible SFAS 123R compensation</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Allowance for sales returns and doubtful</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accounts</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State income taxes</w:t>
            </w: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Difference in property and equipment</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basis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r>
      <w:tr>
        <w:trPr>
          <w:trHeight w:val="223"/>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r>
      <w:tr>
        <w:trPr>
          <w:trHeight w:val="216"/>
        </w:trPr>
        <w:tc>
          <w:tcPr>
            <w:tcW w:w="3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deferred income tax asset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2,828</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1,983</w:t>
            </w: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w:t>
            </w:r>
          </w:p>
        </w:tc>
      </w:tr>
      <w:tr>
        <w:trPr>
          <w:trHeight w:val="216"/>
        </w:trPr>
        <w:tc>
          <w:tcPr>
            <w:tcW w:w="3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deferred income tax asset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2008 and 2007, as follows:</w:t>
      </w:r>
    </w:p>
    <w:p>
      <w:pPr>
        <w:spacing w:after="0" w:line="19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Long-term deferred income tax assets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7"/>
              </w:rPr>
              <w:t>Long-term deferred income tax liabilities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income tax assets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ind w:right="180"/>
        <w:spacing w:after="0" w:line="264" w:lineRule="auto"/>
        <w:rPr>
          <w:sz w:val="20"/>
          <w:szCs w:val="20"/>
          <w:color w:val="auto"/>
        </w:rPr>
      </w:pPr>
      <w:r>
        <w:rPr>
          <w:rFonts w:ascii="Arial" w:cs="Arial" w:eastAsia="Arial" w:hAnsi="Arial"/>
          <w:sz w:val="18"/>
          <w:szCs w:val="18"/>
          <w:color w:val="auto"/>
        </w:rPr>
        <w:t xml:space="preserve">In accordance with Statement of Financial Accounting Standards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Company’s analyzed its valuation allowance at June 30, 2008 and determined that based upon available evidence it is more likely than not that all of its deferred tax assets will be realized and as such reversed its previously established valuation allowance.</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June 30, 2008, the Company had federal alternative minimum tax (“AMT”) credit and capital loss carryforwards of $287 and $43, respectively, which have no expiration date. As of June 30, 2008, the Company had state net operating loss (“NOL”) and research credit carryforwards of approximately $210 and $341, respectively, which expire depending on the rules of the various states to which the carryovers relate.</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July 2006, the Financial Accounting Standards Board (FASB) issued Interpretation No. 48 (“FIN 48”), “Accounting for Uncertainty in Income Taxes,” which clarifies the accounting for uncertainty in income taxes recognized in the financial statements in accordance with FASB Statement No. 109, Accounting for Income Taxes. Under FIN 48, tax positions shall initially be recognized in the financial statements when it is more likely than not the position will be sustained upon examination by the tax authorities. Such tax positions shall initially and subsequently be measured as the largest amount of tax benefit that is greater than 50% likely of being realized upon ultimate settlement with the tax authority assuming full knowledge of the position and all relevant facts.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adopted the provisions of FIN 48 on July 1, 2007. Upon adoption, the Company recognized a FIN 48 liability of $755 for permanent tax items. Included in the $755 liability was approximately $78 in interest and penalties related to unrecognized tax benefits. The Company also recognized $159 of temporary FIN 48 liability. After taking its SFAS No. 5 “Accounting for Contingencies” contingent liability balance of $618 from June 30, 2007 the Company posted a cumulative-effect adjustment of approximately $295, increasing our liability for unrecognized tax benefits and reducing the July 1, 2007 balance of retained earnings. The total liability for unrecognized tax benefits at July 1, 2007, including temporary tax differences, was approximately $914. During its fiscal 2008, the Company recorded approximately $299 related to unrecognized tax benefits that would favorably impact its effective tax rate if recognized. The total outstanding balance for liabilities related to unrecognized tax benefits at June 30, 2008 was $1,209 of which $57 was associated with interest and penalties. The Company account for interest expense and penalties for unrecognized tax benefits as part of its income tax provision.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52"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6"/>
              </w:rPr>
              <w:t>Unrecognized tax benefits at July 1, 2007</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in a prior period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r>
      <w:tr>
        <w:trPr>
          <w:trHeight w:val="216"/>
        </w:trPr>
        <w:tc>
          <w:tcPr>
            <w:tcW w:w="3200" w:type="dxa"/>
            <w:vAlign w:val="bottom"/>
          </w:tcPr>
          <w:p>
            <w:pPr>
              <w:ind w:left="80"/>
              <w:spacing w:after="0"/>
              <w:rPr>
                <w:sz w:val="20"/>
                <w:szCs w:val="20"/>
                <w:color w:val="auto"/>
              </w:rPr>
            </w:pPr>
            <w:r>
              <w:rPr>
                <w:rFonts w:ascii="Arial" w:cs="Arial" w:eastAsia="Arial" w:hAnsi="Arial"/>
                <w:sz w:val="18"/>
                <w:szCs w:val="18"/>
                <w:color w:val="auto"/>
              </w:rPr>
              <w:t>Gross increases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decreases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Tax positions taken in the current period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increases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3200" w:type="dxa"/>
            <w:vAlign w:val="bottom"/>
          </w:tcPr>
          <w:p>
            <w:pPr>
              <w:ind w:left="80"/>
              <w:spacing w:after="0"/>
              <w:rPr>
                <w:sz w:val="20"/>
                <w:szCs w:val="20"/>
                <w:color w:val="auto"/>
              </w:rPr>
            </w:pPr>
            <w:r>
              <w:rPr>
                <w:rFonts w:ascii="Arial" w:cs="Arial" w:eastAsia="Arial" w:hAnsi="Arial"/>
                <w:sz w:val="18"/>
                <w:szCs w:val="18"/>
                <w:color w:val="auto"/>
              </w:rPr>
              <w:t>Gross decreases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authorities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Lapse of applicable statute of limitations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1"/>
              </w:rPr>
              <w:t>Unrecognized tax benefits at June 30, 2008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2008 the Company had unrecognized tax benefits of approximately $1,209 (including interest and penalties of $57), of which $1,054 is recorded as a current liability, which if recognized, would reduce the Company’s effective tax rate. The remaining $155 is netted against the Company’s deferred tax assets related to various temporary items. The Company does not reasonably estimate that the unrecognized tax benefits will change significantly within the next twelve months.</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accordance with FIN 48, the Company has decided to classify interest and penalties as a component of tax expense. Accrued interest and penalties at year end were approximately $57.</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U.S. federal income tax returns for 2004 through 2006 are open tax years. The Company also files in various state and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few exceptions, the Company is no longer subject to state or non-U.S. income tax examinations by tax authorities for years prior to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5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 xml:space="preserve">The Company and Edward Dallin Bagley, former Chairman of the Board of Directors and significant shareholder of the Company, jointly filed an action against National Union and Lumbermens Mutual. For additional discussion see Note 11 under </w:t>
      </w:r>
      <w:r>
        <w:rPr>
          <w:rFonts w:ascii="Arial" w:cs="Arial" w:eastAsia="Arial" w:hAnsi="Arial"/>
          <w:sz w:val="17"/>
          <w:szCs w:val="17"/>
          <w:i w:val="1"/>
          <w:iCs w:val="1"/>
          <w:color w:val="auto"/>
        </w:rPr>
        <w:t>The Insurance Coverage Action.</w:t>
      </w:r>
    </w:p>
    <w:p>
      <w:pPr>
        <w:spacing w:after="0" w:line="17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Sales Information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93"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Years Ended June 30,</w:t>
            </w:r>
          </w:p>
        </w:tc>
        <w:tc>
          <w:tcPr>
            <w:tcW w:w="10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28,336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11,926</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11,525</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11, 2008 the Company announced that its Board of Directors had authorized a tender offer to repurchase up to 2,000,000 of its shares at a price per share of no less than $4.00 and no greater than $5.00 per share. The tender offer commenced on August 18, 2008 and will expire 20 business days thereafter, unless extended.</w:t>
      </w:r>
    </w:p>
    <w:p>
      <w:pPr>
        <w:spacing w:after="0" w:line="20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During August 2008, the Company was advised that each of the two investment banks holding its auction rate securities (“ARSs”), UBS and Morgan Stanley, had or were close to reaching settlements with U.S. and state regulators. Included in these settlements, UBS and Morgan Stanley would offer to repurchase, at par, the Company’s ARSs. As of the date of the filing of this report, the Company has not been advised of the date(s) of when its ARSs will be repurchased.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513" w:right="25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INSULAR, INC.</w:t>
      </w:r>
    </w:p>
    <w:p>
      <w:pPr>
        <w:spacing w:after="0" w:line="23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the undersigned, natural persons of twenty-one (21) years or more, acting as incorporators of a corporation under the Utah Business Corporation Act, adopt the following Articles of Incorporation for such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Corporate Name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of this corporation 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INSULAR, INC.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Duration of the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 shall have perpetual existence.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Purposes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purposes and objectives for which the corporation is organized are:</w:t>
      </w:r>
    </w:p>
    <w:p>
      <w:pPr>
        <w:spacing w:after="0" w:line="252" w:lineRule="exact"/>
        <w:rPr>
          <w:sz w:val="20"/>
          <w:szCs w:val="20"/>
          <w:color w:val="auto"/>
        </w:rPr>
      </w:pPr>
    </w:p>
    <w:p>
      <w:pPr>
        <w:ind w:left="900" w:hanging="244"/>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engage in the business of producing, manufacturing and marketing of air-conditioner covers.</w:t>
      </w:r>
    </w:p>
    <w:p>
      <w:pPr>
        <w:spacing w:after="0" w:line="252" w:lineRule="exact"/>
        <w:rPr>
          <w:rFonts w:ascii="Arial" w:cs="Arial" w:eastAsia="Arial" w:hAnsi="Arial"/>
          <w:sz w:val="18"/>
          <w:szCs w:val="18"/>
          <w:color w:val="auto"/>
        </w:rPr>
      </w:pPr>
    </w:p>
    <w:p>
      <w:pPr>
        <w:ind w:right="140" w:firstLine="656"/>
        <w:spacing w:after="0" w:line="342" w:lineRule="auto"/>
        <w:tabs>
          <w:tab w:leader="none" w:pos="90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have and to exercise all powers now or hereafter conferred by the laws of the State of Utah upon corporations organized pursuant to the laws under which the corporation is organized and any and all acts amendatory thereof and supplemental thereto, and to engage in any other lawful activities.</w:t>
      </w:r>
    </w:p>
    <w:p>
      <w:pPr>
        <w:spacing w:after="0" w:line="150" w:lineRule="exact"/>
        <w:rPr>
          <w:rFonts w:ascii="Arial" w:cs="Arial" w:eastAsia="Arial" w:hAnsi="Arial"/>
          <w:sz w:val="16"/>
          <w:szCs w:val="16"/>
          <w:color w:val="auto"/>
        </w:rPr>
      </w:pPr>
    </w:p>
    <w:p>
      <w:pPr>
        <w:ind w:right="20" w:firstLine="656"/>
        <w:spacing w:after="0" w:line="264" w:lineRule="auto"/>
        <w:tabs>
          <w:tab w:leader="none" w:pos="89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above enumerated powers shall not be construed as limiting or restricting in any manner the powers of this corporation which shall always have such incidental powers as may be connected with or related to any specific power herein enumerated, but are in furtherance of, and in addition to and not in limitation of, said general powers.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Shares</w:t>
      </w:r>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aggregate number of shares which this corporation shall have authority to issue is fifty million (50,000,000) shares of common stock of a par value of one mil ($0.001) per share. All shares of common stock of this corporation shall be of the same class and shall have the same rights and preferences. Fully paid shares of common stock of this corporation shall not be liable to any further call or assessment.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Pre-emptive Rights</w:t>
      </w:r>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authorized shares of common stock of this corporation may be issued at such time, upon such terms and conditions, and for such consideration as the Board of Directors of this corporation shall determine; provided, however, that the share-holders shall have pre-emptive rights to acquire unissued shares of common stock of this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Voting of Shares</w:t>
      </w:r>
    </w:p>
    <w:p>
      <w:pPr>
        <w:spacing w:after="0" w:line="252"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to all actions to be voted on by the shareholders, each holder of common stock of the corporation shall be entitled to one vote for each share of such stock standing in his name on the books of the corporation, and shall not be entitled to accumulate votes for the purpose of electing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Commencing Business</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corporation shall not commence business until consideration of a value of at least One Thousand Dollars ($1,000.000) shall have been received by this corporation for the issuance of its shares of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By-Laws</w:t>
      </w:r>
    </w:p>
    <w:p>
      <w:pPr>
        <w:spacing w:after="0" w:line="25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Directors shall and the shareholders may adopt By-Laws which are not inconsistent with law or these Articles of Incorporation for the regulation and management of the affairs of this corporation. These By-Laws may be amended from time to time, or repealed, pursuant to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Registered Office and Agent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this corporation's initial registered office and the name of its original registered agent at such address is:</w:t>
      </w:r>
    </w:p>
    <w:p>
      <w:pPr>
        <w:spacing w:after="0" w:line="252" w:lineRule="exact"/>
        <w:rPr>
          <w:sz w:val="20"/>
          <w:szCs w:val="20"/>
          <w:color w:val="auto"/>
        </w:rPr>
      </w:pPr>
    </w:p>
    <w:tbl>
      <w:tblPr>
        <w:tblLayout w:type="fixed"/>
        <w:tblInd w:w="2700" w:type="dxa"/>
        <w:tblCellMar>
          <w:top w:w="0" w:type="dxa"/>
          <w:left w:w="0" w:type="dxa"/>
          <w:bottom w:w="0" w:type="dxa"/>
          <w:right w:w="0" w:type="dxa"/>
        </w:tblCellMar>
      </w:tblPr>
      <w:tr>
        <w:trPr>
          <w:trHeight w:val="237"/>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606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ADDRESS</w:t>
            </w:r>
          </w:p>
        </w:tc>
      </w:tr>
      <w:tr>
        <w:trPr>
          <w:trHeight w:val="418"/>
        </w:trPr>
        <w:tc>
          <w:tcPr>
            <w:tcW w:w="2660" w:type="dxa"/>
            <w:vAlign w:val="bottom"/>
          </w:tcPr>
          <w:p>
            <w:pPr>
              <w:spacing w:after="0"/>
              <w:rPr>
                <w:sz w:val="20"/>
                <w:szCs w:val="20"/>
                <w:color w:val="auto"/>
              </w:rPr>
            </w:pPr>
            <w:r>
              <w:rPr>
                <w:rFonts w:ascii="Arial" w:cs="Arial" w:eastAsia="Arial" w:hAnsi="Arial"/>
                <w:sz w:val="18"/>
                <w:szCs w:val="18"/>
                <w:color w:val="auto"/>
              </w:rPr>
              <w:t>Jace N. Green</w:t>
            </w:r>
          </w:p>
        </w:tc>
        <w:tc>
          <w:tcPr>
            <w:tcW w:w="6060" w:type="dxa"/>
            <w:vAlign w:val="bottom"/>
          </w:tcPr>
          <w:p>
            <w:pPr>
              <w:ind w:left="1640"/>
              <w:spacing w:after="0"/>
              <w:rPr>
                <w:sz w:val="20"/>
                <w:szCs w:val="20"/>
                <w:color w:val="auto"/>
              </w:rPr>
            </w:pPr>
            <w:r>
              <w:rPr>
                <w:rFonts w:ascii="Arial" w:cs="Arial" w:eastAsia="Arial" w:hAnsi="Arial"/>
                <w:sz w:val="18"/>
                <w:szCs w:val="18"/>
                <w:color w:val="auto"/>
              </w:rPr>
              <w:t>4048 Barker Road</w:t>
            </w:r>
          </w:p>
        </w:tc>
      </w:tr>
      <w:tr>
        <w:trPr>
          <w:trHeight w:val="230"/>
        </w:trPr>
        <w:tc>
          <w:tcPr>
            <w:tcW w:w="2660" w:type="dxa"/>
            <w:vAlign w:val="bottom"/>
          </w:tcPr>
          <w:p>
            <w:pPr>
              <w:spacing w:after="0"/>
              <w:rPr>
                <w:sz w:val="20"/>
                <w:szCs w:val="20"/>
                <w:color w:val="auto"/>
              </w:rPr>
            </w:pPr>
          </w:p>
        </w:tc>
        <w:tc>
          <w:tcPr>
            <w:tcW w:w="6060" w:type="dxa"/>
            <w:vAlign w:val="bottom"/>
          </w:tcPr>
          <w:p>
            <w:pPr>
              <w:ind w:left="1640"/>
              <w:spacing w:after="0"/>
              <w:rPr>
                <w:sz w:val="20"/>
                <w:szCs w:val="20"/>
                <w:color w:val="auto"/>
              </w:rPr>
            </w:pPr>
            <w:r>
              <w:rPr>
                <w:rFonts w:ascii="Arial" w:cs="Arial" w:eastAsia="Arial" w:hAnsi="Arial"/>
                <w:sz w:val="18"/>
                <w:szCs w:val="18"/>
                <w:color w:val="auto"/>
              </w:rPr>
              <w:t>West Valley City, Utah 84119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number of Directors constituting the initial Board of Directors of this corporation is three (3), and subsequent to the organizational meeting of this corporation, the number of Directors shall be determined by the By-Laws of this corporation. The names and addresses of the persons who are to serve as Directors until the First Meeting of Shareholders of this Corporation or until their successors are elected and qualified, are:</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4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ADDRESS</w:t>
            </w:r>
          </w:p>
        </w:tc>
        <w:tc>
          <w:tcPr>
            <w:tcW w:w="2740" w:type="dxa"/>
            <w:vAlign w:val="bottom"/>
            <w:tcBorders>
              <w:bottom w:val="single" w:sz="8" w:color="auto"/>
            </w:tcBorders>
          </w:tcPr>
          <w:p>
            <w:pPr>
              <w:spacing w:after="0"/>
              <w:rPr>
                <w:sz w:val="20"/>
                <w:szCs w:val="20"/>
                <w:color w:val="auto"/>
              </w:rPr>
            </w:pPr>
          </w:p>
        </w:tc>
      </w:tr>
      <w:tr>
        <w:trPr>
          <w:trHeight w:val="418"/>
        </w:trPr>
        <w:tc>
          <w:tcPr>
            <w:tcW w:w="204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Joseph Y. Hornsby</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20" w:type="dxa"/>
            <w:vAlign w:val="bottom"/>
            <w:gridSpan w:val="2"/>
          </w:tcPr>
          <w:p>
            <w:pPr>
              <w:ind w:left="800"/>
              <w:spacing w:after="0"/>
              <w:rPr>
                <w:sz w:val="20"/>
                <w:szCs w:val="20"/>
                <w:color w:val="auto"/>
              </w:rPr>
            </w:pPr>
            <w:r>
              <w:rPr>
                <w:rFonts w:ascii="Arial" w:cs="Arial" w:eastAsia="Arial" w:hAnsi="Arial"/>
                <w:sz w:val="18"/>
                <w:szCs w:val="18"/>
                <w:color w:val="auto"/>
              </w:rPr>
              <w:t>1132 Montgomery Street</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gridSpan w:val="2"/>
          </w:tcPr>
          <w:p>
            <w:pPr>
              <w:ind w:left="800"/>
              <w:spacing w:after="0"/>
              <w:rPr>
                <w:sz w:val="20"/>
                <w:szCs w:val="20"/>
                <w:color w:val="auto"/>
              </w:rPr>
            </w:pPr>
            <w:r>
              <w:rPr>
                <w:rFonts w:ascii="Arial" w:cs="Arial" w:eastAsia="Arial" w:hAnsi="Arial"/>
                <w:sz w:val="18"/>
                <w:szCs w:val="18"/>
                <w:color w:val="auto"/>
              </w:rPr>
              <w:t>Salt Lake City, Utah 84104</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Elaine Avilez</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rPr>
              <w:t>4048 Barker Road</w:t>
            </w:r>
          </w:p>
        </w:tc>
        <w:tc>
          <w:tcPr>
            <w:tcW w:w="27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w w:val="92"/>
              </w:rPr>
              <w:t>West Valley City, Utah</w:t>
            </w:r>
          </w:p>
        </w:tc>
        <w:tc>
          <w:tcPr>
            <w:tcW w:w="2740" w:type="dxa"/>
            <w:vAlign w:val="bottom"/>
          </w:tcPr>
          <w:p>
            <w:pPr>
              <w:jc w:val="right"/>
              <w:ind w:right="2170"/>
              <w:spacing w:after="0"/>
              <w:rPr>
                <w:sz w:val="20"/>
                <w:szCs w:val="20"/>
                <w:color w:val="auto"/>
              </w:rPr>
            </w:pPr>
            <w:r>
              <w:rPr>
                <w:rFonts w:ascii="Arial" w:cs="Arial" w:eastAsia="Arial" w:hAnsi="Arial"/>
                <w:sz w:val="18"/>
                <w:szCs w:val="18"/>
                <w:color w:val="auto"/>
                <w:w w:val="91"/>
              </w:rPr>
              <w:t>84119</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Jace N. Green</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rPr>
              <w:t>4048 Barker Road</w:t>
            </w:r>
          </w:p>
        </w:tc>
        <w:tc>
          <w:tcPr>
            <w:tcW w:w="27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w w:val="92"/>
              </w:rPr>
              <w:t>West Valley City, Utah</w:t>
            </w:r>
          </w:p>
        </w:tc>
        <w:tc>
          <w:tcPr>
            <w:tcW w:w="2740" w:type="dxa"/>
            <w:vAlign w:val="bottom"/>
          </w:tcPr>
          <w:p>
            <w:pPr>
              <w:jc w:val="right"/>
              <w:ind w:right="2170"/>
              <w:spacing w:after="0"/>
              <w:rPr>
                <w:sz w:val="20"/>
                <w:szCs w:val="20"/>
                <w:color w:val="auto"/>
              </w:rPr>
            </w:pPr>
            <w:r>
              <w:rPr>
                <w:rFonts w:ascii="Arial" w:cs="Arial" w:eastAsia="Arial" w:hAnsi="Arial"/>
                <w:sz w:val="18"/>
                <w:szCs w:val="18"/>
                <w:color w:val="auto"/>
                <w:w w:val="91"/>
              </w:rPr>
              <w:t>84119</w:t>
            </w:r>
          </w:p>
        </w:tc>
      </w:tr>
      <w:tr>
        <w:trPr>
          <w:trHeight w:val="459"/>
        </w:trPr>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gridSpan w:val="3"/>
          </w:tcPr>
          <w:p>
            <w:pPr>
              <w:ind w:left="580"/>
              <w:spacing w:after="0"/>
              <w:rPr>
                <w:sz w:val="20"/>
                <w:szCs w:val="20"/>
                <w:color w:val="auto"/>
              </w:rPr>
            </w:pPr>
            <w:r>
              <w:rPr>
                <w:rFonts w:ascii="Arial" w:cs="Arial" w:eastAsia="Arial" w:hAnsi="Arial"/>
                <w:sz w:val="18"/>
                <w:szCs w:val="18"/>
                <w:color w:val="auto"/>
              </w:rPr>
              <w:t>ARTICLE XI</w:t>
            </w:r>
          </w:p>
        </w:tc>
        <w:tc>
          <w:tcPr>
            <w:tcW w:w="2740" w:type="dxa"/>
            <w:vAlign w:val="bottom"/>
          </w:tcPr>
          <w:p>
            <w:pPr>
              <w:spacing w:after="0"/>
              <w:rPr>
                <w:sz w:val="24"/>
                <w:szCs w:val="24"/>
                <w:color w:val="auto"/>
              </w:rPr>
            </w:pPr>
          </w:p>
        </w:tc>
      </w:tr>
      <w:tr>
        <w:trPr>
          <w:trHeight w:val="419"/>
        </w:trPr>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40" w:type="dxa"/>
            <w:vAlign w:val="bottom"/>
            <w:gridSpan w:val="3"/>
          </w:tcPr>
          <w:p>
            <w:pPr>
              <w:ind w:left="580"/>
              <w:spacing w:after="0"/>
              <w:rPr>
                <w:sz w:val="20"/>
                <w:szCs w:val="20"/>
                <w:color w:val="auto"/>
              </w:rPr>
            </w:pPr>
            <w:r>
              <w:rPr>
                <w:rFonts w:ascii="Arial" w:cs="Arial" w:eastAsia="Arial" w:hAnsi="Arial"/>
                <w:sz w:val="18"/>
                <w:szCs w:val="18"/>
                <w:color w:val="auto"/>
              </w:rPr>
              <w:t>Incorporators</w:t>
            </w:r>
          </w:p>
        </w:tc>
        <w:tc>
          <w:tcPr>
            <w:tcW w:w="2740" w:type="dxa"/>
            <w:vAlign w:val="bottom"/>
          </w:tcPr>
          <w:p>
            <w:pPr>
              <w:spacing w:after="0"/>
              <w:rPr>
                <w:sz w:val="24"/>
                <w:szCs w:val="24"/>
                <w:color w:val="auto"/>
              </w:rPr>
            </w:pPr>
          </w:p>
        </w:tc>
      </w:tr>
      <w:tr>
        <w:trPr>
          <w:trHeight w:val="480"/>
        </w:trPr>
        <w:tc>
          <w:tcPr>
            <w:tcW w:w="3980" w:type="dxa"/>
            <w:vAlign w:val="bottom"/>
            <w:gridSpan w:val="2"/>
          </w:tcPr>
          <w:p>
            <w:pPr>
              <w:spacing w:after="0"/>
              <w:rPr>
                <w:sz w:val="20"/>
                <w:szCs w:val="20"/>
                <w:color w:val="auto"/>
              </w:rPr>
            </w:pPr>
            <w:r>
              <w:rPr>
                <w:rFonts w:ascii="Arial" w:cs="Arial" w:eastAsia="Arial" w:hAnsi="Arial"/>
                <w:sz w:val="18"/>
                <w:szCs w:val="18"/>
                <w:color w:val="auto"/>
              </w:rPr>
              <w:t>The name and address of each incorporator is:</w:t>
            </w:r>
          </w:p>
        </w:tc>
        <w:tc>
          <w:tcPr>
            <w:tcW w:w="5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466"/>
        </w:trPr>
        <w:tc>
          <w:tcPr>
            <w:tcW w:w="2040" w:type="dxa"/>
            <w:vAlign w:val="bottom"/>
          </w:tcPr>
          <w:p>
            <w:pPr>
              <w:spacing w:after="0"/>
              <w:rPr>
                <w:sz w:val="24"/>
                <w:szCs w:val="24"/>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ADDRESS</w:t>
            </w:r>
          </w:p>
        </w:tc>
        <w:tc>
          <w:tcPr>
            <w:tcW w:w="2740" w:type="dxa"/>
            <w:vAlign w:val="bottom"/>
            <w:tcBorders>
              <w:bottom w:val="single" w:sz="8" w:color="auto"/>
            </w:tcBorders>
          </w:tcPr>
          <w:p>
            <w:pPr>
              <w:spacing w:after="0"/>
              <w:rPr>
                <w:sz w:val="24"/>
                <w:szCs w:val="24"/>
                <w:color w:val="auto"/>
              </w:rPr>
            </w:pPr>
          </w:p>
        </w:tc>
      </w:tr>
      <w:tr>
        <w:trPr>
          <w:trHeight w:val="418"/>
        </w:trPr>
        <w:tc>
          <w:tcPr>
            <w:tcW w:w="204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Joseph Y. Hornsby</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20" w:type="dxa"/>
            <w:vAlign w:val="bottom"/>
            <w:gridSpan w:val="2"/>
          </w:tcPr>
          <w:p>
            <w:pPr>
              <w:ind w:left="800"/>
              <w:spacing w:after="0"/>
              <w:rPr>
                <w:sz w:val="20"/>
                <w:szCs w:val="20"/>
                <w:color w:val="auto"/>
              </w:rPr>
            </w:pPr>
            <w:r>
              <w:rPr>
                <w:rFonts w:ascii="Arial" w:cs="Arial" w:eastAsia="Arial" w:hAnsi="Arial"/>
                <w:sz w:val="18"/>
                <w:szCs w:val="18"/>
                <w:color w:val="auto"/>
              </w:rPr>
              <w:t>1132 Montgomery Street</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20" w:type="dxa"/>
            <w:vAlign w:val="bottom"/>
            <w:gridSpan w:val="2"/>
          </w:tcPr>
          <w:p>
            <w:pPr>
              <w:ind w:left="800"/>
              <w:spacing w:after="0"/>
              <w:rPr>
                <w:sz w:val="20"/>
                <w:szCs w:val="20"/>
                <w:color w:val="auto"/>
              </w:rPr>
            </w:pPr>
            <w:r>
              <w:rPr>
                <w:rFonts w:ascii="Arial" w:cs="Arial" w:eastAsia="Arial" w:hAnsi="Arial"/>
                <w:sz w:val="18"/>
                <w:szCs w:val="18"/>
                <w:color w:val="auto"/>
              </w:rPr>
              <w:t>Salt Lake City, Utah 84104</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Elaine Avilez</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rPr>
              <w:t>4048 Barker Road</w:t>
            </w:r>
          </w:p>
        </w:tc>
        <w:tc>
          <w:tcPr>
            <w:tcW w:w="274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w w:val="92"/>
              </w:rPr>
              <w:t>West Valley City, Utah</w:t>
            </w:r>
          </w:p>
        </w:tc>
        <w:tc>
          <w:tcPr>
            <w:tcW w:w="2740" w:type="dxa"/>
            <w:vAlign w:val="bottom"/>
          </w:tcPr>
          <w:p>
            <w:pPr>
              <w:jc w:val="right"/>
              <w:ind w:right="2170"/>
              <w:spacing w:after="0"/>
              <w:rPr>
                <w:sz w:val="20"/>
                <w:szCs w:val="20"/>
                <w:color w:val="auto"/>
              </w:rPr>
            </w:pPr>
            <w:r>
              <w:rPr>
                <w:rFonts w:ascii="Arial" w:cs="Arial" w:eastAsia="Arial" w:hAnsi="Arial"/>
                <w:sz w:val="18"/>
                <w:szCs w:val="18"/>
                <w:color w:val="auto"/>
                <w:w w:val="91"/>
              </w:rPr>
              <w:t>84119</w:t>
            </w:r>
          </w:p>
        </w:tc>
      </w:tr>
      <w:tr>
        <w:trPr>
          <w:trHeight w:val="216"/>
        </w:trPr>
        <w:tc>
          <w:tcPr>
            <w:tcW w:w="20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Jace N. Green</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rPr>
              <w:t>4048 Barker Road</w:t>
            </w:r>
          </w:p>
        </w:tc>
        <w:tc>
          <w:tcPr>
            <w:tcW w:w="274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tcPr>
          <w:p>
            <w:pPr>
              <w:ind w:left="800"/>
              <w:spacing w:after="0"/>
              <w:rPr>
                <w:sz w:val="20"/>
                <w:szCs w:val="20"/>
                <w:color w:val="auto"/>
              </w:rPr>
            </w:pPr>
            <w:r>
              <w:rPr>
                <w:rFonts w:ascii="Arial" w:cs="Arial" w:eastAsia="Arial" w:hAnsi="Arial"/>
                <w:sz w:val="18"/>
                <w:szCs w:val="18"/>
                <w:color w:val="auto"/>
                <w:w w:val="92"/>
              </w:rPr>
              <w:t>West Valley City, Utah</w:t>
            </w:r>
          </w:p>
        </w:tc>
        <w:tc>
          <w:tcPr>
            <w:tcW w:w="2740" w:type="dxa"/>
            <w:vAlign w:val="bottom"/>
          </w:tcPr>
          <w:p>
            <w:pPr>
              <w:jc w:val="right"/>
              <w:ind w:right="2170"/>
              <w:spacing w:after="0"/>
              <w:rPr>
                <w:sz w:val="20"/>
                <w:szCs w:val="20"/>
                <w:color w:val="auto"/>
              </w:rPr>
            </w:pPr>
            <w:r>
              <w:rPr>
                <w:rFonts w:ascii="Arial" w:cs="Arial" w:eastAsia="Arial" w:hAnsi="Arial"/>
                <w:sz w:val="18"/>
                <w:szCs w:val="18"/>
                <w:color w:val="auto"/>
                <w:w w:val="91"/>
              </w:rPr>
              <w:t>84119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 and Directors Contract</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No contract or other transaction between this Corporation and any other corporation shall be affected by the fact that a Director or Officer of this Corporation is interested in, or is a Director or other Officer of such other Corporation. Any Director, individually or with others, may be a party to, or may be interested in any transaction of this Corporation or any transaction in which this Corporation is interested. No contract or other transaction of this Corporation with any person, firm or corporation shall be affected by the fact that any Director of this Corporation (a) is a party to, or is interested in, such contract, act or transaction, or (b) is in some way connected with such person, firm or corporation. Each person who is now or may become a Director of this Corporation is hereby relieved from and indemnified against liability that might otherwise obtain in the event such Director contracts with this Corporation for the benefit of himself or any firm, association or corporation in which he may be interested in any way, provided said Directors acts in good faith.</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DATED this 7th day of July, 1983.</w:t>
      </w:r>
    </w:p>
    <w:p>
      <w:pPr>
        <w:spacing w:after="0" w:line="200" w:lineRule="exact"/>
        <w:rPr>
          <w:sz w:val="20"/>
          <w:szCs w:val="20"/>
          <w:color w:val="auto"/>
        </w:rPr>
      </w:pPr>
    </w:p>
    <w:p>
      <w:pPr>
        <w:spacing w:after="0" w:line="29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/s/ Joseph Y. Hornsby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29210</wp:posOffset>
            </wp:positionV>
            <wp:extent cx="36277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Y. Hornsby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Elaine Avilez</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Elaine Avilez</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Jace 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Jace N. Green</w:t>
      </w:r>
    </w:p>
    <w:p>
      <w:pPr>
        <w:sectPr>
          <w:pgSz w:w="11900" w:h="16838" w:orient="portrait"/>
          <w:cols w:equalWidth="0" w:num="1">
            <w:col w:w="11360"/>
          </w:cols>
          <w:pgMar w:left="240" w:top="760" w:right="2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STATE OF UTAH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2020" w:space="720"/>
            <w:col w:w="8620"/>
          </w:cols>
          <w:pgMar w:left="240" w:top="760" w:right="29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760" w:right="29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COUNTY OF SALTE LAKE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140" w:space="640"/>
            <w:col w:w="8580"/>
          </w:cols>
          <w:pgMar w:left="240" w:top="760" w:right="299" w:bottom="1440" w:gutter="0" w:footer="0" w:header="0"/>
          <w:type w:val="continuous"/>
        </w:sectPr>
      </w:pPr>
    </w:p>
    <w:p>
      <w:pPr>
        <w:spacing w:after="0" w:line="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 the undersigned Notary Public, hereby certify that Joseph Y. Hornsby, Elaine Avilex, and Jace N. Green personally appeared before me, and being duly sworn by me, severally declared that they are the persons who signed the foregoing instrument as incorporators and that the statements therein contained are true</w:t>
      </w:r>
    </w:p>
    <w:p>
      <w:pPr>
        <w:spacing w:after="0" w:line="200" w:lineRule="exact"/>
        <w:rPr>
          <w:sz w:val="20"/>
          <w:szCs w:val="20"/>
          <w:color w:val="auto"/>
        </w:rPr>
      </w:pPr>
    </w:p>
    <w:p>
      <w:pPr>
        <w:spacing w:after="0" w:line="25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Judith R. Willard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NOTARY PUBLIC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Residing at Salt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5715</wp:posOffset>
            </wp:positionV>
            <wp:extent cx="36277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6-15-85</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type w:val="continuous"/>
        </w:sectPr>
      </w:pPr>
    </w:p>
    <w:bookmarkStart w:id="82" w:name="page83"/>
    <w:bookmarkEnd w:id="82"/>
    <w:p>
      <w:pPr>
        <w:jc w:val="center"/>
        <w:ind w:right="-79"/>
        <w:spacing w:after="0"/>
        <w:rPr>
          <w:sz w:val="20"/>
          <w:szCs w:val="20"/>
          <w:color w:val="auto"/>
        </w:rPr>
      </w:pPr>
      <w:r>
        <w:rPr>
          <w:rFonts w:ascii="Arial" w:cs="Arial" w:eastAsia="Arial" w:hAnsi="Arial"/>
          <w:sz w:val="18"/>
          <w:szCs w:val="18"/>
          <w:color w:val="auto"/>
        </w:rPr>
        <w:t>ARTICLES OF AMENDMENT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INSULAR, INC.</w:t>
      </w:r>
    </w:p>
    <w:p>
      <w:pPr>
        <w:spacing w:after="0" w:line="200" w:lineRule="exact"/>
        <w:rPr>
          <w:sz w:val="20"/>
          <w:szCs w:val="20"/>
          <w:color w:val="auto"/>
        </w:rPr>
      </w:pPr>
    </w:p>
    <w:p>
      <w:pPr>
        <w:spacing w:after="0" w:line="2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THE UNDERSIGNED, pursuant to the Utah Business Corporation Act, hereby adopt the following Articles of Amendment as a revision of the Articles of Incorporation of Insular, Inc.</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Insular, Inc.</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duration of the corporation is perpetual.</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ARTICLE III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amendments to the Articles of Incorporation were approved by the shareholders: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I of the Articles of Incorporation of this Corporation is amended so that it will read in its entirety as follows: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 of this Corporation is Gentner Electronics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III of the Articles of Incorporation of this Corporation is amended so that it will read in its entirety as follows:</w:t>
      </w:r>
    </w:p>
    <w:p>
      <w:pPr>
        <w:spacing w:after="0" w:line="252" w:lineRule="exact"/>
        <w:rPr>
          <w:sz w:val="20"/>
          <w:szCs w:val="20"/>
          <w:color w:val="auto"/>
        </w:rPr>
      </w:pPr>
    </w:p>
    <w:p>
      <w:pPr>
        <w:ind w:left="980" w:right="400"/>
        <w:spacing w:after="0" w:line="312" w:lineRule="auto"/>
        <w:rPr>
          <w:sz w:val="20"/>
          <w:szCs w:val="20"/>
          <w:color w:val="auto"/>
        </w:rPr>
      </w:pPr>
      <w:r>
        <w:rPr>
          <w:rFonts w:ascii="Arial" w:cs="Arial" w:eastAsia="Arial" w:hAnsi="Arial"/>
          <w:sz w:val="16"/>
          <w:szCs w:val="16"/>
          <w:color w:val="auto"/>
        </w:rPr>
        <w:t>The purpose for which this Corporation is organized is the engineering, designing, consulting, servicing, maintaining and repairing and manufacturing of electronic equipment and all matters related or ancillary thereto and to do all things and engage in all lawful transactions which a corporation organized under the laws of the State of Utah might do or engage in, even though not expressly stated herein.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V of the Articles of Incorporation of this Corporation is amended so that it will read in its entirety as follows:</w:t>
      </w:r>
    </w:p>
    <w:p>
      <w:pPr>
        <w:spacing w:after="0" w:line="252"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The authorized and treasury stock of this Corporation may be issued at such time, upon such terms and conditions and for such consideration as the Board of Directors shall determine. Shareholders shall not have pre-emptive rights to acquire unissued shares of the stock of this Corporation.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Articles X of the Articles of Incorporation of this Corporation is amended so that it will read in its entirety as follows:</w:t>
      </w:r>
    </w:p>
    <w:p>
      <w:pPr>
        <w:spacing w:after="0" w:line="252"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Board of Directors shall consist of not less than three (3) nor more than nine (9) members as the Board of Directors may itself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83" w:name="page84"/>
    <w:bookmarkEnd w:id="83"/>
    <w:p>
      <w:pPr>
        <w:ind w:left="5220"/>
        <w:spacing w:after="0"/>
        <w:rPr>
          <w:sz w:val="20"/>
          <w:szCs w:val="20"/>
          <w:color w:val="auto"/>
        </w:rPr>
      </w:pPr>
      <w:r>
        <w:rPr>
          <w:rFonts w:ascii="Arial" w:cs="Arial" w:eastAsia="Arial" w:hAnsi="Arial"/>
          <w:sz w:val="18"/>
          <w:szCs w:val="18"/>
          <w:u w:val="single" w:color="auto"/>
          <w:color w:val="auto"/>
        </w:rPr>
        <w:t>ARTICLE IV</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set forth in Article III were adopted March 26, 1985.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shares issued and outstanding and entitled to vote on said amendments on March 26, 1985 was 5,763,200.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4,121,900 shares voted for said amendments, and 0 shares voted against said amendments.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26th day of March, 1985.</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INSULAR,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Craig Niebuhr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Craig Niebuhr,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Craig Niebuhr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Jace Green, Secretary</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24" w:lineRule="auto"/>
        <w:rPr>
          <w:sz w:val="20"/>
          <w:szCs w:val="20"/>
          <w:color w:val="auto"/>
        </w:rPr>
      </w:pPr>
      <w:r>
        <w:rPr>
          <w:rFonts w:ascii="Arial" w:cs="Arial" w:eastAsia="Arial" w:hAnsi="Arial"/>
          <w:sz w:val="16"/>
          <w:szCs w:val="16"/>
          <w:color w:val="auto"/>
        </w:rPr>
        <w:t>STATE OF UTAH County of Salt Lake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ss.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481" w:lineRule="exact"/>
        <w:rPr>
          <w:sz w:val="20"/>
          <w:szCs w:val="20"/>
          <w:color w:val="auto"/>
        </w:rPr>
      </w:pPr>
    </w:p>
    <w:p>
      <w:pPr>
        <w:sectPr>
          <w:pgSz w:w="11900" w:h="16838" w:orient="portrait"/>
          <w:cols w:equalWidth="0" w:num="2">
            <w:col w:w="1460" w:space="500"/>
            <w:col w:w="9460"/>
          </w:cols>
          <w:pgMar w:left="240" w:top="517" w:right="239" w:bottom="1440" w:gutter="0" w:footer="0" w:header="0"/>
          <w:type w:val="continuous"/>
        </w:sectPr>
      </w:pPr>
    </w:p>
    <w:p>
      <w:pPr>
        <w:ind w:right="40" w:firstLine="648"/>
        <w:spacing w:after="0" w:line="231" w:lineRule="auto"/>
        <w:rPr>
          <w:sz w:val="20"/>
          <w:szCs w:val="20"/>
          <w:color w:val="auto"/>
        </w:rPr>
      </w:pPr>
      <w:r>
        <w:rPr>
          <w:rFonts w:ascii="Arial" w:cs="Arial" w:eastAsia="Arial" w:hAnsi="Arial"/>
          <w:sz w:val="18"/>
          <w:szCs w:val="18"/>
          <w:color w:val="auto"/>
        </w:rPr>
        <w:t>I, THE UNDERSIGNED, a Notary Public, hereby certify that on the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1985, Craig Niebuhr and Jace Green personally appeared before me who being by me first duly sworn severally declared that they are the persons who signed the foregoing document as corporate officers and that the statements therein contained are true.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26th day of March, 1985.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 Notary Public</w:t>
            </w:r>
          </w:p>
        </w:tc>
      </w:tr>
      <w:tr>
        <w:trPr>
          <w:trHeight w:val="230"/>
        </w:trPr>
        <w:tc>
          <w:tcPr>
            <w:tcW w:w="3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NOTARY PUBLIC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My commission expires:</w:t>
            </w:r>
          </w:p>
        </w:tc>
        <w:tc>
          <w:tcPr>
            <w:tcW w:w="19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Residing at:</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5-29-88</w:t>
            </w:r>
          </w:p>
        </w:tc>
        <w:tc>
          <w:tcPr>
            <w:tcW w:w="198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Salt Lake City, Utah</w:t>
            </w:r>
          </w:p>
        </w:tc>
      </w:tr>
      <w:tr>
        <w:trPr>
          <w:trHeight w:val="851"/>
        </w:trPr>
        <w:tc>
          <w:tcPr>
            <w:tcW w:w="3720" w:type="dxa"/>
            <w:vAlign w:val="bottom"/>
          </w:tcPr>
          <w:p>
            <w:pPr>
              <w:spacing w:after="0"/>
              <w:rPr>
                <w:sz w:val="24"/>
                <w:szCs w:val="24"/>
                <w:color w:val="auto"/>
              </w:rPr>
            </w:pPr>
          </w:p>
        </w:tc>
        <w:tc>
          <w:tcPr>
            <w:tcW w:w="7700" w:type="dxa"/>
            <w:vAlign w:val="bottom"/>
            <w:gridSpan w:val="2"/>
          </w:tcPr>
          <w:p>
            <w:pPr>
              <w:jc w:val="right"/>
              <w:ind w:right="5570"/>
              <w:spacing w:after="0"/>
              <w:rPr>
                <w:sz w:val="20"/>
                <w:szCs w:val="20"/>
                <w:color w:val="auto"/>
              </w:rPr>
            </w:pPr>
            <w:r>
              <w:rPr>
                <w:rFonts w:ascii="Arial" w:cs="Arial" w:eastAsia="Arial" w:hAnsi="Arial"/>
                <w:sz w:val="18"/>
                <w:szCs w:val="18"/>
                <w:color w:val="auto"/>
              </w:rPr>
              <w:t>6</w:t>
            </w:r>
          </w:p>
        </w:tc>
      </w:tr>
      <w:tr>
        <w:trPr>
          <w:trHeight w:val="118"/>
        </w:trPr>
        <w:tc>
          <w:tcPr>
            <w:tcW w:w="372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5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84" w:name="page85"/>
    <w:bookmarkEnd w:id="84"/>
    <w:p>
      <w:pPr>
        <w:jc w:val="center"/>
        <w:ind w:right="-459"/>
        <w:spacing w:after="0"/>
        <w:rPr>
          <w:sz w:val="20"/>
          <w:szCs w:val="20"/>
          <w:color w:val="auto"/>
        </w:rPr>
      </w:pPr>
      <w:r>
        <w:rPr>
          <w:rFonts w:ascii="Arial" w:cs="Arial" w:eastAsia="Arial" w:hAnsi="Arial"/>
          <w:sz w:val="18"/>
          <w:szCs w:val="18"/>
          <w:color w:val="auto"/>
        </w:rPr>
        <w:t>CONSENT TO USE OF NAME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officer of Gentner Engineering Company hereby consents to Insular, Inc. changing its name to Gentner Electronics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Concurrent with such change Gentner Engineering Company has become a wholly owned subsidiary of Insular, Inc.</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March 26, 1985.</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GENTNER ENGINEERING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Russell D. Gentner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Russell D. Gentner,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517" w:right="699" w:bottom="1440" w:gutter="0" w:footer="0" w:header="0"/>
        </w:sectPr>
      </w:pPr>
    </w:p>
    <w:bookmarkStart w:id="85" w:name="page86"/>
    <w:bookmarkEnd w:id="85"/>
    <w:p>
      <w:pPr>
        <w:jc w:val="center"/>
        <w:ind w:right="-119"/>
        <w:spacing w:after="0"/>
        <w:rPr>
          <w:sz w:val="20"/>
          <w:szCs w:val="20"/>
          <w:color w:val="auto"/>
        </w:rPr>
      </w:pPr>
      <w:r>
        <w:rPr>
          <w:rFonts w:ascii="Arial" w:cs="Arial" w:eastAsia="Arial" w:hAnsi="Arial"/>
          <w:sz w:val="18"/>
          <w:szCs w:val="18"/>
          <w:u w:val="single" w:color="auto"/>
          <w:color w:val="auto"/>
        </w:rPr>
        <w:t>CORRECTED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ARTICLES OF AMENDMENT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ARTICLES OF INCORPORATION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OF GENTNER ELECTRONICS COMPANY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(formerly Insular, Inc.)</w:t>
      </w:r>
    </w:p>
    <w:p>
      <w:pPr>
        <w:spacing w:after="0" w:line="200" w:lineRule="exact"/>
        <w:rPr>
          <w:sz w:val="20"/>
          <w:szCs w:val="20"/>
          <w:color w:val="auto"/>
        </w:rPr>
      </w:pPr>
    </w:p>
    <w:p>
      <w:pPr>
        <w:spacing w:after="0" w:line="2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the undersigned, pursuant to the Utah Business Corporation Act, hereby file and adopt the following Corrected Articles of Amendment correcting those certain Articles of Amendment filed and approved by the Division of Corporations and Commercial Code of the Utah State Department of Business Regulation on the 26th day of March, 1985. These Corrected Articles of Amendment correct a typographical error in the previous Articles of Amendment which erroneously set forth the name of the corporation as Gentner Electronics Company, rather than the propertly and duly adopted name of Gentner Electronics Corporation. Accordingly, Article I of the Articles of Incorporation shall be amended to read as follows:</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ARTICLE 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Gentner Electronics Corporation.</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amendment of the corporate name was adopted by majority vote of the stockholders of the corporation at the annual meeting of stockholders held March 26, 1985. The number of shares issues and outstanding and entitled to vote on said amendment on March 26, 1985 was 5,763,200, and 4,121,900 shares voted for said amendment and 0 shares voted against said amendment.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this 10th day of September, 1986.</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GENTNER ELECTRONICS COMPANY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 Utah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Russell D. Gentner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RUSSELL D. GENTNER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William H. Gillman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H. GILLMAN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7"/>
          <w:szCs w:val="17"/>
          <w:u w:val="single" w:color="auto"/>
          <w:color w:val="auto"/>
        </w:rPr>
        <w:t>VERIFICATION</w:t>
      </w:r>
    </w:p>
    <w:p>
      <w:pPr>
        <w:sectPr>
          <w:pgSz w:w="11900" w:h="16838" w:orient="portrait"/>
          <w:cols w:equalWidth="0" w:num="1">
            <w:col w:w="11420"/>
          </w:cols>
          <w:pgMar w:left="240" w:top="517" w:right="239" w:bottom="1440" w:gutter="0" w:footer="0" w:header="0"/>
        </w:sectPr>
      </w:pPr>
    </w:p>
    <w:p>
      <w:pPr>
        <w:spacing w:after="0" w:line="264" w:lineRule="exact"/>
        <w:rPr>
          <w:sz w:val="20"/>
          <w:szCs w:val="20"/>
          <w:color w:val="auto"/>
        </w:rPr>
      </w:pPr>
    </w:p>
    <w:p>
      <w:pPr>
        <w:spacing w:after="0" w:line="581" w:lineRule="auto"/>
        <w:rPr>
          <w:sz w:val="20"/>
          <w:szCs w:val="20"/>
          <w:color w:val="auto"/>
        </w:rPr>
      </w:pPr>
      <w:r>
        <w:rPr>
          <w:rFonts w:ascii="Arial" w:cs="Arial" w:eastAsia="Arial" w:hAnsi="Arial"/>
          <w:sz w:val="16"/>
          <w:szCs w:val="16"/>
          <w:color w:val="auto"/>
        </w:rPr>
        <w:t>Sate of Utah County of Salt Lake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ss.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ectPr>
          <w:pgSz w:w="11900" w:h="16838" w:orient="portrait"/>
          <w:cols w:equalWidth="0" w:num="2">
            <w:col w:w="1460" w:space="500"/>
            <w:col w:w="9460"/>
          </w:cols>
          <w:pgMar w:left="240" w:top="517" w:right="239" w:bottom="1440" w:gutter="0" w:footer="0" w:header="0"/>
          <w:type w:val="continuous"/>
        </w:sectPr>
      </w:pPr>
    </w:p>
    <w:p>
      <w:pPr>
        <w:ind w:right="100" w:firstLine="648"/>
        <w:spacing w:after="0" w:line="259" w:lineRule="auto"/>
        <w:rPr>
          <w:sz w:val="20"/>
          <w:szCs w:val="20"/>
          <w:color w:val="auto"/>
        </w:rPr>
      </w:pPr>
      <w:r>
        <w:rPr>
          <w:rFonts w:ascii="Arial" w:cs="Arial" w:eastAsia="Arial" w:hAnsi="Arial"/>
          <w:sz w:val="18"/>
          <w:szCs w:val="18"/>
          <w:color w:val="auto"/>
        </w:rPr>
        <w:t>RUSSELL D. GENTNER, being first duly sworn upon oath, deposes and says that he is the President of Gentner Electronics Company herein; that he has read the above and foregoing Corrected Articles of Amendment of Articles to Incorporation of Gentner Electronics Company, formerly Insular, Inc., knows the contents thereof; and that the same are true of his own knowledge, except as to matters therein alleged upon information and belief and as to those matters he believes them to be true.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Russell D. Gentner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RUSSELL D. GENTNER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SUBSCRIBED AND SWORN to before me this 10th day of September, 1986.</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My Commission Expires:</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Willie Steed</w:t>
            </w:r>
          </w:p>
        </w:tc>
      </w:tr>
      <w:tr>
        <w:trPr>
          <w:trHeight w:val="202"/>
        </w:trPr>
        <w:tc>
          <w:tcPr>
            <w:tcW w:w="570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NOTARY PUBLIC</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10-6-86</w:t>
            </w:r>
          </w:p>
        </w:tc>
        <w:tc>
          <w:tcPr>
            <w:tcW w:w="5720" w:type="dxa"/>
            <w:vAlign w:val="bottom"/>
          </w:tcPr>
          <w:p>
            <w:pPr>
              <w:spacing w:after="0"/>
              <w:rPr>
                <w:sz w:val="20"/>
                <w:szCs w:val="20"/>
                <w:color w:val="auto"/>
              </w:rPr>
            </w:pPr>
            <w:r>
              <w:rPr>
                <w:rFonts w:ascii="Arial" w:cs="Arial" w:eastAsia="Arial" w:hAnsi="Arial"/>
                <w:sz w:val="18"/>
                <w:szCs w:val="18"/>
                <w:color w:val="auto"/>
              </w:rPr>
              <w:t>Residing at: Utah</w:t>
            </w:r>
          </w:p>
        </w:tc>
      </w:tr>
    </w:tbl>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300" w:type="dxa"/>
            <w:vAlign w:val="bottom"/>
            <w:gridSpan w:val="2"/>
          </w:tcPr>
          <w:p>
            <w:pPr>
              <w:ind w:left="3060"/>
              <w:spacing w:after="0"/>
              <w:rPr>
                <w:sz w:val="20"/>
                <w:szCs w:val="20"/>
                <w:color w:val="auto"/>
              </w:rPr>
            </w:pPr>
            <w:r>
              <w:rPr>
                <w:rFonts w:ascii="Arial" w:cs="Arial" w:eastAsia="Arial" w:hAnsi="Arial"/>
                <w:sz w:val="18"/>
                <w:szCs w:val="18"/>
                <w:color w:val="auto"/>
                <w:w w:val="96"/>
              </w:rPr>
              <w:t>VERIFICATION</w:t>
            </w:r>
          </w:p>
        </w:tc>
      </w:tr>
      <w:tr>
        <w:trPr>
          <w:trHeight w:val="465"/>
        </w:trPr>
        <w:tc>
          <w:tcPr>
            <w:tcW w:w="2040" w:type="dxa"/>
            <w:vAlign w:val="bottom"/>
          </w:tcPr>
          <w:p>
            <w:pPr>
              <w:spacing w:after="0"/>
              <w:rPr>
                <w:sz w:val="20"/>
                <w:szCs w:val="20"/>
                <w:color w:val="auto"/>
              </w:rPr>
            </w:pPr>
            <w:r>
              <w:rPr>
                <w:rFonts w:ascii="Arial" w:cs="Arial" w:eastAsia="Arial" w:hAnsi="Arial"/>
                <w:sz w:val="18"/>
                <w:szCs w:val="18"/>
                <w:color w:val="auto"/>
              </w:rPr>
              <w:t>Sate of Utah</w:t>
            </w:r>
          </w:p>
        </w:tc>
        <w:tc>
          <w:tcPr>
            <w:tcW w:w="3060" w:type="dxa"/>
            <w:vAlign w:val="bottom"/>
          </w:tcPr>
          <w:p>
            <w:pPr>
              <w:jc w:val="right"/>
              <w:ind w:right="21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spacing w:after="0"/>
              <w:rPr>
                <w:sz w:val="24"/>
                <w:szCs w:val="24"/>
                <w:color w:val="auto"/>
              </w:rPr>
            </w:pPr>
          </w:p>
        </w:tc>
      </w:tr>
      <w:tr>
        <w:trPr>
          <w:trHeight w:val="216"/>
        </w:trPr>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4300" w:type="dxa"/>
            <w:vAlign w:val="bottom"/>
            <w:gridSpan w:val="2"/>
          </w:tcPr>
          <w:p>
            <w:pPr>
              <w:ind w:left="60"/>
              <w:spacing w:after="0"/>
              <w:rPr>
                <w:sz w:val="20"/>
                <w:szCs w:val="20"/>
                <w:color w:val="auto"/>
              </w:rPr>
            </w:pPr>
            <w:r>
              <w:rPr>
                <w:rFonts w:ascii="Arial" w:cs="Arial" w:eastAsia="Arial" w:hAnsi="Arial"/>
                <w:sz w:val="18"/>
                <w:szCs w:val="18"/>
                <w:color w:val="auto"/>
              </w:rPr>
              <w:t>ss.</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County of Salt Lake</w:t>
            </w:r>
          </w:p>
        </w:tc>
        <w:tc>
          <w:tcPr>
            <w:tcW w:w="3060" w:type="dxa"/>
            <w:vAlign w:val="bottom"/>
          </w:tcPr>
          <w:p>
            <w:pPr>
              <w:jc w:val="right"/>
              <w:ind w:right="155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bl>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WILLIAM H. GILLMAN, being first duly sworn upon oath, deposes and says that he is the President of Gentner Electronics Company herein; that he has read the above and foregoing Corrected Articles of Amendment of Articles to Incorporation of Gentner Electronics Company, formerly Insular, Inc., knows the contents thereof; and that the same are true of his own knowledge, except as to matters therein alleged upon information and belief and as to those matters he believes them to be true.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William H. Gillman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H. GILLMAN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SUBSCRIBED AND SWORN to before me this 10th day of September, 1986.</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My Commission Expires:</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Willie Steed</w:t>
            </w:r>
          </w:p>
        </w:tc>
      </w:tr>
      <w:tr>
        <w:trPr>
          <w:trHeight w:val="202"/>
        </w:trPr>
        <w:tc>
          <w:tcPr>
            <w:tcW w:w="570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NOTARY PUBLIC</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10-6-86</w:t>
            </w:r>
          </w:p>
        </w:tc>
        <w:tc>
          <w:tcPr>
            <w:tcW w:w="5720" w:type="dxa"/>
            <w:vAlign w:val="bottom"/>
          </w:tcPr>
          <w:p>
            <w:pPr>
              <w:spacing w:after="0"/>
              <w:rPr>
                <w:sz w:val="20"/>
                <w:szCs w:val="20"/>
                <w:color w:val="auto"/>
              </w:rPr>
            </w:pPr>
            <w:r>
              <w:rPr>
                <w:rFonts w:ascii="Arial" w:cs="Arial" w:eastAsia="Arial" w:hAnsi="Arial"/>
                <w:sz w:val="18"/>
                <w:szCs w:val="18"/>
                <w:color w:val="auto"/>
              </w:rPr>
              <w:t>Residing at: Utah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87" w:name="page88"/>
    <w:bookmarkEnd w:id="87"/>
    <w:p>
      <w:pPr>
        <w:jc w:val="center"/>
        <w:ind w:right="-79"/>
        <w:spacing w:after="0"/>
        <w:rPr>
          <w:sz w:val="20"/>
          <w:szCs w:val="20"/>
          <w:color w:val="auto"/>
        </w:rPr>
      </w:pPr>
      <w:r>
        <w:rPr>
          <w:rFonts w:ascii="Arial" w:cs="Arial" w:eastAsia="Arial" w:hAnsi="Arial"/>
          <w:sz w:val="18"/>
          <w:szCs w:val="18"/>
          <w:color w:val="auto"/>
        </w:rPr>
        <w:t>ARTICLES OF AMENDMENT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GENTNER ELECTRONICS CORPORATION</w:t>
      </w:r>
    </w:p>
    <w:p>
      <w:pPr>
        <w:spacing w:after="0" w:line="200" w:lineRule="exact"/>
        <w:rPr>
          <w:sz w:val="20"/>
          <w:szCs w:val="20"/>
          <w:color w:val="auto"/>
        </w:rPr>
      </w:pPr>
    </w:p>
    <w:p>
      <w:pPr>
        <w:spacing w:after="0" w:line="2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being the President and Secretary of respectively of Gentner Electronics Corporation (the "Company"), a Utah corporation, hereby verify the following:</w:t>
      </w:r>
    </w:p>
    <w:p>
      <w:pPr>
        <w:spacing w:after="0" w:line="197" w:lineRule="exact"/>
        <w:rPr>
          <w:sz w:val="20"/>
          <w:szCs w:val="20"/>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of the Company is Gentner Electronics Corporation;</w:t>
      </w:r>
    </w:p>
    <w:p>
      <w:pPr>
        <w:spacing w:after="0" w:line="252" w:lineRule="exact"/>
        <w:rPr>
          <w:rFonts w:ascii="Arial" w:cs="Arial" w:eastAsia="Arial" w:hAnsi="Arial"/>
          <w:sz w:val="18"/>
          <w:szCs w:val="18"/>
          <w:color w:val="auto"/>
        </w:rPr>
      </w:pPr>
    </w:p>
    <w:p>
      <w:pPr>
        <w:ind w:right="40" w:firstLine="656"/>
        <w:spacing w:after="0" w:line="277" w:lineRule="auto"/>
        <w:tabs>
          <w:tab w:leader="none" w:pos="1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Article I of the Articles of Incorporation of the Company has been amended to read in its entirety as follows: "The name of the Corporation is Gentner Communications Corporation."</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amendment was adopted by the shareholders on July 1, 1991.</w:t>
      </w:r>
    </w:p>
    <w:p>
      <w:pPr>
        <w:spacing w:after="0" w:line="252" w:lineRule="exact"/>
        <w:rPr>
          <w:rFonts w:ascii="Arial" w:cs="Arial" w:eastAsia="Arial" w:hAnsi="Arial"/>
          <w:sz w:val="18"/>
          <w:szCs w:val="18"/>
          <w:color w:val="auto"/>
        </w:rPr>
      </w:pPr>
    </w:p>
    <w:p>
      <w:pPr>
        <w:ind w:right="280" w:firstLine="656"/>
        <w:spacing w:after="0" w:line="277" w:lineRule="auto"/>
        <w:tabs>
          <w:tab w:leader="none" w:pos="1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of common stock that were outstanding on July 1, 1991 was 2,979,400 shares, all of which shares were entitled to vote on this amendment.</w:t>
      </w:r>
    </w:p>
    <w:p>
      <w:pPr>
        <w:spacing w:after="0" w:line="197" w:lineRule="exact"/>
        <w:rPr>
          <w:rFonts w:ascii="Arial" w:cs="Arial" w:eastAsia="Arial" w:hAnsi="Arial"/>
          <w:sz w:val="18"/>
          <w:szCs w:val="18"/>
          <w:color w:val="auto"/>
        </w:rPr>
      </w:pPr>
    </w:p>
    <w:p>
      <w:pPr>
        <w:ind w:right="660" w:firstLine="656"/>
        <w:spacing w:after="0" w:line="277" w:lineRule="auto"/>
        <w:tabs>
          <w:tab w:leader="none" w:pos="1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shares that were voted for this amendment was 2,076,473 shares. The number of shares that were voted against this amendment were 0 shares.</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WITNESS WHEREOF, these Articles of Amendment have been executed on this 1st day of July, 1991, and the President and Secretary each verify that they have each read these Articles of Amendment and that the same are true.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William V. Trowbridge,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William V. Trowbridge, Jr.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David L. Harmon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L. Harmon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color w:val="auto"/>
        </w:rPr>
        <w:t>ARTICLES OF AMENDMENT TO</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ARTICLES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GENTNER COMMUNICATIONS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(hereafter ClearOne Communications, Inc.)</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Sections 16-10a-1003 and 16-10a-1006 of the Utah Revised Business Corporation Act, the undersigned, James A. Valeo, being the Vice President of Gentner Communications Corporation, a Utah corporation (the "Corporation"), hereby certifies the following:</w:t>
      </w:r>
    </w:p>
    <w:p>
      <w:pPr>
        <w:spacing w:after="0" w:line="19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Articles I of the Articles of Incorporation of the Corporation is deleted in its entirety and the following is substituted therefore:</w:t>
      </w:r>
    </w:p>
    <w:p>
      <w:pPr>
        <w:spacing w:after="0" w:line="252"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color w:val="auto"/>
        </w:rPr>
        <w:t>ARTICLES I</w:t>
      </w:r>
    </w:p>
    <w:p>
      <w:pPr>
        <w:spacing w:after="0" w:line="252"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name of this corporation is ClearOne Communications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[End of Article I]</w:t>
      </w:r>
    </w:p>
    <w:p>
      <w:pPr>
        <w:spacing w:after="0" w:line="252" w:lineRule="exact"/>
        <w:rPr>
          <w:sz w:val="20"/>
          <w:szCs w:val="20"/>
          <w:color w:val="auto"/>
        </w:rPr>
      </w:pPr>
    </w:p>
    <w:p>
      <w:pPr>
        <w:ind w:left="660" w:right="120" w:hanging="652"/>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Amendment to the Articles of Incorporation (the "Amendment") was adopted (i) by the Board of Directors of the Corporation as of September 17, 2001, and (ii) with the recommendation of the Board of Directors, at a meeting of the shareholders of the Corporation held on November 14, 2001.</w:t>
      </w:r>
    </w:p>
    <w:p>
      <w:pPr>
        <w:spacing w:after="0" w:line="208" w:lineRule="exact"/>
        <w:rPr>
          <w:rFonts w:ascii="Arial" w:cs="Arial" w:eastAsia="Arial" w:hAnsi="Arial"/>
          <w:sz w:val="18"/>
          <w:szCs w:val="18"/>
          <w:color w:val="auto"/>
        </w:rPr>
      </w:pPr>
    </w:p>
    <w:p>
      <w:pPr>
        <w:ind w:left="660" w:right="340" w:hanging="652"/>
        <w:spacing w:after="0" w:line="30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the date of the record date for the shareholders meeting referenced in paragraph 2, the Corporation had 8,628,478 shares of outstanding Common Stock all of which were entitled to vote on the above noted Amendment and 5,544,252 of which were indisputably present at the shareholder's meeting at which the vote was taken. Common Stock is the only class of stock of the Corporation. The Amendment was approved, receiving 5,468,778 votes, which constituted a majority of the outstanding shares of Common Stock of the Corporation.</w:t>
      </w:r>
    </w:p>
    <w:p>
      <w:pPr>
        <w:spacing w:after="0" w:line="181"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Articles of Amendment to the Articles of Incorporation shall become effective on January 1, 2002.</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these Articles of Amendment to the Articles of Incorporation as of this 12th day of December, 2001.</w:t>
      </w:r>
    </w:p>
    <w:p>
      <w:pPr>
        <w:spacing w:after="0" w:line="27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GENTNER COMMUNICATIONS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CORPORATION, a Utah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James A. Valeo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James A. Valeo, Vice President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60"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ectPr>
          <w:pgSz w:w="11900" w:h="16838" w:orient="portrait"/>
          <w:cols w:equalWidth="0" w:num="1">
            <w:col w:w="11420"/>
          </w:cols>
          <w:pgMar w:left="240" w:top="10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333-148789 and 333-137859 of ClearOne Communications, Inc. on Forms S-8 of our financial statement audit report dated September 2, 2008, appearing in this Annual Report on Form 10-K of ClearOne Communications, Inc. for the years ended June 30,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September 2, 2008</w:t>
      </w:r>
    </w:p>
    <w:p>
      <w:pPr>
        <w:sectPr>
          <w:pgSz w:w="11900" w:h="16838" w:orient="portrait"/>
          <w:cols w:equalWidth="0" w:num="1">
            <w:col w:w="11420"/>
          </w:cols>
          <w:pgMar w:left="240" w:top="8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23.2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consent to the incorporation by reference in Registration Statements Nos. 333-148789 and 333-137859 of ClearOne Communications, Inc. on Form S-8 of our audit report dated August 21, 2006, appearing in this Annual Report on Form 10-K of ClearOne Communications, Inc. for the year ended June 30, 2008.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Hansen Barnett &amp; Maxwell,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August 26, 2008</w:t>
      </w:r>
    </w:p>
    <w:p>
      <w:pPr>
        <w:sectPr>
          <w:pgSz w:w="11900" w:h="16838" w:orient="portrait"/>
          <w:cols w:equalWidth="0" w:num="1">
            <w:col w:w="11420"/>
          </w:cols>
          <w:pgMar w:left="240" w:top="1053" w:right="239" w:bottom="1440" w:gutter="0" w:footer="0" w:header="0"/>
        </w:sectPr>
      </w:pPr>
    </w:p>
    <w:bookmarkStart w:id="92" w:name="page93"/>
    <w:bookmarkEnd w:id="92"/>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500" w:hanging="231"/>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September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ectPr>
          <w:pgSz w:w="11900" w:h="16838" w:orient="portrait"/>
          <w:cols w:equalWidth="0" w:num="1">
            <w:col w:w="11420"/>
          </w:cols>
          <w:pgMar w:left="240" w:top="1053" w:right="239" w:bottom="1440" w:gutter="0" w:footer="0" w:header="0"/>
        </w:sectPr>
      </w:pPr>
    </w:p>
    <w:bookmarkStart w:id="93" w:name="page94"/>
    <w:bookmarkEnd w:id="93"/>
    <w:p>
      <w:pPr>
        <w:ind w:left="10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52" w:lineRule="exact"/>
        <w:rPr>
          <w:sz w:val="20"/>
          <w:szCs w:val="20"/>
          <w:color w:val="auto"/>
        </w:rPr>
      </w:pPr>
    </w:p>
    <w:p>
      <w:pPr>
        <w:ind w:left="500" w:hanging="231"/>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52"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380" w:hanging="8"/>
        <w:spacing w:after="0" w:line="277" w:lineRule="auto"/>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320" w:hanging="8"/>
        <w:spacing w:after="0" w:line="277" w:lineRule="auto"/>
        <w:tabs>
          <w:tab w:leader="none" w:pos="7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September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053"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2008,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September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8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Annual Report of ClearOne Communications, Inc. on Form 10-K for the year ended June 30, 2008,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September 10,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A. LeClaire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Greg A. LeClaire</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decimal"/>
      <w:start w:val="3"/>
    </w:lvl>
  </w:abstractNum>
  <w:abstractNum w:abstractNumId="17">
    <w:nsid w:val="189A769B"/>
    <w:multiLevelType w:val="hybridMultilevel"/>
    <w:lvl w:ilvl="0">
      <w:lvlJc w:val="left"/>
      <w:lvlText w:val="1"/>
      <w:numFmt w:val="bullet"/>
      <w:start w:val="1"/>
    </w:lvl>
  </w:abstractNum>
  <w:abstractNum w:abstractNumId="18">
    <w:nsid w:val="54E49EB4"/>
    <w:multiLevelType w:val="hybridMultilevel"/>
    <w:lvl w:ilvl="0">
      <w:lvlJc w:val="left"/>
      <w:lvlText w:val="3"/>
      <w:numFmt w:val="bullet"/>
      <w:start w:val="1"/>
    </w:lvl>
  </w:abstractNum>
  <w:abstractNum w:abstractNumId="19">
    <w:nsid w:val="71F32454"/>
    <w:multiLevelType w:val="hybridMultilevel"/>
    <w:lvl w:ilvl="0">
      <w:lvlJc w:val="left"/>
      <w:lvlText w:val="4"/>
      <w:numFmt w:val="bullet"/>
      <w:start w:val="1"/>
    </w:lvl>
  </w:abstractNum>
  <w:abstractNum w:abstractNumId="20">
    <w:nsid w:val="2CA88611"/>
    <w:multiLevelType w:val="hybridMultilevel"/>
    <w:lvl w:ilvl="0">
      <w:lvlJc w:val="left"/>
      <w:lvlText w:val="6"/>
      <w:numFmt w:val="bullet"/>
      <w:start w:val="1"/>
    </w:lvl>
  </w:abstractNum>
  <w:abstractNum w:abstractNumId="21">
    <w:nsid w:val="836C40E"/>
    <w:multiLevelType w:val="hybridMultilevel"/>
    <w:lvl w:ilvl="0">
      <w:lvlJc w:val="left"/>
      <w:lvlText w:val="7"/>
      <w:numFmt w:val="bullet"/>
      <w:start w:val="1"/>
    </w:lvl>
  </w:abstractNum>
  <w:abstractNum w:abstractNumId="22">
    <w:nsid w:val="2901D82"/>
    <w:multiLevelType w:val="hybridMultilevel"/>
    <w:lvl w:ilvl="0">
      <w:lvlJc w:val="left"/>
      <w:lvlText w:val="8"/>
      <w:numFmt w:val="bullet"/>
      <w:start w:val="1"/>
    </w:lvl>
  </w:abstractNum>
  <w:abstractNum w:abstractNumId="23">
    <w:nsid w:val="3A95F874"/>
    <w:multiLevelType w:val="hybridMultilevel"/>
    <w:lvl w:ilvl="0">
      <w:lvlJc w:val="left"/>
      <w:lvlText w:val="9"/>
      <w:numFmt w:val="bullet"/>
      <w:start w:val="1"/>
    </w:lvl>
  </w:abstractNum>
  <w:abstractNum w:abstractNumId="24">
    <w:nsid w:val="8138641"/>
    <w:multiLevelType w:val="hybridMultilevel"/>
    <w:lvl w:ilvl="0">
      <w:lvlJc w:val="left"/>
      <w:lvlText w:val="%1"/>
      <w:numFmt w:val="decimal"/>
      <w:start w:val="10"/>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decimal"/>
      <w:start w:val="16"/>
    </w:lvl>
  </w:abstractNum>
  <w:abstractNum w:abstractNumId="27">
    <w:nsid w:val="737B8DDC"/>
    <w:multiLevelType w:val="hybridMultilevel"/>
    <w:lvl w:ilvl="0">
      <w:lvlJc w:val="left"/>
      <w:lvlText w:val="%1."/>
      <w:numFmt w:val="decimal"/>
      <w:start w:val="18"/>
    </w:lvl>
  </w:abstractNum>
  <w:abstractNum w:abstractNumId="28">
    <w:nsid w:val="6CEAF087"/>
    <w:multiLevelType w:val="hybridMultilevel"/>
    <w:lvl w:ilvl="0">
      <w:lvlJc w:val="left"/>
      <w:lvlText w:val="%1."/>
      <w:numFmt w:val="decimal"/>
      <w:start w:val="19"/>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2"/>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2019-12-13T18:07:35Z</dcterms:created>
  <dcterms:modified xsi:type="dcterms:W3CDTF">2019-12-13T18:07:35Z</dcterms:modified>
</cp:coreProperties>
</file>