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5, 2016</w:t>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ClearOne,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ind w:left="1640"/>
              <w:spacing w:after="0"/>
              <w:rPr>
                <w:sz w:val="20"/>
                <w:szCs w:val="20"/>
                <w:color w:val="auto"/>
              </w:rPr>
            </w:pPr>
            <w:r>
              <w:rPr>
                <w:rFonts w:ascii="Arial" w:cs="Arial" w:eastAsia="Arial" w:hAnsi="Arial"/>
                <w:sz w:val="18"/>
                <w:szCs w:val="18"/>
                <w:b w:val="1"/>
                <w:bCs w:val="1"/>
                <w:color w:val="auto"/>
              </w:rPr>
              <w:t>Utah</w:t>
            </w:r>
          </w:p>
        </w:tc>
        <w:tc>
          <w:tcPr>
            <w:tcW w:w="3880" w:type="dxa"/>
            <w:vAlign w:val="bottom"/>
          </w:tcPr>
          <w:p>
            <w:pPr>
              <w:jc w:val="right"/>
              <w:ind w:right="1450"/>
              <w:spacing w:after="0"/>
              <w:rPr>
                <w:sz w:val="20"/>
                <w:szCs w:val="20"/>
                <w:color w:val="auto"/>
              </w:rPr>
            </w:pPr>
            <w:r>
              <w:rPr>
                <w:rFonts w:ascii="Arial" w:cs="Arial" w:eastAsia="Arial" w:hAnsi="Arial"/>
                <w:sz w:val="18"/>
                <w:szCs w:val="18"/>
                <w:b w:val="1"/>
                <w:bCs w:val="1"/>
                <w:color w:val="auto"/>
              </w:rPr>
              <w:t>001-33660</w:t>
            </w:r>
          </w:p>
        </w:tc>
        <w:tc>
          <w:tcPr>
            <w:tcW w:w="220" w:type="dxa"/>
            <w:vAlign w:val="bottom"/>
          </w:tcPr>
          <w:p>
            <w:pPr>
              <w:spacing w:after="0"/>
              <w:rPr>
                <w:sz w:val="20"/>
                <w:szCs w:val="20"/>
                <w:color w:val="auto"/>
              </w:rPr>
            </w:pPr>
          </w:p>
        </w:tc>
        <w:tc>
          <w:tcPr>
            <w:tcW w:w="3420" w:type="dxa"/>
            <w:vAlign w:val="bottom"/>
          </w:tcPr>
          <w:p>
            <w:pPr>
              <w:jc w:val="right"/>
              <w:ind w:right="1190"/>
              <w:spacing w:after="0"/>
              <w:rPr>
                <w:sz w:val="20"/>
                <w:szCs w:val="20"/>
                <w:color w:val="auto"/>
              </w:rPr>
            </w:pPr>
            <w:r>
              <w:rPr>
                <w:rFonts w:ascii="Arial" w:cs="Arial" w:eastAsia="Arial" w:hAnsi="Arial"/>
                <w:sz w:val="18"/>
                <w:szCs w:val="18"/>
                <w:b w:val="1"/>
                <w:bCs w:val="1"/>
                <w:color w:val="auto"/>
              </w:rPr>
              <w:t>87-0398877</w:t>
            </w:r>
          </w:p>
        </w:tc>
      </w:tr>
      <w:tr>
        <w:trPr>
          <w:trHeight w:val="27"/>
        </w:trPr>
        <w:tc>
          <w:tcPr>
            <w:tcW w:w="3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222"/>
        </w:trPr>
        <w:tc>
          <w:tcPr>
            <w:tcW w:w="39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(State or other jurisdiction</w:t>
            </w:r>
          </w:p>
        </w:tc>
        <w:tc>
          <w:tcPr>
            <w:tcW w:w="3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390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of incorporation)</w:t>
            </w:r>
          </w:p>
        </w:tc>
        <w:tc>
          <w:tcPr>
            <w:tcW w:w="41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(Commission File Number)</w:t>
            </w: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902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0"/>
              </w:rPr>
              <w:t>5225 Wiley Post Way, Suite 500</w:t>
            </w:r>
          </w:p>
        </w:tc>
        <w:tc>
          <w:tcPr>
            <w:tcW w:w="2400" w:type="dxa"/>
            <w:vAlign w:val="bottom"/>
          </w:tcPr>
          <w:p>
            <w:pPr>
              <w:spacing w:after="0"/>
              <w:rPr>
                <w:sz w:val="18"/>
                <w:szCs w:val="18"/>
                <w:color w:val="auto"/>
              </w:rPr>
            </w:pPr>
          </w:p>
        </w:tc>
      </w:tr>
      <w:tr>
        <w:trPr>
          <w:trHeight w:val="234"/>
        </w:trPr>
        <w:tc>
          <w:tcPr>
            <w:tcW w:w="902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3"/>
              </w:rPr>
              <w:t>Salt Lake City, Utah</w:t>
            </w:r>
          </w:p>
        </w:tc>
        <w:tc>
          <w:tcPr>
            <w:tcW w:w="2400" w:type="dxa"/>
            <w:vAlign w:val="bottom"/>
          </w:tcPr>
          <w:p>
            <w:pPr>
              <w:jc w:val="right"/>
              <w:ind w:right="850"/>
              <w:spacing w:after="0"/>
              <w:rPr>
                <w:sz w:val="20"/>
                <w:szCs w:val="20"/>
                <w:color w:val="auto"/>
              </w:rPr>
            </w:pPr>
            <w:r>
              <w:rPr>
                <w:rFonts w:ascii="Arial" w:cs="Arial" w:eastAsia="Arial" w:hAnsi="Arial"/>
                <w:sz w:val="18"/>
                <w:szCs w:val="18"/>
                <w:b w:val="1"/>
                <w:bCs w:val="1"/>
                <w:color w:val="auto"/>
              </w:rPr>
              <w:t>84116</w:t>
            </w:r>
          </w:p>
        </w:tc>
      </w:tr>
      <w:tr>
        <w:trPr>
          <w:trHeight w:val="27"/>
        </w:trPr>
        <w:tc>
          <w:tcPr>
            <w:tcW w:w="5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7"/>
        </w:trPr>
        <w:tc>
          <w:tcPr>
            <w:tcW w:w="9020" w:type="dxa"/>
            <w:vAlign w:val="bottom"/>
            <w:gridSpan w:val="6"/>
          </w:tcPr>
          <w:p>
            <w:pPr>
              <w:ind w:left="2980"/>
              <w:spacing w:after="0"/>
              <w:rPr>
                <w:sz w:val="20"/>
                <w:szCs w:val="20"/>
                <w:color w:val="auto"/>
              </w:rPr>
            </w:pPr>
            <w:r>
              <w:rPr>
                <w:rFonts w:ascii="Arial" w:cs="Arial" w:eastAsia="Arial" w:hAnsi="Arial"/>
                <w:sz w:val="18"/>
                <w:szCs w:val="18"/>
                <w:color w:val="auto"/>
              </w:rPr>
              <w:t>(Address of principal executive offices)</w:t>
            </w:r>
          </w:p>
        </w:tc>
        <w:tc>
          <w:tcPr>
            <w:tcW w:w="2400" w:type="dxa"/>
            <w:vAlign w:val="bottom"/>
          </w:tcPr>
          <w:p>
            <w:pPr>
              <w:jc w:val="right"/>
              <w:ind w:right="710"/>
              <w:spacing w:after="0"/>
              <w:rPr>
                <w:sz w:val="20"/>
                <w:szCs w:val="20"/>
                <w:color w:val="auto"/>
              </w:rPr>
            </w:pPr>
            <w:r>
              <w:rPr>
                <w:rFonts w:ascii="Arial" w:cs="Arial" w:eastAsia="Arial" w:hAnsi="Arial"/>
                <w:sz w:val="18"/>
                <w:szCs w:val="18"/>
                <w:color w:val="auto"/>
              </w:rPr>
              <w:t>(Zip Code)</w:t>
            </w:r>
          </w:p>
        </w:tc>
      </w:tr>
      <w:tr>
        <w:trPr>
          <w:trHeight w:val="635"/>
        </w:trPr>
        <w:tc>
          <w:tcPr>
            <w:tcW w:w="6400" w:type="dxa"/>
            <w:vAlign w:val="bottom"/>
            <w:gridSpan w:val="4"/>
          </w:tcPr>
          <w:p>
            <w:pPr>
              <w:jc w:val="center"/>
              <w:ind w:left="4950"/>
              <w:spacing w:after="0"/>
              <w:rPr>
                <w:sz w:val="20"/>
                <w:szCs w:val="20"/>
                <w:color w:val="auto"/>
              </w:rPr>
            </w:pPr>
            <w:r>
              <w:rPr>
                <w:rFonts w:ascii="Arial" w:cs="Arial" w:eastAsia="Arial" w:hAnsi="Arial"/>
                <w:sz w:val="18"/>
                <w:szCs w:val="18"/>
                <w:b w:val="1"/>
                <w:bCs w:val="1"/>
                <w:color w:val="auto"/>
                <w:w w:val="91"/>
              </w:rPr>
              <w:t>+1 (801) 975-7200</w:t>
            </w:r>
          </w:p>
        </w:tc>
        <w:tc>
          <w:tcPr>
            <w:tcW w:w="2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37"/>
        </w:trPr>
        <w:tc>
          <w:tcPr>
            <w:tcW w:w="9020" w:type="dxa"/>
            <w:vAlign w:val="bottom"/>
            <w:gridSpan w:val="6"/>
          </w:tcPr>
          <w:p>
            <w:pPr>
              <w:jc w:val="center"/>
              <w:ind w:left="2310"/>
              <w:spacing w:after="0"/>
              <w:rPr>
                <w:sz w:val="20"/>
                <w:szCs w:val="20"/>
                <w:color w:val="auto"/>
              </w:rPr>
            </w:pPr>
            <w:r>
              <w:rPr>
                <w:rFonts w:ascii="Arial" w:cs="Arial" w:eastAsia="Arial" w:hAnsi="Arial"/>
                <w:sz w:val="18"/>
                <w:szCs w:val="18"/>
                <w:color w:val="auto"/>
                <w:w w:val="90"/>
              </w:rPr>
              <w:t>(Registrant's Telephone Number, Including Area Code)</w:t>
            </w:r>
          </w:p>
        </w:tc>
        <w:tc>
          <w:tcPr>
            <w:tcW w:w="2400" w:type="dxa"/>
            <w:vAlign w:val="bottom"/>
          </w:tcPr>
          <w:p>
            <w:pPr>
              <w:spacing w:after="0"/>
              <w:rPr>
                <w:sz w:val="20"/>
                <w:szCs w:val="20"/>
                <w:color w:val="auto"/>
              </w:rPr>
            </w:pPr>
          </w:p>
        </w:tc>
      </w:tr>
      <w:tr>
        <w:trPr>
          <w:trHeight w:val="392"/>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Not applicable</w:t>
            </w:r>
          </w:p>
        </w:tc>
        <w:tc>
          <w:tcPr>
            <w:tcW w:w="2740" w:type="dxa"/>
            <w:vAlign w:val="bottom"/>
            <w:gridSpan w:val="3"/>
          </w:tcPr>
          <w:p>
            <w:pPr>
              <w:spacing w:after="0"/>
              <w:rPr>
                <w:sz w:val="24"/>
                <w:szCs w:val="24"/>
                <w:color w:val="auto"/>
              </w:rPr>
            </w:pPr>
          </w:p>
        </w:tc>
        <w:tc>
          <w:tcPr>
            <w:tcW w:w="2400" w:type="dxa"/>
            <w:vAlign w:val="bottom"/>
          </w:tcPr>
          <w:p>
            <w:pPr>
              <w:spacing w:after="0"/>
              <w:rPr>
                <w:sz w:val="24"/>
                <w:szCs w:val="24"/>
                <w:color w:val="auto"/>
              </w:rPr>
            </w:pPr>
          </w:p>
        </w:tc>
      </w:tr>
      <w:tr>
        <w:trPr>
          <w:trHeight w:val="237"/>
        </w:trPr>
        <w:tc>
          <w:tcPr>
            <w:tcW w:w="9020" w:type="dxa"/>
            <w:vAlign w:val="bottom"/>
            <w:gridSpan w:val="6"/>
          </w:tcPr>
          <w:p>
            <w:pPr>
              <w:jc w:val="center"/>
              <w:ind w:left="231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400" w:type="dxa"/>
            <w:vAlign w:val="bottom"/>
          </w:tcPr>
          <w:p>
            <w:pPr>
              <w:spacing w:after="0"/>
              <w:rPr>
                <w:sz w:val="20"/>
                <w:szCs w:val="20"/>
                <w:color w:val="auto"/>
              </w:rPr>
            </w:pPr>
          </w:p>
        </w:tc>
      </w:tr>
    </w:tbl>
    <w:p>
      <w:pPr>
        <w:spacing w:after="0" w:line="20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230.425)</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w w:val="91"/>
              </w:rPr>
              <w:t>] Pre-commencement communications pursuant to Rule 14d-2(b) under the Exchange Act (17 CFR 240.14d-2(b))</w:t>
            </w:r>
          </w:p>
        </w:tc>
      </w:t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w w:val="91"/>
              </w:rPr>
              <w:t>Pre-commencement communication pursuant to Rule 13e-4(c) under the Exchange Act (17 CFR 240.13e-4(c))</w:t>
            </w:r>
          </w:p>
        </w:tc>
      </w:tr>
    </w:tbl>
    <w:p>
      <w:pPr>
        <w:sectPr>
          <w:pgSz w:w="11900" w:h="16838" w:orient="portrait"/>
          <w:cols w:equalWidth="0" w:num="1">
            <w:col w:w="11420"/>
          </w:cols>
          <w:pgMar w:left="240" w:top="94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80" w:firstLine="4214"/>
        <w:spacing w:after="0" w:line="277" w:lineRule="auto"/>
        <w:rPr>
          <w:sz w:val="20"/>
          <w:szCs w:val="20"/>
          <w:color w:val="auto"/>
        </w:rPr>
      </w:pPr>
      <w:r>
        <w:rPr>
          <w:rFonts w:ascii="Arial" w:cs="Arial" w:eastAsia="Arial" w:hAnsi="Arial"/>
          <w:sz w:val="18"/>
          <w:szCs w:val="18"/>
          <w:color w:val="auto"/>
        </w:rPr>
        <w:t>On May 5, 2016, ClearOne, Inc. issued a press release announcing its financial results for the three months ended March 31, 2016. The full text of the press release is attached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Exhibit No.</w:t>
            </w:r>
          </w:p>
        </w:tc>
        <w:tc>
          <w:tcPr>
            <w:tcW w:w="120" w:type="dxa"/>
            <w:vAlign w:val="bottom"/>
          </w:tcPr>
          <w:p>
            <w:pPr>
              <w:spacing w:after="0"/>
              <w:rPr>
                <w:sz w:val="16"/>
                <w:szCs w:val="16"/>
                <w:color w:val="auto"/>
              </w:rPr>
            </w:pPr>
          </w:p>
        </w:tc>
        <w:tc>
          <w:tcPr>
            <w:tcW w:w="1004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Description</w:t>
            </w:r>
          </w:p>
        </w:tc>
      </w:tr>
      <w:tr>
        <w:trPr>
          <w:trHeight w:val="223"/>
        </w:trPr>
        <w:tc>
          <w:tcPr>
            <w:tcW w:w="1380" w:type="dxa"/>
            <w:vAlign w:val="bottom"/>
            <w:gridSpan w:val="2"/>
          </w:tcPr>
          <w:p>
            <w:pPr>
              <w:ind w:left="40"/>
              <w:spacing w:after="0"/>
              <w:rPr>
                <w:sz w:val="20"/>
                <w:szCs w:val="20"/>
                <w:color w:val="auto"/>
              </w:rPr>
            </w:pPr>
            <w:r>
              <w:rPr>
                <w:rFonts w:ascii="Arial" w:cs="Arial" w:eastAsia="Arial" w:hAnsi="Arial"/>
                <w:sz w:val="16"/>
                <w:szCs w:val="16"/>
                <w:color w:val="auto"/>
              </w:rPr>
              <w:t>Exhibit 99.1</w:t>
            </w:r>
          </w:p>
        </w:tc>
        <w:tc>
          <w:tcPr>
            <w:tcW w:w="10040" w:type="dxa"/>
            <w:vAlign w:val="bottom"/>
          </w:tcPr>
          <w:p>
            <w:pPr>
              <w:ind w:left="40"/>
              <w:spacing w:after="0"/>
              <w:rPr>
                <w:sz w:val="20"/>
                <w:szCs w:val="20"/>
                <w:color w:val="auto"/>
              </w:rPr>
            </w:pPr>
            <w:r>
              <w:rPr>
                <w:rFonts w:ascii="Arial" w:cs="Arial" w:eastAsia="Arial" w:hAnsi="Arial"/>
                <w:sz w:val="16"/>
                <w:szCs w:val="16"/>
                <w:color w:val="auto"/>
              </w:rPr>
              <w:t>Press Release dated May 5, 2016 titled “ClearOne Reports 2016 First Quarter Revenue and Net Income”.</w:t>
            </w:r>
          </w:p>
        </w:tc>
      </w:tr>
      <w:tr>
        <w:trPr>
          <w:trHeight w:val="465"/>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3760"/>
              <w:spacing w:after="0"/>
              <w:rPr>
                <w:sz w:val="20"/>
                <w:szCs w:val="20"/>
                <w:color w:val="auto"/>
              </w:rPr>
            </w:pPr>
            <w:r>
              <w:rPr>
                <w:rFonts w:ascii="Arial" w:cs="Arial" w:eastAsia="Arial" w:hAnsi="Arial"/>
                <w:sz w:val="18"/>
                <w:szCs w:val="18"/>
                <w:b w:val="1"/>
                <w:bCs w:val="1"/>
                <w:color w:val="auto"/>
              </w:rPr>
              <w:t>SIGNATURES</w:t>
            </w: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8"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(Registrant)</w:t>
      </w:r>
    </w:p>
    <w:p>
      <w:pPr>
        <w:spacing w:after="0" w:line="184" w:lineRule="exact"/>
        <w:rPr>
          <w:sz w:val="20"/>
          <w:szCs w:val="20"/>
          <w:color w:val="auto"/>
        </w:rPr>
      </w:pPr>
    </w:p>
    <w:p>
      <w:pPr>
        <w:ind w:left="40"/>
        <w:spacing w:after="0"/>
        <w:tabs>
          <w:tab w:leader="none" w:pos="5500" w:val="left"/>
          <w:tab w:leader="none" w:pos="5960" w:val="left"/>
        </w:tabs>
        <w:rPr>
          <w:sz w:val="20"/>
          <w:szCs w:val="20"/>
          <w:color w:val="auto"/>
        </w:rPr>
      </w:pPr>
      <w:r>
        <w:rPr>
          <w:rFonts w:ascii="Arial" w:cs="Arial" w:eastAsia="Arial" w:hAnsi="Arial"/>
          <w:sz w:val="18"/>
          <w:szCs w:val="18"/>
          <w:color w:val="auto"/>
        </w:rPr>
        <w:t>May 5,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796"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+1-801-975-7200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investor_relations@clearone.com</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ClearOne Reports 2016 First Quarter Revenue and Net Income</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Q1 Non-GAAP Net Income increased 5%</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 - May 5, 2016</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2016 Highlights:</w:t>
      </w:r>
    </w:p>
    <w:p>
      <w:pPr>
        <w:spacing w:after="0" w:line="256" w:lineRule="exact"/>
        <w:rPr>
          <w:sz w:val="20"/>
          <w:szCs w:val="20"/>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 down 4% to $13.0 million</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Gross margin increased to 65% from 62%</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operating income remained almost the same</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net income up 5%</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diluted EPS remains the same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5180" w:type="dxa"/>
            <w:vAlign w:val="bottom"/>
          </w:tcPr>
          <w:p>
            <w:pPr>
              <w:spacing w:after="0"/>
              <w:rPr>
                <w:sz w:val="20"/>
                <w:szCs w:val="20"/>
                <w:color w:val="auto"/>
              </w:rPr>
            </w:pPr>
            <w:r>
              <w:rPr>
                <w:rFonts w:ascii="Arial" w:cs="Arial" w:eastAsia="Arial" w:hAnsi="Arial"/>
                <w:sz w:val="14"/>
                <w:szCs w:val="14"/>
                <w:b w:val="1"/>
                <w:bCs w:val="1"/>
                <w:color w:val="auto"/>
              </w:rPr>
              <w:t>(Dollars in thousands, except per share values)</w:t>
            </w:r>
          </w:p>
        </w:tc>
        <w:tc>
          <w:tcPr>
            <w:tcW w:w="8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First Quarter</w:t>
            </w:r>
          </w:p>
        </w:tc>
        <w:tc>
          <w:tcPr>
            <w:tcW w:w="1440" w:type="dxa"/>
            <w:vAlign w:val="bottom"/>
            <w:tcBorders>
              <w:bottom w:val="single" w:sz="8" w:color="auto"/>
            </w:tcBorders>
          </w:tcPr>
          <w:p>
            <w:pPr>
              <w:spacing w:after="0"/>
              <w:rPr>
                <w:sz w:val="20"/>
                <w:szCs w:val="20"/>
                <w:color w:val="auto"/>
              </w:rPr>
            </w:pPr>
          </w:p>
        </w:tc>
      </w:tr>
      <w:tr>
        <w:trPr>
          <w:trHeight w:val="237"/>
        </w:trPr>
        <w:tc>
          <w:tcPr>
            <w:tcW w:w="5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452"/>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1440" w:type="dxa"/>
            <w:vAlign w:val="bottom"/>
          </w:tcPr>
          <w:p>
            <w:pPr>
              <w:ind w:left="460"/>
              <w:spacing w:after="0"/>
              <w:rPr>
                <w:sz w:val="20"/>
                <w:szCs w:val="20"/>
                <w:color w:val="auto"/>
              </w:rPr>
            </w:pPr>
            <w:r>
              <w:rPr>
                <w:rFonts w:ascii="Arial" w:cs="Arial" w:eastAsia="Arial" w:hAnsi="Arial"/>
                <w:sz w:val="16"/>
                <w:szCs w:val="16"/>
                <w:b w:val="1"/>
                <w:bCs w:val="1"/>
                <w:color w:val="auto"/>
              </w:rPr>
              <w:t>Change</w:t>
            </w:r>
          </w:p>
        </w:tc>
      </w:tr>
      <w:tr>
        <w:trPr>
          <w:trHeight w:val="33"/>
        </w:trPr>
        <w:tc>
          <w:tcPr>
            <w:tcW w:w="5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180" w:type="dxa"/>
            <w:vAlign w:val="bottom"/>
          </w:tcPr>
          <w:p>
            <w:pPr>
              <w:spacing w:after="0"/>
              <w:rPr>
                <w:sz w:val="20"/>
                <w:szCs w:val="20"/>
                <w:color w:val="auto"/>
              </w:rPr>
            </w:pPr>
            <w:r>
              <w:rPr>
                <w:rFonts w:ascii="Arial" w:cs="Arial" w:eastAsia="Arial" w:hAnsi="Arial"/>
                <w:sz w:val="18"/>
                <w:szCs w:val="18"/>
                <w:color w:val="auto"/>
              </w:rPr>
              <w:t>Revenue</w:t>
            </w:r>
          </w:p>
        </w:tc>
        <w:tc>
          <w:tcPr>
            <w:tcW w:w="880" w:type="dxa"/>
            <w:vAlign w:val="bottom"/>
          </w:tcPr>
          <w:p>
            <w:pPr>
              <w:jc w:val="right"/>
              <w:ind w:right="673"/>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3"/>
              </w:rPr>
              <w:t>13,033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13,586</w:t>
            </w:r>
          </w:p>
        </w:tc>
        <w:tc>
          <w:tcPr>
            <w:tcW w:w="1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(4)%</w:t>
            </w:r>
          </w:p>
        </w:tc>
      </w:tr>
      <w:tr>
        <w:trPr>
          <w:trHeight w:val="270"/>
        </w:trPr>
        <w:tc>
          <w:tcPr>
            <w:tcW w:w="5180" w:type="dxa"/>
            <w:vAlign w:val="bottom"/>
          </w:tcPr>
          <w:p>
            <w:pPr>
              <w:spacing w:after="0"/>
              <w:rPr>
                <w:sz w:val="20"/>
                <w:szCs w:val="20"/>
                <w:color w:val="auto"/>
              </w:rPr>
            </w:pPr>
            <w:r>
              <w:rPr>
                <w:rFonts w:ascii="Arial" w:cs="Arial" w:eastAsia="Arial" w:hAnsi="Arial"/>
                <w:sz w:val="18"/>
                <w:szCs w:val="18"/>
                <w:color w:val="auto"/>
              </w:rPr>
              <w:t>Gross Profit</w:t>
            </w:r>
          </w:p>
        </w:tc>
        <w:tc>
          <w:tcPr>
            <w:tcW w:w="8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8,465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8,462</w:t>
            </w:r>
          </w:p>
        </w:tc>
        <w:tc>
          <w:tcPr>
            <w:tcW w:w="12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w:t>
            </w:r>
          </w:p>
        </w:tc>
      </w:tr>
      <w:tr>
        <w:trPr>
          <w:trHeight w:val="270"/>
        </w:trPr>
        <w:tc>
          <w:tcPr>
            <w:tcW w:w="518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8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2,520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2,527</w:t>
            </w:r>
          </w:p>
        </w:tc>
        <w:tc>
          <w:tcPr>
            <w:tcW w:w="12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w:t>
            </w:r>
          </w:p>
        </w:tc>
      </w:tr>
      <w:tr>
        <w:trPr>
          <w:trHeight w:val="270"/>
        </w:trPr>
        <w:tc>
          <w:tcPr>
            <w:tcW w:w="5180" w:type="dxa"/>
            <w:vAlign w:val="bottom"/>
          </w:tcPr>
          <w:p>
            <w:pPr>
              <w:spacing w:after="0"/>
              <w:rPr>
                <w:sz w:val="20"/>
                <w:szCs w:val="20"/>
                <w:color w:val="auto"/>
              </w:rPr>
            </w:pPr>
            <w:r>
              <w:rPr>
                <w:rFonts w:ascii="Arial" w:cs="Arial" w:eastAsia="Arial" w:hAnsi="Arial"/>
                <w:sz w:val="18"/>
                <w:szCs w:val="18"/>
                <w:color w:val="auto"/>
              </w:rPr>
              <w:t>Non-GAAP Net Income</w:t>
            </w:r>
          </w:p>
        </w:tc>
        <w:tc>
          <w:tcPr>
            <w:tcW w:w="8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1,755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1,671</w:t>
            </w:r>
          </w:p>
        </w:tc>
        <w:tc>
          <w:tcPr>
            <w:tcW w:w="12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5%</w:t>
            </w:r>
          </w:p>
        </w:tc>
      </w:tr>
      <w:tr>
        <w:trPr>
          <w:trHeight w:val="270"/>
        </w:trPr>
        <w:tc>
          <w:tcPr>
            <w:tcW w:w="5180" w:type="dxa"/>
            <w:vAlign w:val="bottom"/>
          </w:tcPr>
          <w:p>
            <w:pPr>
              <w:spacing w:after="0"/>
              <w:rPr>
                <w:sz w:val="20"/>
                <w:szCs w:val="20"/>
                <w:color w:val="auto"/>
              </w:rPr>
            </w:pPr>
            <w:r>
              <w:rPr>
                <w:rFonts w:ascii="Arial" w:cs="Arial" w:eastAsia="Arial" w:hAnsi="Arial"/>
                <w:sz w:val="18"/>
                <w:szCs w:val="18"/>
                <w:color w:val="auto"/>
              </w:rPr>
              <w:t>Non-GAAP Adjusted EBITDA</w:t>
            </w:r>
          </w:p>
        </w:tc>
        <w:tc>
          <w:tcPr>
            <w:tcW w:w="8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2,774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2,837</w:t>
            </w:r>
          </w:p>
        </w:tc>
        <w:tc>
          <w:tcPr>
            <w:tcW w:w="12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(2)%</w:t>
            </w:r>
          </w:p>
        </w:tc>
      </w:tr>
      <w:tr>
        <w:trPr>
          <w:trHeight w:val="270"/>
        </w:trPr>
        <w:tc>
          <w:tcPr>
            <w:tcW w:w="5180" w:type="dxa"/>
            <w:vAlign w:val="bottom"/>
          </w:tcPr>
          <w:p>
            <w:pPr>
              <w:spacing w:after="0"/>
              <w:rPr>
                <w:sz w:val="20"/>
                <w:szCs w:val="20"/>
                <w:color w:val="auto"/>
              </w:rPr>
            </w:pPr>
            <w:r>
              <w:rPr>
                <w:rFonts w:ascii="Arial" w:cs="Arial" w:eastAsia="Arial" w:hAnsi="Arial"/>
                <w:sz w:val="18"/>
                <w:szCs w:val="18"/>
                <w:color w:val="auto"/>
              </w:rPr>
              <w:t>Non-GAAP Diluted EPS</w:t>
            </w:r>
          </w:p>
        </w:tc>
        <w:tc>
          <w:tcPr>
            <w:tcW w:w="880" w:type="dxa"/>
            <w:vAlign w:val="bottom"/>
          </w:tcPr>
          <w:p>
            <w:pPr>
              <w:jc w:val="right"/>
              <w:ind w:right="673"/>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w:t>
            </w:r>
          </w:p>
        </w:tc>
      </w:tr>
    </w:tbl>
    <w:p>
      <w:pPr>
        <w:spacing w:after="0" w:line="283" w:lineRule="exact"/>
        <w:rPr>
          <w:sz w:val="20"/>
          <w:szCs w:val="20"/>
          <w:color w:val="auto"/>
        </w:rPr>
      </w:pPr>
    </w:p>
    <w:p>
      <w:pPr>
        <w:ind w:right="340"/>
        <w:spacing w:after="0" w:line="387" w:lineRule="auto"/>
        <w:rPr>
          <w:sz w:val="20"/>
          <w:szCs w:val="20"/>
          <w:color w:val="auto"/>
        </w:rPr>
      </w:pPr>
      <w:r>
        <w:rPr>
          <w:rFonts w:ascii="Arial" w:cs="Arial" w:eastAsia="Arial" w:hAnsi="Arial"/>
          <w:sz w:val="18"/>
          <w:szCs w:val="18"/>
          <w:color w:val="auto"/>
        </w:rPr>
        <w:t>ClearOne (NASDAQ: CLRO), a global provider of audio and visual communication solutions, today reported financial results for the three months ended March 31, 2016.</w:t>
      </w:r>
    </w:p>
    <w:p>
      <w:pPr>
        <w:spacing w:after="0" w:line="116" w:lineRule="exact"/>
        <w:rPr>
          <w:sz w:val="20"/>
          <w:szCs w:val="20"/>
          <w:color w:val="auto"/>
        </w:rPr>
      </w:pPr>
    </w:p>
    <w:p>
      <w:pPr>
        <w:ind w:right="120"/>
        <w:spacing w:after="0" w:line="366" w:lineRule="auto"/>
        <w:rPr>
          <w:sz w:val="20"/>
          <w:szCs w:val="20"/>
          <w:color w:val="auto"/>
        </w:rPr>
      </w:pPr>
      <w:r>
        <w:rPr>
          <w:rFonts w:ascii="Arial" w:cs="Arial" w:eastAsia="Arial" w:hAnsi="Arial"/>
          <w:sz w:val="18"/>
          <w:szCs w:val="18"/>
          <w:color w:val="auto"/>
        </w:rPr>
        <w:t>For the 2016 first quarter, revenue decreased 4% to $13.0 million compared with $13.6 million for the first quarter of 2015. Gross profit was $8.5 million, or 65% of revenue, compared with the same amount of gross profit, or 62% of revenue, for the first quarter of 2015. Non-GAAP operating income remained almost the same at $2.5 million. Non-GAAP net income increased 5% to $1.8 million, or $0.18 per diluted share, from $1.7 million, or $0.18 per diluted share, for the first quarter of 2015. Non-GAAP Adjusted EBITDA decreased 2% to $2.8 million, or $0.29 per diluted share, from $2.8 million, or $0.30 per diluted share, for the first quarter of 2015.</w:t>
      </w:r>
    </w:p>
    <w:p>
      <w:pPr>
        <w:sectPr>
          <w:pgSz w:w="11900" w:h="16838" w:orient="portrait"/>
          <w:cols w:equalWidth="0" w:num="1">
            <w:col w:w="11420"/>
          </w:cols>
          <w:pgMar w:left="240" w:top="580" w:right="239" w:bottom="1440" w:gutter="0" w:footer="0" w:header="0"/>
        </w:sectPr>
      </w:pPr>
    </w:p>
    <w:bookmarkStart w:id="3" w:name="page4"/>
    <w:bookmarkEnd w:id="3"/>
    <w:p>
      <w:pPr>
        <w:ind w:right="140"/>
        <w:spacing w:after="0" w:line="389" w:lineRule="auto"/>
        <w:rPr>
          <w:sz w:val="20"/>
          <w:szCs w:val="20"/>
          <w:color w:val="auto"/>
        </w:rPr>
      </w:pPr>
      <w:r>
        <w:rPr>
          <w:rFonts w:ascii="Arial" w:cs="Arial" w:eastAsia="Arial" w:hAnsi="Arial"/>
          <w:sz w:val="17"/>
          <w:szCs w:val="17"/>
          <w:color w:val="auto"/>
        </w:rPr>
        <w:t>During the first quarter of 2016, the Company paid a cash dividend of $0.05 per share and acquired approximately 34,000 shares of its common stock under the $10 million stock repurchase program announced in March 2016. To further enhance shareholder value, the company recently completed a program for the repurchase of approximately 226,000 stock options, which reduced diluted shares outstanding. The company said it continues to repurchase shares of its common stock in the open market, subject to price, volume and other safe harbor restrictions. At March 31, 2016, cash, cash equivalents and investments increased to $40.2 million from $39.8 million at December 31, 2015, after payments totaling $2.6 million for the dividend and stock and option repurchases. The Company continued to have no debt.</w:t>
      </w:r>
    </w:p>
    <w:p>
      <w:pPr>
        <w:spacing w:after="0" w:line="125" w:lineRule="exact"/>
        <w:rPr>
          <w:sz w:val="20"/>
          <w:szCs w:val="20"/>
          <w:color w:val="auto"/>
        </w:rPr>
      </w:pPr>
    </w:p>
    <w:p>
      <w:pPr>
        <w:ind w:right="620"/>
        <w:spacing w:after="0" w:line="425" w:lineRule="auto"/>
        <w:rPr>
          <w:sz w:val="20"/>
          <w:szCs w:val="20"/>
          <w:color w:val="auto"/>
        </w:rPr>
      </w:pPr>
      <w:r>
        <w:rPr>
          <w:rFonts w:ascii="Arial" w:cs="Arial" w:eastAsia="Arial" w:hAnsi="Arial"/>
          <w:sz w:val="16"/>
          <w:szCs w:val="16"/>
          <w:color w:val="auto"/>
        </w:rPr>
        <w:t>“We view our revenue and profitability for the 2016 first quarter positively, particularly in light of continuing global economic headwinds and the performance of our peers,” said Zee Hakimoglu, President and Chief Executive Officer. “During the quarter, gross margin increased due in part to our continuous efforts to enhance operational efficiencies. In addition, we completed a major move to outsource manufacturing and assembly of wireless microphones from our facility in Florida, an action that improves our competitive position by providing additional product pricing flexibility."</w:t>
      </w:r>
    </w:p>
    <w:p>
      <w:pPr>
        <w:spacing w:after="0" w:line="101" w:lineRule="exact"/>
        <w:rPr>
          <w:sz w:val="20"/>
          <w:szCs w:val="20"/>
          <w:color w:val="auto"/>
        </w:rPr>
      </w:pPr>
    </w:p>
    <w:p>
      <w:pPr>
        <w:ind w:right="640"/>
        <w:spacing w:after="0" w:line="424" w:lineRule="auto"/>
        <w:rPr>
          <w:sz w:val="20"/>
          <w:szCs w:val="20"/>
          <w:color w:val="auto"/>
        </w:rPr>
      </w:pPr>
      <w:r>
        <w:rPr>
          <w:rFonts w:ascii="Arial" w:cs="Arial" w:eastAsia="Arial" w:hAnsi="Arial"/>
          <w:sz w:val="17"/>
          <w:szCs w:val="17"/>
          <w:color w:val="auto"/>
        </w:rPr>
        <w:t>“We remain focused on anticipating and intercepting market needs to develop the products our customers demand. Our financial strength allows us to continue to prudently invest in R&amp;D and sales and marketing, while also enabling us to provide a return of capital to shareholders.”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Patent Awarded</w:t>
      </w:r>
    </w:p>
    <w:p>
      <w:pPr>
        <w:spacing w:after="0" w:line="270" w:lineRule="exact"/>
        <w:rPr>
          <w:sz w:val="20"/>
          <w:szCs w:val="20"/>
          <w:color w:val="auto"/>
        </w:rPr>
      </w:pPr>
    </w:p>
    <w:p>
      <w:pPr>
        <w:ind w:right="200"/>
        <w:spacing w:after="0" w:line="402" w:lineRule="auto"/>
        <w:rPr>
          <w:sz w:val="20"/>
          <w:szCs w:val="20"/>
          <w:color w:val="auto"/>
        </w:rPr>
      </w:pPr>
      <w:r>
        <w:rPr>
          <w:rFonts w:ascii="Arial" w:cs="Arial" w:eastAsia="Arial" w:hAnsi="Arial"/>
          <w:sz w:val="17"/>
          <w:szCs w:val="17"/>
          <w:color w:val="auto"/>
        </w:rPr>
        <w:t>In February 2016, the U.S. Patent and Trademark Office (USPTO) issued a patent to ClearOne for its technology related to echo cancellation with beamforming microphone arrays. This patent covers the method of first generating a number of fixed beams through beamforming, followed by performing acoustic echo cancellation on each beam. This patent also covers conferencing apparatuses that are configured to practice this method.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70" w:lineRule="exact"/>
        <w:rPr>
          <w:sz w:val="20"/>
          <w:szCs w:val="20"/>
          <w:color w:val="auto"/>
        </w:rPr>
      </w:pPr>
    </w:p>
    <w:p>
      <w:pPr>
        <w:spacing w:after="0" w:line="410" w:lineRule="auto"/>
        <w:rPr>
          <w:sz w:val="20"/>
          <w:szCs w:val="20"/>
          <w:color w:val="auto"/>
        </w:rPr>
      </w:pPr>
      <w:r>
        <w:rPr>
          <w:rFonts w:ascii="Arial" w:cs="Arial" w:eastAsia="Arial" w:hAnsi="Arial"/>
          <w:sz w:val="16"/>
          <w:szCs w:val="16"/>
          <w:color w:val="auto"/>
        </w:rPr>
        <w:t>ClearOne provides non-GAAP financial information in the form of non-GAAP operating income, non-GAAP net income, non-GAAP Adjusted Earnings Before Interest, Taxes, Depreciation, and Amortization (EBITDA) and corresponding earnings per share to investors to supplement GAAP financial information. ClearOne believes that excluding certain items from GAAP results allows ClearOne’s management to better understand ClearOne’s consolidated financial performance from period to period as management does not believe that the excluded items are reflective of underlying operating performance. Non-GAAP operating income, non-GAAP net income, non-GAAP Adjusted EBITDA and corresponding earnings per share excludes certain costs and expenses, the details of which are provided below in the tables containing the reconciliation between GAAP and non-GAAP financial measures. The exclusion of these items in the non-GAAP presentation should not be interpreted as implying that these items are non-recurring, infrequent, or unusual. ClearOne believes non-GAAP financial measures will provide investors with useful information to help them evaluate ClearOne’s operating results and projections. This non-GAAP financial information is not meant to be considered in isolation or as a substitute for operating income, net income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A detailed reconciliation of non-GAAP financial measures to the most directly comparable GAAP financial measures is included with this release.</w:t>
      </w:r>
    </w:p>
    <w:p>
      <w:pPr>
        <w:sectPr>
          <w:pgSz w:w="11900" w:h="16838" w:orient="portrait"/>
          <w:cols w:equalWidth="0" w:num="1">
            <w:col w:w="11420"/>
          </w:cols>
          <w:pgMar w:left="240" w:top="63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ClearOne</w:t>
      </w:r>
    </w:p>
    <w:p>
      <w:pPr>
        <w:spacing w:after="0" w:line="270" w:lineRule="exact"/>
        <w:rPr>
          <w:sz w:val="20"/>
          <w:szCs w:val="20"/>
          <w:color w:val="auto"/>
        </w:rPr>
      </w:pPr>
    </w:p>
    <w:p>
      <w:pPr>
        <w:ind w:right="40"/>
        <w:spacing w:after="0" w:line="373" w:lineRule="auto"/>
        <w:rPr>
          <w:sz w:val="20"/>
          <w:szCs w:val="20"/>
          <w:color w:val="auto"/>
        </w:rPr>
      </w:pPr>
      <w:r>
        <w:rPr>
          <w:rFonts w:ascii="Arial" w:cs="Arial" w:eastAsia="Arial" w:hAnsi="Arial"/>
          <w:sz w:val="18"/>
          <w:szCs w:val="18"/>
          <w:color w:val="auto"/>
        </w:rPr>
        <w:t>ClearOne is a global company that designs, develops and sells conferencing, collaboration, and network streaming &amp; signage solutions for voice and visual communications. The performance and simplicity of its advanced comprehensive solutions offer unprecedented levels of functionality, reliability and scalability. More information about the Company can be found at www.clearone.com.</w:t>
      </w:r>
    </w:p>
    <w:p>
      <w:pPr>
        <w:spacing w:after="0" w:line="129"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and any statements of the plans and objectives of management for future operations and forecasts of future growth and value,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http://investors.clearone.com</w:t>
      </w:r>
    </w:p>
    <w:p>
      <w:pPr>
        <w:sectPr>
          <w:pgSz w:w="11900" w:h="16838" w:orient="portrait"/>
          <w:cols w:equalWidth="0" w:num="1">
            <w:col w:w="11240"/>
          </w:cols>
          <w:pgMar w:left="240" w:top="634" w:right="41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(Dollars in thousands, except par value)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Arial" w:cs="Arial" w:eastAsia="Arial" w:hAnsi="Arial"/>
                <w:sz w:val="16"/>
                <w:szCs w:val="16"/>
                <w:b w:val="1"/>
                <w:bCs w:val="1"/>
                <w:color w:val="auto"/>
              </w:rPr>
              <w:t>As of March 31, 2016</w:t>
            </w:r>
          </w:p>
        </w:tc>
        <w:tc>
          <w:tcPr>
            <w:tcW w:w="180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As of December 31, 2015</w:t>
            </w:r>
          </w:p>
        </w:tc>
        <w:tc>
          <w:tcPr>
            <w:tcW w:w="0" w:type="dxa"/>
            <w:vAlign w:val="bottom"/>
          </w:tcPr>
          <w:p>
            <w:pPr>
              <w:spacing w:after="0"/>
              <w:rPr>
                <w:sz w:val="1"/>
                <w:szCs w:val="1"/>
                <w:color w:val="auto"/>
              </w:rPr>
            </w:pPr>
          </w:p>
        </w:tc>
      </w:tr>
      <w:tr>
        <w:trPr>
          <w:trHeight w:val="33"/>
        </w:trPr>
        <w:tc>
          <w:tcPr>
            <w:tcW w:w="7620" w:type="dxa"/>
            <w:vAlign w:val="bottom"/>
            <w:vMerge w:val="restart"/>
          </w:tcPr>
          <w:p>
            <w:pPr>
              <w:ind w:left="346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13,913</w:t>
            </w:r>
          </w:p>
        </w:tc>
        <w:tc>
          <w:tcPr>
            <w:tcW w:w="120" w:type="dxa"/>
            <w:vAlign w:val="bottom"/>
          </w:tcPr>
          <w:p>
            <w:pPr>
              <w:spacing w:after="0"/>
              <w:rPr>
                <w:sz w:val="23"/>
                <w:szCs w:val="23"/>
                <w:color w:val="auto"/>
              </w:rPr>
            </w:pP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13,412</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5,890</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7,161</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Receivables, net of allowance for doubtful accounts of $77 and $54, respectively</w:t>
            </w:r>
          </w:p>
        </w:tc>
        <w:tc>
          <w:tcPr>
            <w:tcW w:w="16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8,133</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8,692</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14,470</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13,447</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Distributor channel inventories</w:t>
            </w:r>
          </w:p>
        </w:tc>
        <w:tc>
          <w:tcPr>
            <w:tcW w:w="16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1,445</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1,628</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2,427</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1,806</w:t>
            </w:r>
          </w:p>
        </w:tc>
        <w:tc>
          <w:tcPr>
            <w:tcW w:w="0" w:type="dxa"/>
            <w:vAlign w:val="bottom"/>
          </w:tcPr>
          <w:p>
            <w:pPr>
              <w:spacing w:after="0"/>
              <w:rPr>
                <w:sz w:val="1"/>
                <w:szCs w:val="1"/>
                <w:color w:val="auto"/>
              </w:rPr>
            </w:pPr>
          </w:p>
        </w:tc>
      </w:tr>
      <w:tr>
        <w:trPr>
          <w:trHeight w:val="27"/>
        </w:trPr>
        <w:tc>
          <w:tcPr>
            <w:tcW w:w="7620" w:type="dxa"/>
            <w:vAlign w:val="bottom"/>
            <w:vMerge w:val="restart"/>
          </w:tcPr>
          <w:p>
            <w:pPr>
              <w:ind w:left="1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46,278</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46,146</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Long-term marketable securities</w:t>
            </w:r>
          </w:p>
        </w:tc>
        <w:tc>
          <w:tcPr>
            <w:tcW w:w="16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20,347</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19,204</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Long-term inventories, net</w:t>
            </w:r>
          </w:p>
        </w:tc>
        <w:tc>
          <w:tcPr>
            <w:tcW w:w="16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1,468</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1,589</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Intangibles, net</w:t>
            </w:r>
          </w:p>
        </w:tc>
        <w:tc>
          <w:tcPr>
            <w:tcW w:w="16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6,368</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6,638</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12,724</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12,724</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5,093</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5,093</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7"/>
        </w:trPr>
        <w:tc>
          <w:tcPr>
            <w:tcW w:w="7620" w:type="dxa"/>
            <w:vAlign w:val="bottom"/>
            <w:vMerge w:val="restart"/>
          </w:tcPr>
          <w:p>
            <w:pPr>
              <w:ind w:left="1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20" w:type="dxa"/>
            <w:vAlign w:val="bottom"/>
            <w:vMerge w:val="continue"/>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94,426</w:t>
            </w:r>
          </w:p>
        </w:tc>
        <w:tc>
          <w:tcPr>
            <w:tcW w:w="120" w:type="dxa"/>
            <w:vAlign w:val="bottom"/>
          </w:tcPr>
          <w:p>
            <w:pPr>
              <w:spacing w:after="0"/>
              <w:rPr>
                <w:sz w:val="21"/>
                <w:szCs w:val="21"/>
                <w:color w:val="auto"/>
              </w:rPr>
            </w:pP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93,529</w:t>
            </w:r>
          </w:p>
        </w:tc>
        <w:tc>
          <w:tcPr>
            <w:tcW w:w="0" w:type="dxa"/>
            <w:vAlign w:val="bottom"/>
          </w:tcPr>
          <w:p>
            <w:pPr>
              <w:spacing w:after="0"/>
              <w:rPr>
                <w:sz w:val="1"/>
                <w:szCs w:val="1"/>
                <w:color w:val="auto"/>
              </w:rPr>
            </w:pPr>
          </w:p>
        </w:tc>
      </w:tr>
      <w:tr>
        <w:trPr>
          <w:trHeight w:val="20"/>
        </w:trPr>
        <w:tc>
          <w:tcPr>
            <w:tcW w:w="7620" w:type="dxa"/>
            <w:vAlign w:val="bottom"/>
            <w:vMerge w:val="restart"/>
          </w:tcPr>
          <w:p>
            <w:pPr>
              <w:ind w:left="1840"/>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4,195</w:t>
            </w:r>
          </w:p>
        </w:tc>
        <w:tc>
          <w:tcPr>
            <w:tcW w:w="120" w:type="dxa"/>
            <w:vAlign w:val="bottom"/>
          </w:tcPr>
          <w:p>
            <w:pPr>
              <w:spacing w:after="0"/>
              <w:rPr>
                <w:sz w:val="23"/>
                <w:szCs w:val="23"/>
                <w:color w:val="auto"/>
              </w:rPr>
            </w:pP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2,815</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2,144</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2,243</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Deferred product revenue</w:t>
            </w:r>
          </w:p>
        </w:tc>
        <w:tc>
          <w:tcPr>
            <w:tcW w:w="16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4,203</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4,549</w:t>
            </w:r>
          </w:p>
        </w:tc>
        <w:tc>
          <w:tcPr>
            <w:tcW w:w="0" w:type="dxa"/>
            <w:vAlign w:val="bottom"/>
          </w:tcPr>
          <w:p>
            <w:pPr>
              <w:spacing w:after="0"/>
              <w:rPr>
                <w:sz w:val="1"/>
                <w:szCs w:val="1"/>
                <w:color w:val="auto"/>
              </w:rPr>
            </w:pPr>
          </w:p>
        </w:tc>
      </w:tr>
      <w:tr>
        <w:trPr>
          <w:trHeight w:val="27"/>
        </w:trPr>
        <w:tc>
          <w:tcPr>
            <w:tcW w:w="7620" w:type="dxa"/>
            <w:vAlign w:val="bottom"/>
            <w:vMerge w:val="restart"/>
          </w:tcPr>
          <w:p>
            <w:pPr>
              <w:ind w:left="1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10,542</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9,607</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Deferred rent</w:t>
            </w:r>
          </w:p>
        </w:tc>
        <w:tc>
          <w:tcPr>
            <w:tcW w:w="16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1,225</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1,203</w:t>
            </w:r>
          </w:p>
        </w:tc>
        <w:tc>
          <w:tcPr>
            <w:tcW w:w="0" w:type="dxa"/>
            <w:vAlign w:val="bottom"/>
          </w:tcPr>
          <w:p>
            <w:pPr>
              <w:spacing w:after="0"/>
              <w:rPr>
                <w:sz w:val="1"/>
                <w:szCs w:val="1"/>
                <w:color w:val="auto"/>
              </w:rPr>
            </w:pPr>
          </w:p>
        </w:tc>
      </w:tr>
      <w:tr>
        <w:trPr>
          <w:trHeight w:val="27"/>
        </w:trPr>
        <w:tc>
          <w:tcPr>
            <w:tcW w:w="7620" w:type="dxa"/>
            <w:vAlign w:val="bottom"/>
            <w:vMerge w:val="restart"/>
          </w:tcPr>
          <w:p>
            <w:pPr>
              <w:ind w:left="18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11,921</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10,960</w:t>
            </w:r>
          </w:p>
        </w:tc>
        <w:tc>
          <w:tcPr>
            <w:tcW w:w="0" w:type="dxa"/>
            <w:vAlign w:val="bottom"/>
          </w:tcPr>
          <w:p>
            <w:pPr>
              <w:spacing w:after="0"/>
              <w:rPr>
                <w:sz w:val="1"/>
                <w:szCs w:val="1"/>
                <w:color w:val="auto"/>
              </w:rPr>
            </w:pPr>
          </w:p>
        </w:tc>
      </w:tr>
      <w:tr>
        <w:trPr>
          <w:trHeight w:val="27"/>
        </w:trPr>
        <w:tc>
          <w:tcPr>
            <w:tcW w:w="7620" w:type="dxa"/>
            <w:vAlign w:val="bottom"/>
            <w:vMerge w:val="restart"/>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620" w:type="dxa"/>
            <w:vAlign w:val="bottom"/>
          </w:tcPr>
          <w:p>
            <w:pPr>
              <w:spacing w:after="0"/>
              <w:rPr>
                <w:sz w:val="20"/>
                <w:szCs w:val="20"/>
                <w:color w:val="auto"/>
              </w:rPr>
            </w:pPr>
            <w:r>
              <w:rPr>
                <w:rFonts w:ascii="Arial" w:cs="Arial" w:eastAsia="Arial" w:hAnsi="Arial"/>
                <w:sz w:val="18"/>
                <w:szCs w:val="18"/>
                <w:color w:val="auto"/>
                <w:w w:val="90"/>
              </w:rPr>
              <w:t>Common stock, par value $0.001, 50,000,000 shares authorized, 9,219,978 and 9,183,957 shares issued</w:t>
            </w:r>
          </w:p>
        </w:tc>
        <w:tc>
          <w:tcPr>
            <w:tcW w:w="1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160"/>
              <w:spacing w:after="0"/>
              <w:rPr>
                <w:sz w:val="20"/>
                <w:szCs w:val="20"/>
                <w:color w:val="auto"/>
              </w:rPr>
            </w:pPr>
            <w:r>
              <w:rPr>
                <w:rFonts w:ascii="Arial" w:cs="Arial" w:eastAsia="Arial" w:hAnsi="Arial"/>
                <w:sz w:val="18"/>
                <w:szCs w:val="18"/>
                <w:color w:val="auto"/>
              </w:rPr>
              <w:t>and outstanding</w:t>
            </w:r>
          </w:p>
        </w:tc>
        <w:tc>
          <w:tcPr>
            <w:tcW w:w="16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45,568</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46,291</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36,940</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36,435</w:t>
            </w:r>
          </w:p>
        </w:tc>
        <w:tc>
          <w:tcPr>
            <w:tcW w:w="0" w:type="dxa"/>
            <w:vAlign w:val="bottom"/>
          </w:tcPr>
          <w:p>
            <w:pPr>
              <w:spacing w:after="0"/>
              <w:rPr>
                <w:sz w:val="1"/>
                <w:szCs w:val="1"/>
                <w:color w:val="auto"/>
              </w:rPr>
            </w:pPr>
          </w:p>
        </w:tc>
      </w:tr>
      <w:tr>
        <w:trPr>
          <w:trHeight w:val="27"/>
        </w:trPr>
        <w:tc>
          <w:tcPr>
            <w:tcW w:w="7620" w:type="dxa"/>
            <w:vAlign w:val="bottom"/>
            <w:vMerge w:val="restart"/>
          </w:tcPr>
          <w:p>
            <w:pPr>
              <w:ind w:left="18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82,505</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82,569</w:t>
            </w:r>
          </w:p>
        </w:tc>
        <w:tc>
          <w:tcPr>
            <w:tcW w:w="0" w:type="dxa"/>
            <w:vAlign w:val="bottom"/>
          </w:tcPr>
          <w:p>
            <w:pPr>
              <w:spacing w:after="0"/>
              <w:rPr>
                <w:sz w:val="1"/>
                <w:szCs w:val="1"/>
                <w:color w:val="auto"/>
              </w:rPr>
            </w:pPr>
          </w:p>
        </w:tc>
      </w:tr>
      <w:tr>
        <w:trPr>
          <w:trHeight w:val="27"/>
        </w:trPr>
        <w:tc>
          <w:tcPr>
            <w:tcW w:w="7620" w:type="dxa"/>
            <w:vAlign w:val="bottom"/>
            <w:vMerge w:val="restart"/>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20" w:type="dxa"/>
            <w:vAlign w:val="bottom"/>
            <w:vMerge w:val="continue"/>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94,426</w:t>
            </w:r>
          </w:p>
        </w:tc>
        <w:tc>
          <w:tcPr>
            <w:tcW w:w="120" w:type="dxa"/>
            <w:vAlign w:val="bottom"/>
          </w:tcPr>
          <w:p>
            <w:pPr>
              <w:spacing w:after="0"/>
              <w:rPr>
                <w:sz w:val="21"/>
                <w:szCs w:val="21"/>
                <w:color w:val="auto"/>
              </w:rPr>
            </w:pP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93,529</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580" w:right="2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CONDENSED CONSOLIDATED STATEMENTS OF INCOME AND COMPREHENSIVE INCOME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(Dollars in thousands, except per share values)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60" w:type="dxa"/>
            <w:vAlign w:val="bottom"/>
            <w:gridSpan w:val="4"/>
          </w:tcPr>
          <w:p>
            <w:pPr>
              <w:jc w:val="right"/>
              <w:ind w:right="710"/>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75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67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tcPr>
          <w:p>
            <w:pPr>
              <w:jc w:val="right"/>
              <w:ind w:right="670"/>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75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80" w:type="dxa"/>
            <w:vAlign w:val="bottom"/>
          </w:tcPr>
          <w:p>
            <w:pPr>
              <w:spacing w:after="0"/>
              <w:rPr>
                <w:sz w:val="20"/>
                <w:szCs w:val="20"/>
                <w:color w:val="auto"/>
              </w:rPr>
            </w:pPr>
            <w:r>
              <w:rPr>
                <w:rFonts w:ascii="Arial" w:cs="Arial" w:eastAsia="Arial" w:hAnsi="Arial"/>
                <w:sz w:val="18"/>
                <w:szCs w:val="18"/>
                <w:color w:val="auto"/>
              </w:rPr>
              <w:t>Revenue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13,033</w:t>
            </w:r>
          </w:p>
        </w:tc>
        <w:tc>
          <w:tcPr>
            <w:tcW w:w="100" w:type="dxa"/>
            <w:vAlign w:val="bottom"/>
          </w:tcPr>
          <w:p>
            <w:pPr>
              <w:spacing w:after="0"/>
              <w:rPr>
                <w:sz w:val="20"/>
                <w:szCs w:val="20"/>
                <w:color w:val="auto"/>
              </w:rPr>
            </w:pP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13,586</w:t>
            </w:r>
          </w:p>
        </w:tc>
        <w:tc>
          <w:tcPr>
            <w:tcW w:w="0" w:type="dxa"/>
            <w:vAlign w:val="bottom"/>
          </w:tcPr>
          <w:p>
            <w:pPr>
              <w:spacing w:after="0"/>
              <w:rPr>
                <w:sz w:val="1"/>
                <w:szCs w:val="1"/>
                <w:color w:val="auto"/>
              </w:rPr>
            </w:pPr>
          </w:p>
        </w:tc>
      </w:tr>
      <w:tr>
        <w:trPr>
          <w:trHeight w:val="270"/>
        </w:trPr>
        <w:tc>
          <w:tcPr>
            <w:tcW w:w="7580" w:type="dxa"/>
            <w:vAlign w:val="bottom"/>
          </w:tcPr>
          <w:p>
            <w:pPr>
              <w:spacing w:after="0"/>
              <w:rPr>
                <w:sz w:val="20"/>
                <w:szCs w:val="20"/>
                <w:color w:val="auto"/>
              </w:rPr>
            </w:pPr>
            <w:r>
              <w:rPr>
                <w:rFonts w:ascii="Arial" w:cs="Arial" w:eastAsia="Arial" w:hAnsi="Arial"/>
                <w:sz w:val="18"/>
                <w:szCs w:val="18"/>
                <w:color w:val="auto"/>
              </w:rPr>
              <w:t>Cost of goods sold</w:t>
            </w:r>
          </w:p>
        </w:tc>
        <w:tc>
          <w:tcPr>
            <w:tcW w:w="440" w:type="dxa"/>
            <w:vAlign w:val="bottom"/>
          </w:tcPr>
          <w:p>
            <w:pPr>
              <w:spacing w:after="0"/>
              <w:rPr>
                <w:sz w:val="23"/>
                <w:szCs w:val="23"/>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4,568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5,124</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8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440" w:type="dxa"/>
            <w:vAlign w:val="bottom"/>
          </w:tcPr>
          <w:p>
            <w:pPr>
              <w:spacing w:after="0"/>
              <w:rPr>
                <w:sz w:val="20"/>
                <w:szCs w:val="20"/>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8,465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8,462</w:t>
            </w:r>
          </w:p>
        </w:tc>
        <w:tc>
          <w:tcPr>
            <w:tcW w:w="0" w:type="dxa"/>
            <w:vAlign w:val="bottom"/>
          </w:tcPr>
          <w:p>
            <w:pPr>
              <w:spacing w:after="0"/>
              <w:rPr>
                <w:sz w:val="1"/>
                <w:szCs w:val="1"/>
                <w:color w:val="auto"/>
              </w:rPr>
            </w:pPr>
          </w:p>
        </w:tc>
      </w:tr>
      <w:tr>
        <w:trPr>
          <w:trHeight w:val="27"/>
        </w:trPr>
        <w:tc>
          <w:tcPr>
            <w:tcW w:w="758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75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580" w:type="dxa"/>
            <w:vAlign w:val="bottom"/>
          </w:tcPr>
          <w:p>
            <w:pPr>
              <w:spacing w:after="0"/>
              <w:rPr>
                <w:sz w:val="20"/>
                <w:szCs w:val="20"/>
                <w:color w:val="auto"/>
              </w:rPr>
            </w:pPr>
            <w:r>
              <w:rPr>
                <w:rFonts w:ascii="Arial" w:cs="Arial" w:eastAsia="Arial" w:hAnsi="Arial"/>
                <w:sz w:val="18"/>
                <w:szCs w:val="18"/>
                <w:color w:val="auto"/>
              </w:rPr>
              <w:t>Sales and marketing</w:t>
            </w:r>
          </w:p>
        </w:tc>
        <w:tc>
          <w:tcPr>
            <w:tcW w:w="440" w:type="dxa"/>
            <w:vAlign w:val="bottom"/>
          </w:tcPr>
          <w:p>
            <w:pPr>
              <w:spacing w:after="0"/>
              <w:rPr>
                <w:sz w:val="23"/>
                <w:szCs w:val="23"/>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2,625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2,622</w:t>
            </w:r>
          </w:p>
        </w:tc>
        <w:tc>
          <w:tcPr>
            <w:tcW w:w="0" w:type="dxa"/>
            <w:vAlign w:val="bottom"/>
          </w:tcPr>
          <w:p>
            <w:pPr>
              <w:spacing w:after="0"/>
              <w:rPr>
                <w:sz w:val="1"/>
                <w:szCs w:val="1"/>
                <w:color w:val="auto"/>
              </w:rPr>
            </w:pPr>
          </w:p>
        </w:tc>
      </w:tr>
      <w:tr>
        <w:trPr>
          <w:trHeight w:val="270"/>
        </w:trPr>
        <w:tc>
          <w:tcPr>
            <w:tcW w:w="7580" w:type="dxa"/>
            <w:vAlign w:val="bottom"/>
          </w:tcPr>
          <w:p>
            <w:pPr>
              <w:spacing w:after="0"/>
              <w:rPr>
                <w:sz w:val="20"/>
                <w:szCs w:val="20"/>
                <w:color w:val="auto"/>
              </w:rPr>
            </w:pPr>
            <w:r>
              <w:rPr>
                <w:rFonts w:ascii="Arial" w:cs="Arial" w:eastAsia="Arial" w:hAnsi="Arial"/>
                <w:sz w:val="18"/>
                <w:szCs w:val="18"/>
                <w:color w:val="auto"/>
              </w:rPr>
              <w:t>Research and product development</w:t>
            </w:r>
          </w:p>
        </w:tc>
        <w:tc>
          <w:tcPr>
            <w:tcW w:w="440" w:type="dxa"/>
            <w:vAlign w:val="bottom"/>
          </w:tcPr>
          <w:p>
            <w:pPr>
              <w:spacing w:after="0"/>
              <w:rPr>
                <w:sz w:val="23"/>
                <w:szCs w:val="23"/>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2,270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70"/>
        </w:trPr>
        <w:tc>
          <w:tcPr>
            <w:tcW w:w="75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23"/>
                <w:szCs w:val="23"/>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80" w:type="dxa"/>
            <w:vAlign w:val="bottom"/>
          </w:tcPr>
          <w:p>
            <w:pPr>
              <w:ind w:left="140"/>
              <w:spacing w:after="0"/>
              <w:rPr>
                <w:sz w:val="20"/>
                <w:szCs w:val="20"/>
                <w:color w:val="auto"/>
              </w:rPr>
            </w:pPr>
            <w:r>
              <w:rPr>
                <w:rFonts w:ascii="Arial" w:cs="Arial" w:eastAsia="Arial" w:hAnsi="Arial"/>
                <w:sz w:val="18"/>
                <w:szCs w:val="18"/>
                <w:color w:val="auto"/>
              </w:rPr>
              <w:t>Total operating expenses</w:t>
            </w:r>
          </w:p>
        </w:tc>
        <w:tc>
          <w:tcPr>
            <w:tcW w:w="440" w:type="dxa"/>
            <w:vAlign w:val="bottom"/>
          </w:tcPr>
          <w:p>
            <w:pPr>
              <w:spacing w:after="0"/>
              <w:rPr>
                <w:sz w:val="20"/>
                <w:szCs w:val="20"/>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6,493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6,563</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7580" w:type="dxa"/>
            <w:vAlign w:val="bottom"/>
          </w:tcPr>
          <w:p>
            <w:pPr>
              <w:spacing w:after="0"/>
              <w:rPr>
                <w:sz w:val="20"/>
                <w:szCs w:val="20"/>
                <w:color w:val="auto"/>
              </w:rPr>
            </w:pPr>
            <w:r>
              <w:rPr>
                <w:rFonts w:ascii="Arial" w:cs="Arial" w:eastAsia="Arial" w:hAnsi="Arial"/>
                <w:sz w:val="18"/>
                <w:szCs w:val="18"/>
                <w:color w:val="auto"/>
              </w:rPr>
              <w:t>Operating income</w:t>
            </w:r>
          </w:p>
        </w:tc>
        <w:tc>
          <w:tcPr>
            <w:tcW w:w="440" w:type="dxa"/>
            <w:vAlign w:val="bottom"/>
          </w:tcPr>
          <w:p>
            <w:pPr>
              <w:spacing w:after="0"/>
              <w:rPr>
                <w:sz w:val="24"/>
                <w:szCs w:val="24"/>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1,972</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270"/>
        </w:trPr>
        <w:tc>
          <w:tcPr>
            <w:tcW w:w="7580" w:type="dxa"/>
            <w:vAlign w:val="bottom"/>
          </w:tcPr>
          <w:p>
            <w:pPr>
              <w:spacing w:after="0"/>
              <w:rPr>
                <w:sz w:val="20"/>
                <w:szCs w:val="20"/>
                <w:color w:val="auto"/>
              </w:rPr>
            </w:pPr>
            <w:r>
              <w:rPr>
                <w:rFonts w:ascii="Arial" w:cs="Arial" w:eastAsia="Arial" w:hAnsi="Arial"/>
                <w:sz w:val="18"/>
                <w:szCs w:val="18"/>
                <w:color w:val="auto"/>
              </w:rPr>
              <w:t>Other income, net</w:t>
            </w:r>
          </w:p>
        </w:tc>
        <w:tc>
          <w:tcPr>
            <w:tcW w:w="440" w:type="dxa"/>
            <w:vAlign w:val="bottom"/>
          </w:tcPr>
          <w:p>
            <w:pPr>
              <w:spacing w:after="0"/>
              <w:rPr>
                <w:sz w:val="23"/>
                <w:szCs w:val="23"/>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80" w:type="dxa"/>
            <w:vAlign w:val="bottom"/>
          </w:tcPr>
          <w:p>
            <w:pPr>
              <w:ind w:left="140"/>
              <w:spacing w:after="0"/>
              <w:rPr>
                <w:sz w:val="20"/>
                <w:szCs w:val="20"/>
                <w:color w:val="auto"/>
              </w:rPr>
            </w:pPr>
            <w:r>
              <w:rPr>
                <w:rFonts w:ascii="Arial" w:cs="Arial" w:eastAsia="Arial" w:hAnsi="Arial"/>
                <w:sz w:val="18"/>
                <w:szCs w:val="18"/>
                <w:color w:val="auto"/>
              </w:rPr>
              <w:t>Income before income taxes</w:t>
            </w:r>
          </w:p>
        </w:tc>
        <w:tc>
          <w:tcPr>
            <w:tcW w:w="440" w:type="dxa"/>
            <w:vAlign w:val="bottom"/>
          </w:tcPr>
          <w:p>
            <w:pPr>
              <w:spacing w:after="0"/>
              <w:rPr>
                <w:sz w:val="20"/>
                <w:szCs w:val="20"/>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1,983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70"/>
        </w:trPr>
        <w:tc>
          <w:tcPr>
            <w:tcW w:w="75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40" w:type="dxa"/>
            <w:vAlign w:val="bottom"/>
          </w:tcPr>
          <w:p>
            <w:pPr>
              <w:spacing w:after="0"/>
              <w:rPr>
                <w:sz w:val="23"/>
                <w:szCs w:val="23"/>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58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4"/>
                <w:szCs w:val="24"/>
                <w:color w:val="auto"/>
              </w:rPr>
            </w:pP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70"/>
        </w:trPr>
        <w:tc>
          <w:tcPr>
            <w:tcW w:w="758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3"/>
                <w:szCs w:val="23"/>
                <w:color w:val="auto"/>
              </w:rPr>
            </w:pP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540"/>
        </w:trPr>
        <w:tc>
          <w:tcPr>
            <w:tcW w:w="758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440" w:type="dxa"/>
            <w:vAlign w:val="bottom"/>
          </w:tcPr>
          <w:p>
            <w:pPr>
              <w:spacing w:after="0"/>
              <w:rPr>
                <w:sz w:val="24"/>
                <w:szCs w:val="24"/>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9,219,978</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9,100,107</w:t>
            </w:r>
          </w:p>
        </w:tc>
        <w:tc>
          <w:tcPr>
            <w:tcW w:w="0" w:type="dxa"/>
            <w:vAlign w:val="bottom"/>
          </w:tcPr>
          <w:p>
            <w:pPr>
              <w:spacing w:after="0"/>
              <w:rPr>
                <w:sz w:val="1"/>
                <w:szCs w:val="1"/>
                <w:color w:val="auto"/>
              </w:rPr>
            </w:pPr>
          </w:p>
        </w:tc>
      </w:tr>
      <w:tr>
        <w:trPr>
          <w:trHeight w:val="270"/>
        </w:trPr>
        <w:tc>
          <w:tcPr>
            <w:tcW w:w="758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440" w:type="dxa"/>
            <w:vAlign w:val="bottom"/>
          </w:tcPr>
          <w:p>
            <w:pPr>
              <w:spacing w:after="0"/>
              <w:rPr>
                <w:sz w:val="23"/>
                <w:szCs w:val="23"/>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9,536,897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9,508,479</w:t>
            </w:r>
          </w:p>
        </w:tc>
        <w:tc>
          <w:tcPr>
            <w:tcW w:w="0" w:type="dxa"/>
            <w:vAlign w:val="bottom"/>
          </w:tcPr>
          <w:p>
            <w:pPr>
              <w:spacing w:after="0"/>
              <w:rPr>
                <w:sz w:val="1"/>
                <w:szCs w:val="1"/>
                <w:color w:val="auto"/>
              </w:rPr>
            </w:pPr>
          </w:p>
        </w:tc>
      </w:tr>
      <w:tr>
        <w:trPr>
          <w:trHeight w:val="567"/>
        </w:trPr>
        <w:tc>
          <w:tcPr>
            <w:tcW w:w="7580" w:type="dxa"/>
            <w:vAlign w:val="bottom"/>
          </w:tcPr>
          <w:p>
            <w:pPr>
              <w:spacing w:after="0"/>
              <w:rPr>
                <w:sz w:val="20"/>
                <w:szCs w:val="20"/>
                <w:color w:val="auto"/>
              </w:rPr>
            </w:pPr>
            <w:r>
              <w:rPr>
                <w:rFonts w:ascii="Arial" w:cs="Arial" w:eastAsia="Arial" w:hAnsi="Arial"/>
                <w:sz w:val="18"/>
                <w:szCs w:val="18"/>
                <w:color w:val="auto"/>
              </w:rPr>
              <w:t>Comprehensive income:</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580" w:type="dxa"/>
            <w:vAlign w:val="bottom"/>
          </w:tcPr>
          <w:p>
            <w:pPr>
              <w:spacing w:after="0"/>
              <w:rPr>
                <w:sz w:val="20"/>
                <w:szCs w:val="20"/>
                <w:color w:val="auto"/>
              </w:rPr>
            </w:pPr>
            <w:r>
              <w:rPr>
                <w:rFonts w:ascii="Arial" w:cs="Arial" w:eastAsia="Arial" w:hAnsi="Arial"/>
                <w:sz w:val="18"/>
                <w:szCs w:val="18"/>
                <w:color w:val="auto"/>
              </w:rPr>
              <w:t>Net income</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70"/>
        </w:trPr>
        <w:tc>
          <w:tcPr>
            <w:tcW w:w="7580" w:type="dxa"/>
            <w:vAlign w:val="bottom"/>
          </w:tcPr>
          <w:p>
            <w:pPr>
              <w:ind w:left="220"/>
              <w:spacing w:after="0"/>
              <w:rPr>
                <w:sz w:val="20"/>
                <w:szCs w:val="20"/>
                <w:color w:val="auto"/>
              </w:rPr>
            </w:pPr>
            <w:r>
              <w:rPr>
                <w:rFonts w:ascii="Arial" w:cs="Arial" w:eastAsia="Arial" w:hAnsi="Arial"/>
                <w:sz w:val="18"/>
                <w:szCs w:val="18"/>
                <w:color w:val="auto"/>
              </w:rPr>
              <w:t>Other comprehensive income</w:t>
            </w:r>
          </w:p>
        </w:tc>
        <w:tc>
          <w:tcPr>
            <w:tcW w:w="4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80" w:type="dxa"/>
            <w:vAlign w:val="bottom"/>
          </w:tcPr>
          <w:p>
            <w:pPr>
              <w:ind w:left="440"/>
              <w:spacing w:after="0"/>
              <w:rPr>
                <w:sz w:val="20"/>
                <w:szCs w:val="20"/>
                <w:color w:val="auto"/>
              </w:rPr>
            </w:pPr>
            <w:r>
              <w:rPr>
                <w:rFonts w:ascii="Arial" w:cs="Arial" w:eastAsia="Arial" w:hAnsi="Arial"/>
                <w:sz w:val="18"/>
                <w:szCs w:val="18"/>
                <w:color w:val="auto"/>
              </w:rPr>
              <w:t>Change in unrealized gains (losses) on available-for-sale securities, net of tax</w:t>
            </w:r>
          </w:p>
        </w:tc>
        <w:tc>
          <w:tcPr>
            <w:tcW w:w="440" w:type="dxa"/>
            <w:vAlign w:val="bottom"/>
          </w:tcPr>
          <w:p>
            <w:pPr>
              <w:spacing w:after="0"/>
              <w:rPr>
                <w:sz w:val="23"/>
                <w:szCs w:val="23"/>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0"/>
        </w:trPr>
        <w:tc>
          <w:tcPr>
            <w:tcW w:w="7580" w:type="dxa"/>
            <w:vAlign w:val="bottom"/>
          </w:tcPr>
          <w:p>
            <w:pPr>
              <w:ind w:left="440"/>
              <w:spacing w:after="0"/>
              <w:rPr>
                <w:sz w:val="20"/>
                <w:szCs w:val="20"/>
                <w:color w:val="auto"/>
              </w:rPr>
            </w:pPr>
            <w:r>
              <w:rPr>
                <w:rFonts w:ascii="Arial" w:cs="Arial" w:eastAsia="Arial" w:hAnsi="Arial"/>
                <w:sz w:val="18"/>
                <w:szCs w:val="18"/>
                <w:color w:val="auto"/>
              </w:rPr>
              <w:t>Change in foreign currency translation adjustment</w:t>
            </w:r>
          </w:p>
        </w:tc>
        <w:tc>
          <w:tcPr>
            <w:tcW w:w="440" w:type="dxa"/>
            <w:vAlign w:val="bottom"/>
          </w:tcPr>
          <w:p>
            <w:pPr>
              <w:spacing w:after="0"/>
              <w:rPr>
                <w:sz w:val="23"/>
                <w:szCs w:val="23"/>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80" w:type="dxa"/>
            <w:vAlign w:val="bottom"/>
          </w:tcPr>
          <w:p>
            <w:pPr>
              <w:ind w:left="140"/>
              <w:spacing w:after="0"/>
              <w:rPr>
                <w:sz w:val="20"/>
                <w:szCs w:val="20"/>
                <w:color w:val="auto"/>
              </w:rPr>
            </w:pPr>
            <w:r>
              <w:rPr>
                <w:rFonts w:ascii="Arial" w:cs="Arial" w:eastAsia="Arial" w:hAnsi="Arial"/>
                <w:sz w:val="18"/>
                <w:szCs w:val="18"/>
                <w:color w:val="auto"/>
              </w:rPr>
              <w:t>Comprehensive income</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1,522</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580" w:right="2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RECONCILIATION OF GAAP NET INCOME TO NON-GAAP NET INCOME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(Dollars in thousands, except per share values)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20" w:type="dxa"/>
            <w:vAlign w:val="bottom"/>
          </w:tcPr>
          <w:p>
            <w:pPr>
              <w:spacing w:after="0"/>
              <w:rPr>
                <w:sz w:val="18"/>
                <w:szCs w:val="18"/>
                <w:color w:val="auto"/>
              </w:rPr>
            </w:pPr>
          </w:p>
        </w:tc>
        <w:tc>
          <w:tcPr>
            <w:tcW w:w="3760" w:type="dxa"/>
            <w:vAlign w:val="bottom"/>
            <w:gridSpan w:val="5"/>
          </w:tcPr>
          <w:p>
            <w:pPr>
              <w:jc w:val="right"/>
              <w:ind w:right="69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76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6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76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20" w:type="dxa"/>
            <w:vAlign w:val="bottom"/>
          </w:tcPr>
          <w:p>
            <w:pPr>
              <w:spacing w:after="0"/>
              <w:rPr>
                <w:sz w:val="20"/>
                <w:szCs w:val="20"/>
                <w:color w:val="auto"/>
              </w:rPr>
            </w:pPr>
            <w:r>
              <w:rPr>
                <w:rFonts w:ascii="Arial" w:cs="Arial" w:eastAsia="Arial" w:hAnsi="Arial"/>
                <w:sz w:val="16"/>
                <w:szCs w:val="16"/>
                <w:color w:val="auto"/>
              </w:rPr>
              <w:t>Revenue</w:t>
            </w:r>
          </w:p>
        </w:tc>
        <w:tc>
          <w:tcPr>
            <w:tcW w:w="108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13,033</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13,586</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6"/>
                <w:szCs w:val="16"/>
                <w:color w:val="auto"/>
              </w:rPr>
              <w:t>Cost of goods sold</w:t>
            </w:r>
          </w:p>
        </w:tc>
        <w:tc>
          <w:tcPr>
            <w:tcW w:w="108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4,564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5,119</w:t>
            </w:r>
          </w:p>
        </w:tc>
        <w:tc>
          <w:tcPr>
            <w:tcW w:w="0" w:type="dxa"/>
            <w:vAlign w:val="bottom"/>
          </w:tcPr>
          <w:p>
            <w:pPr>
              <w:spacing w:after="0"/>
              <w:rPr>
                <w:sz w:val="1"/>
                <w:szCs w:val="1"/>
                <w:color w:val="auto"/>
              </w:rPr>
            </w:pPr>
          </w:p>
        </w:tc>
      </w:tr>
      <w:tr>
        <w:trPr>
          <w:trHeight w:val="33"/>
        </w:trPr>
        <w:tc>
          <w:tcPr>
            <w:tcW w:w="76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20" w:type="dxa"/>
            <w:vAlign w:val="bottom"/>
          </w:tcPr>
          <w:p>
            <w:pPr>
              <w:spacing w:after="0"/>
              <w:rPr>
                <w:sz w:val="20"/>
                <w:szCs w:val="20"/>
                <w:color w:val="auto"/>
              </w:rPr>
            </w:pPr>
            <w:r>
              <w:rPr>
                <w:rFonts w:ascii="Arial" w:cs="Arial" w:eastAsia="Arial" w:hAnsi="Arial"/>
                <w:sz w:val="16"/>
                <w:szCs w:val="16"/>
                <w:color w:val="auto"/>
              </w:rPr>
              <w:t>Gross profit</w:t>
            </w:r>
          </w:p>
        </w:tc>
        <w:tc>
          <w:tcPr>
            <w:tcW w:w="108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8,469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8,467</w:t>
            </w:r>
          </w:p>
        </w:tc>
        <w:tc>
          <w:tcPr>
            <w:tcW w:w="0" w:type="dxa"/>
            <w:vAlign w:val="bottom"/>
          </w:tcPr>
          <w:p>
            <w:pPr>
              <w:spacing w:after="0"/>
              <w:rPr>
                <w:sz w:val="1"/>
                <w:szCs w:val="1"/>
                <w:color w:val="auto"/>
              </w:rPr>
            </w:pPr>
          </w:p>
        </w:tc>
      </w:tr>
      <w:tr>
        <w:trPr>
          <w:trHeight w:val="33"/>
        </w:trPr>
        <w:tc>
          <w:tcPr>
            <w:tcW w:w="7620" w:type="dxa"/>
            <w:vAlign w:val="bottom"/>
            <w:vMerge w:val="restart"/>
          </w:tcPr>
          <w:p>
            <w:pPr>
              <w:spacing w:after="0"/>
              <w:rPr>
                <w:sz w:val="20"/>
                <w:szCs w:val="20"/>
                <w:color w:val="auto"/>
              </w:rPr>
            </w:pPr>
            <w:r>
              <w:rPr>
                <w:rFonts w:ascii="Arial" w:cs="Arial" w:eastAsia="Arial" w:hAnsi="Arial"/>
                <w:sz w:val="16"/>
                <w:szCs w:val="16"/>
                <w:color w:val="auto"/>
              </w:rPr>
              <w:t>Operating expenses:</w:t>
            </w: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5"/>
        </w:trPr>
        <w:tc>
          <w:tcPr>
            <w:tcW w:w="762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6"/>
                <w:szCs w:val="16"/>
                <w:color w:val="auto"/>
              </w:rPr>
              <w:t>Sales and marketing</w:t>
            </w:r>
          </w:p>
        </w:tc>
        <w:tc>
          <w:tcPr>
            <w:tcW w:w="108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2,611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2,582</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6"/>
                <w:szCs w:val="16"/>
                <w:color w:val="auto"/>
              </w:rPr>
              <w:t>Research and product development</w:t>
            </w:r>
          </w:p>
        </w:tc>
        <w:tc>
          <w:tcPr>
            <w:tcW w:w="108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2,243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1,908</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108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1,095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1,450</w:t>
            </w:r>
          </w:p>
        </w:tc>
        <w:tc>
          <w:tcPr>
            <w:tcW w:w="0" w:type="dxa"/>
            <w:vAlign w:val="bottom"/>
          </w:tcPr>
          <w:p>
            <w:pPr>
              <w:spacing w:after="0"/>
              <w:rPr>
                <w:sz w:val="1"/>
                <w:szCs w:val="1"/>
                <w:color w:val="auto"/>
              </w:rPr>
            </w:pPr>
          </w:p>
        </w:tc>
      </w:tr>
      <w:tr>
        <w:trPr>
          <w:trHeight w:val="33"/>
        </w:trPr>
        <w:tc>
          <w:tcPr>
            <w:tcW w:w="76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20" w:type="dxa"/>
            <w:vAlign w:val="bottom"/>
          </w:tcPr>
          <w:p>
            <w:pPr>
              <w:spacing w:after="0"/>
              <w:rPr>
                <w:sz w:val="20"/>
                <w:szCs w:val="20"/>
                <w:color w:val="auto"/>
              </w:rPr>
            </w:pPr>
            <w:r>
              <w:rPr>
                <w:rFonts w:ascii="Arial" w:cs="Arial" w:eastAsia="Arial" w:hAnsi="Arial"/>
                <w:sz w:val="16"/>
                <w:szCs w:val="16"/>
                <w:color w:val="auto"/>
              </w:rPr>
              <w:t>Total operating expenses</w:t>
            </w:r>
          </w:p>
        </w:tc>
        <w:tc>
          <w:tcPr>
            <w:tcW w:w="108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5,949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5,940</w:t>
            </w:r>
          </w:p>
        </w:tc>
        <w:tc>
          <w:tcPr>
            <w:tcW w:w="0" w:type="dxa"/>
            <w:vAlign w:val="bottom"/>
          </w:tcPr>
          <w:p>
            <w:pPr>
              <w:spacing w:after="0"/>
              <w:rPr>
                <w:sz w:val="1"/>
                <w:szCs w:val="1"/>
                <w:color w:val="auto"/>
              </w:rPr>
            </w:pPr>
          </w:p>
        </w:tc>
      </w:tr>
      <w:tr>
        <w:trPr>
          <w:trHeight w:val="33"/>
        </w:trPr>
        <w:tc>
          <w:tcPr>
            <w:tcW w:w="76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5"/>
        </w:trPr>
        <w:tc>
          <w:tcPr>
            <w:tcW w:w="7620" w:type="dxa"/>
            <w:vAlign w:val="bottom"/>
          </w:tcPr>
          <w:p>
            <w:pPr>
              <w:spacing w:after="0"/>
              <w:rPr>
                <w:sz w:val="20"/>
                <w:szCs w:val="20"/>
                <w:color w:val="auto"/>
              </w:rPr>
            </w:pPr>
            <w:r>
              <w:rPr>
                <w:rFonts w:ascii="Arial" w:cs="Arial" w:eastAsia="Arial" w:hAnsi="Arial"/>
                <w:sz w:val="16"/>
                <w:szCs w:val="16"/>
                <w:color w:val="auto"/>
              </w:rPr>
              <w:t>Non-GAAP operating income</w:t>
            </w:r>
          </w:p>
        </w:tc>
        <w:tc>
          <w:tcPr>
            <w:tcW w:w="1080" w:type="dxa"/>
            <w:vAlign w:val="bottom"/>
          </w:tcPr>
          <w:p>
            <w:pPr>
              <w:spacing w:after="0"/>
              <w:rPr>
                <w:sz w:val="24"/>
                <w:szCs w:val="24"/>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2,520</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2,527</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10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33"/>
        </w:trPr>
        <w:tc>
          <w:tcPr>
            <w:tcW w:w="76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2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08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2,580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2,631</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108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825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960</w:t>
            </w:r>
          </w:p>
        </w:tc>
        <w:tc>
          <w:tcPr>
            <w:tcW w:w="0" w:type="dxa"/>
            <w:vAlign w:val="bottom"/>
          </w:tcPr>
          <w:p>
            <w:pPr>
              <w:spacing w:after="0"/>
              <w:rPr>
                <w:sz w:val="1"/>
                <w:szCs w:val="1"/>
                <w:color w:val="auto"/>
              </w:rPr>
            </w:pPr>
          </w:p>
        </w:tc>
      </w:tr>
      <w:tr>
        <w:trPr>
          <w:trHeight w:val="33"/>
        </w:trPr>
        <w:tc>
          <w:tcPr>
            <w:tcW w:w="76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20" w:type="dxa"/>
            <w:vAlign w:val="bottom"/>
          </w:tcPr>
          <w:p>
            <w:pPr>
              <w:spacing w:after="0"/>
              <w:rPr>
                <w:sz w:val="20"/>
                <w:szCs w:val="20"/>
                <w:color w:val="auto"/>
              </w:rPr>
            </w:pPr>
            <w:r>
              <w:rPr>
                <w:rFonts w:ascii="Arial" w:cs="Arial" w:eastAsia="Arial" w:hAnsi="Arial"/>
                <w:sz w:val="16"/>
                <w:szCs w:val="16"/>
                <w:b w:val="1"/>
                <w:bCs w:val="1"/>
                <w:color w:val="auto"/>
              </w:rPr>
              <w:t>Non-GAAP Net income</w:t>
            </w:r>
          </w:p>
        </w:tc>
        <w:tc>
          <w:tcPr>
            <w:tcW w:w="10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1,755</w:t>
            </w:r>
          </w:p>
        </w:tc>
        <w:tc>
          <w:tcPr>
            <w:tcW w:w="120" w:type="dxa"/>
            <w:vAlign w:val="bottom"/>
          </w:tcPr>
          <w:p>
            <w:pPr>
              <w:spacing w:after="0"/>
              <w:rPr>
                <w:sz w:val="21"/>
                <w:szCs w:val="21"/>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1,671</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7620" w:type="dxa"/>
            <w:vAlign w:val="bottom"/>
          </w:tcPr>
          <w:p>
            <w:pPr>
              <w:spacing w:after="0"/>
              <w:rPr>
                <w:sz w:val="20"/>
                <w:szCs w:val="20"/>
                <w:color w:val="auto"/>
              </w:rPr>
            </w:pPr>
            <w:r>
              <w:rPr>
                <w:rFonts w:ascii="Arial" w:cs="Arial" w:eastAsia="Arial" w:hAnsi="Arial"/>
                <w:sz w:val="16"/>
                <w:szCs w:val="16"/>
                <w:color w:val="auto"/>
              </w:rPr>
              <w:t>Basic Non-GAAP earnings per common share</w:t>
            </w:r>
          </w:p>
        </w:tc>
        <w:tc>
          <w:tcPr>
            <w:tcW w:w="108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24"/>
                <w:szCs w:val="24"/>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6"/>
                <w:szCs w:val="16"/>
                <w:color w:val="auto"/>
              </w:rPr>
              <w:t>Diluted Non-GAAP earnings per common share</w:t>
            </w:r>
          </w:p>
        </w:tc>
        <w:tc>
          <w:tcPr>
            <w:tcW w:w="108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0.18</w:t>
            </w:r>
          </w:p>
        </w:tc>
        <w:tc>
          <w:tcPr>
            <w:tcW w:w="120" w:type="dxa"/>
            <w:vAlign w:val="bottom"/>
          </w:tcPr>
          <w:p>
            <w:pPr>
              <w:spacing w:after="0"/>
              <w:rPr>
                <w:sz w:val="23"/>
                <w:szCs w:val="23"/>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594"/>
        </w:trPr>
        <w:tc>
          <w:tcPr>
            <w:tcW w:w="7620" w:type="dxa"/>
            <w:vAlign w:val="bottom"/>
          </w:tcPr>
          <w:p>
            <w:pPr>
              <w:spacing w:after="0"/>
              <w:rPr>
                <w:sz w:val="20"/>
                <w:szCs w:val="20"/>
                <w:color w:val="auto"/>
              </w:rPr>
            </w:pPr>
            <w:r>
              <w:rPr>
                <w:rFonts w:ascii="Arial" w:cs="Arial" w:eastAsia="Arial" w:hAnsi="Arial"/>
                <w:sz w:val="16"/>
                <w:szCs w:val="16"/>
                <w:color w:val="auto"/>
              </w:rPr>
              <w:t>Basic weighted average shares outstanding</w:t>
            </w:r>
          </w:p>
        </w:tc>
        <w:tc>
          <w:tcPr>
            <w:tcW w:w="1080" w:type="dxa"/>
            <w:vAlign w:val="bottom"/>
          </w:tcPr>
          <w:p>
            <w:pPr>
              <w:spacing w:after="0"/>
              <w:rPr>
                <w:sz w:val="24"/>
                <w:szCs w:val="24"/>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w w:val="89"/>
              </w:rPr>
              <w:t>9,219,978</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9,100,107</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6"/>
                <w:szCs w:val="16"/>
                <w:color w:val="auto"/>
              </w:rPr>
              <w:t>Diluted weighted average shares outstanding</w:t>
            </w:r>
          </w:p>
        </w:tc>
        <w:tc>
          <w:tcPr>
            <w:tcW w:w="108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w w:val="89"/>
              </w:rPr>
              <w:t>9,536,897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9,508,479</w:t>
            </w:r>
          </w:p>
        </w:tc>
        <w:tc>
          <w:tcPr>
            <w:tcW w:w="0" w:type="dxa"/>
            <w:vAlign w:val="bottom"/>
          </w:tcPr>
          <w:p>
            <w:pPr>
              <w:spacing w:after="0"/>
              <w:rPr>
                <w:sz w:val="1"/>
                <w:szCs w:val="1"/>
                <w:color w:val="auto"/>
              </w:rPr>
            </w:pPr>
          </w:p>
        </w:tc>
      </w:tr>
      <w:tr>
        <w:trPr>
          <w:trHeight w:val="594"/>
        </w:trPr>
        <w:tc>
          <w:tcPr>
            <w:tcW w:w="7620" w:type="dxa"/>
            <w:vAlign w:val="bottom"/>
          </w:tcPr>
          <w:p>
            <w:pPr>
              <w:spacing w:after="0"/>
              <w:rPr>
                <w:sz w:val="20"/>
                <w:szCs w:val="20"/>
                <w:color w:val="auto"/>
              </w:rPr>
            </w:pPr>
            <w:r>
              <w:rPr>
                <w:rFonts w:ascii="Arial" w:cs="Arial" w:eastAsia="Arial" w:hAnsi="Arial"/>
                <w:sz w:val="16"/>
                <w:szCs w:val="16"/>
                <w:b w:val="1"/>
                <w:bCs w:val="1"/>
                <w:color w:val="auto"/>
              </w:rPr>
              <w:t>GAAP Net Income</w:t>
            </w:r>
          </w:p>
        </w:tc>
        <w:tc>
          <w:tcPr>
            <w:tcW w:w="10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1,368</w:t>
            </w:r>
          </w:p>
        </w:tc>
        <w:tc>
          <w:tcPr>
            <w:tcW w:w="120" w:type="dxa"/>
            <w:vAlign w:val="bottom"/>
          </w:tcPr>
          <w:p>
            <w:pPr>
              <w:spacing w:after="0"/>
              <w:rPr>
                <w:sz w:val="24"/>
                <w:szCs w:val="24"/>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1,272</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6"/>
                <w:szCs w:val="16"/>
                <w:color w:val="auto"/>
              </w:rPr>
              <w:t>Adjustments:</w:t>
            </w:r>
          </w:p>
        </w:tc>
        <w:tc>
          <w:tcPr>
            <w:tcW w:w="10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108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6"/>
                <w:szCs w:val="16"/>
                <w:color w:val="auto"/>
              </w:rPr>
              <w:t>Amortization of purchased intangibles</w:t>
            </w:r>
          </w:p>
        </w:tc>
        <w:tc>
          <w:tcPr>
            <w:tcW w:w="108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6"/>
                <w:szCs w:val="16"/>
                <w:color w:val="auto"/>
                <w:w w:val="90"/>
              </w:rPr>
              <w:t>Legal expenses, acquisition expenses, re-audit expenses, restructuring expenses, etc. not related to regular operations</w:t>
            </w:r>
          </w:p>
        </w:tc>
        <w:tc>
          <w:tcPr>
            <w:tcW w:w="108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33"/>
        </w:trPr>
        <w:tc>
          <w:tcPr>
            <w:tcW w:w="76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20" w:type="dxa"/>
            <w:vAlign w:val="bottom"/>
          </w:tcPr>
          <w:p>
            <w:pPr>
              <w:spacing w:after="0"/>
              <w:rPr>
                <w:sz w:val="20"/>
                <w:szCs w:val="20"/>
                <w:color w:val="auto"/>
              </w:rPr>
            </w:pPr>
            <w:r>
              <w:rPr>
                <w:rFonts w:ascii="Arial" w:cs="Arial" w:eastAsia="Arial" w:hAnsi="Arial"/>
                <w:sz w:val="16"/>
                <w:szCs w:val="16"/>
                <w:color w:val="auto"/>
              </w:rPr>
              <w:t>Total of adjustments before taxes</w:t>
            </w:r>
          </w:p>
        </w:tc>
        <w:tc>
          <w:tcPr>
            <w:tcW w:w="108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597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6"/>
                <w:szCs w:val="16"/>
                <w:color w:val="auto"/>
              </w:rPr>
              <w:t>Income taxes affected by the above adjustments</w:t>
            </w:r>
          </w:p>
        </w:tc>
        <w:tc>
          <w:tcPr>
            <w:tcW w:w="108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33"/>
        </w:trPr>
        <w:tc>
          <w:tcPr>
            <w:tcW w:w="76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20" w:type="dxa"/>
            <w:vAlign w:val="bottom"/>
          </w:tcPr>
          <w:p>
            <w:pPr>
              <w:ind w:left="240"/>
              <w:spacing w:after="0"/>
              <w:rPr>
                <w:sz w:val="20"/>
                <w:szCs w:val="20"/>
                <w:color w:val="auto"/>
              </w:rPr>
            </w:pPr>
            <w:r>
              <w:rPr>
                <w:rFonts w:ascii="Arial" w:cs="Arial" w:eastAsia="Arial" w:hAnsi="Arial"/>
                <w:sz w:val="16"/>
                <w:szCs w:val="16"/>
                <w:color w:val="auto"/>
              </w:rPr>
              <w:t>Total adjustments</w:t>
            </w:r>
          </w:p>
        </w:tc>
        <w:tc>
          <w:tcPr>
            <w:tcW w:w="108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399</w:t>
            </w:r>
          </w:p>
        </w:tc>
        <w:tc>
          <w:tcPr>
            <w:tcW w:w="0" w:type="dxa"/>
            <w:vAlign w:val="bottom"/>
          </w:tcPr>
          <w:p>
            <w:pPr>
              <w:spacing w:after="0"/>
              <w:rPr>
                <w:sz w:val="1"/>
                <w:szCs w:val="1"/>
                <w:color w:val="auto"/>
              </w:rPr>
            </w:pPr>
          </w:p>
        </w:tc>
      </w:tr>
      <w:tr>
        <w:trPr>
          <w:trHeight w:val="33"/>
        </w:trPr>
        <w:tc>
          <w:tcPr>
            <w:tcW w:w="76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20" w:type="dxa"/>
            <w:vAlign w:val="bottom"/>
          </w:tcPr>
          <w:p>
            <w:pPr>
              <w:spacing w:after="0"/>
              <w:rPr>
                <w:sz w:val="20"/>
                <w:szCs w:val="20"/>
                <w:color w:val="auto"/>
              </w:rPr>
            </w:pPr>
            <w:r>
              <w:rPr>
                <w:rFonts w:ascii="Arial" w:cs="Arial" w:eastAsia="Arial" w:hAnsi="Arial"/>
                <w:sz w:val="16"/>
                <w:szCs w:val="16"/>
                <w:b w:val="1"/>
                <w:bCs w:val="1"/>
                <w:color w:val="auto"/>
              </w:rPr>
              <w:t>Non-GAAP Net Income</w:t>
            </w:r>
          </w:p>
        </w:tc>
        <w:tc>
          <w:tcPr>
            <w:tcW w:w="108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1,755</w:t>
            </w:r>
          </w:p>
        </w:tc>
        <w:tc>
          <w:tcPr>
            <w:tcW w:w="120" w:type="dxa"/>
            <w:vAlign w:val="bottom"/>
          </w:tcPr>
          <w:p>
            <w:pPr>
              <w:spacing w:after="0"/>
              <w:rPr>
                <w:sz w:val="21"/>
                <w:szCs w:val="21"/>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1,671</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580" w:right="2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RECONCILIATION OF GAAP NET INCOME TO NON-GAAP ADJUSTED EBITDA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(Dollars in thousands, except per share values)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3760" w:type="dxa"/>
            <w:vAlign w:val="bottom"/>
            <w:gridSpan w:val="5"/>
          </w:tcPr>
          <w:p>
            <w:pPr>
              <w:jc w:val="right"/>
              <w:ind w:right="699"/>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8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8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2015</w:t>
            </w:r>
          </w:p>
        </w:tc>
      </w:tr>
      <w:tr>
        <w:trPr>
          <w:trHeight w:val="33"/>
        </w:trPr>
        <w:tc>
          <w:tcPr>
            <w:tcW w:w="8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7"/>
        </w:trPr>
        <w:tc>
          <w:tcPr>
            <w:tcW w:w="7620" w:type="dxa"/>
            <w:vAlign w:val="bottom"/>
            <w:gridSpan w:val="2"/>
          </w:tcPr>
          <w:p>
            <w:pPr>
              <w:spacing w:after="0"/>
              <w:rPr>
                <w:sz w:val="20"/>
                <w:szCs w:val="20"/>
                <w:color w:val="auto"/>
              </w:rPr>
            </w:pPr>
            <w:r>
              <w:rPr>
                <w:rFonts w:ascii="Arial" w:cs="Arial" w:eastAsia="Arial" w:hAnsi="Arial"/>
                <w:sz w:val="16"/>
                <w:szCs w:val="16"/>
                <w:color w:val="auto"/>
              </w:rPr>
              <w:t>GAAP net income</w:t>
            </w:r>
          </w:p>
        </w:tc>
        <w:tc>
          <w:tcPr>
            <w:tcW w:w="10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1,368</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1,272</w:t>
            </w:r>
          </w:p>
        </w:tc>
      </w:tr>
      <w:tr>
        <w:trPr>
          <w:trHeight w:val="263"/>
        </w:trPr>
        <w:tc>
          <w:tcPr>
            <w:tcW w:w="7620" w:type="dxa"/>
            <w:vAlign w:val="bottom"/>
            <w:gridSpan w:val="2"/>
          </w:tcPr>
          <w:p>
            <w:pPr>
              <w:spacing w:after="0"/>
              <w:rPr>
                <w:sz w:val="20"/>
                <w:szCs w:val="20"/>
                <w:color w:val="auto"/>
              </w:rPr>
            </w:pPr>
            <w:r>
              <w:rPr>
                <w:rFonts w:ascii="Arial" w:cs="Arial" w:eastAsia="Arial" w:hAnsi="Arial"/>
                <w:sz w:val="14"/>
                <w:szCs w:val="14"/>
                <w:b w:val="1"/>
                <w:bCs w:val="1"/>
                <w:color w:val="auto"/>
              </w:rPr>
              <w:t>Adjustments:</w:t>
            </w:r>
          </w:p>
        </w:tc>
        <w:tc>
          <w:tcPr>
            <w:tcW w:w="10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58"/>
        </w:trPr>
        <w:tc>
          <w:tcPr>
            <w:tcW w:w="7620" w:type="dxa"/>
            <w:vAlign w:val="bottom"/>
            <w:gridSpan w:val="2"/>
          </w:tcPr>
          <w:p>
            <w:pPr>
              <w:spacing w:after="0"/>
              <w:rPr>
                <w:sz w:val="20"/>
                <w:szCs w:val="20"/>
                <w:color w:val="auto"/>
              </w:rPr>
            </w:pPr>
            <w:r>
              <w:rPr>
                <w:rFonts w:ascii="Arial" w:cs="Arial" w:eastAsia="Arial" w:hAnsi="Arial"/>
                <w:sz w:val="16"/>
                <w:szCs w:val="16"/>
                <w:color w:val="auto"/>
              </w:rPr>
              <w:t>Provision for income taxes</w:t>
            </w:r>
          </w:p>
        </w:tc>
        <w:tc>
          <w:tcPr>
            <w:tcW w:w="108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615</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731</w:t>
            </w:r>
          </w:p>
        </w:tc>
      </w:tr>
      <w:tr>
        <w:trPr>
          <w:trHeight w:val="270"/>
        </w:trPr>
        <w:tc>
          <w:tcPr>
            <w:tcW w:w="762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108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483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520</w:t>
            </w:r>
          </w:p>
        </w:tc>
      </w:tr>
      <w:tr>
        <w:trPr>
          <w:trHeight w:val="33"/>
        </w:trPr>
        <w:tc>
          <w:tcPr>
            <w:tcW w:w="8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8"/>
        </w:trPr>
        <w:tc>
          <w:tcPr>
            <w:tcW w:w="7620" w:type="dxa"/>
            <w:vAlign w:val="bottom"/>
            <w:gridSpan w:val="2"/>
          </w:tcPr>
          <w:p>
            <w:pPr>
              <w:spacing w:after="0"/>
              <w:rPr>
                <w:sz w:val="20"/>
                <w:szCs w:val="20"/>
                <w:color w:val="auto"/>
              </w:rPr>
            </w:pPr>
            <w:r>
              <w:rPr>
                <w:rFonts w:ascii="Arial" w:cs="Arial" w:eastAsia="Arial" w:hAnsi="Arial"/>
                <w:sz w:val="14"/>
                <w:szCs w:val="14"/>
                <w:b w:val="1"/>
                <w:bCs w:val="1"/>
                <w:color w:val="auto"/>
              </w:rPr>
              <w:t>Non-GAAP EBITDA</w:t>
            </w:r>
          </w:p>
        </w:tc>
        <w:tc>
          <w:tcPr>
            <w:tcW w:w="108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2,466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2,523</w:t>
            </w:r>
          </w:p>
        </w:tc>
      </w:tr>
      <w:tr>
        <w:trPr>
          <w:trHeight w:val="249"/>
        </w:trPr>
        <w:tc>
          <w:tcPr>
            <w:tcW w:w="7620" w:type="dxa"/>
            <w:vAlign w:val="bottom"/>
            <w:gridSpan w:val="2"/>
          </w:tcPr>
          <w:p>
            <w:pPr>
              <w:spacing w:after="0"/>
              <w:rPr>
                <w:sz w:val="20"/>
                <w:szCs w:val="20"/>
                <w:color w:val="auto"/>
              </w:rPr>
            </w:pPr>
            <w:r>
              <w:rPr>
                <w:rFonts w:ascii="Arial" w:cs="Arial" w:eastAsia="Arial" w:hAnsi="Arial"/>
                <w:sz w:val="16"/>
                <w:szCs w:val="16"/>
                <w:color w:val="auto"/>
              </w:rPr>
              <w:t>Share-based compensation</w:t>
            </w:r>
          </w:p>
        </w:tc>
        <w:tc>
          <w:tcPr>
            <w:tcW w:w="108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238</w:t>
            </w:r>
          </w:p>
        </w:tc>
      </w:tr>
      <w:tr>
        <w:trPr>
          <w:trHeight w:val="270"/>
        </w:trPr>
        <w:tc>
          <w:tcPr>
            <w:tcW w:w="7620" w:type="dxa"/>
            <w:vAlign w:val="bottom"/>
            <w:gridSpan w:val="2"/>
          </w:tcPr>
          <w:p>
            <w:pPr>
              <w:spacing w:after="0"/>
              <w:rPr>
                <w:sz w:val="20"/>
                <w:szCs w:val="20"/>
                <w:color w:val="auto"/>
              </w:rPr>
            </w:pPr>
            <w:r>
              <w:rPr>
                <w:rFonts w:ascii="Arial" w:cs="Arial" w:eastAsia="Arial" w:hAnsi="Arial"/>
                <w:sz w:val="16"/>
                <w:szCs w:val="16"/>
                <w:color w:val="auto"/>
                <w:w w:val="90"/>
              </w:rPr>
              <w:t>Legal expenses, acquisition expenses, re-audit expenses, restructuring expenses, etc. not related to regular operations</w:t>
            </w:r>
          </w:p>
        </w:tc>
        <w:tc>
          <w:tcPr>
            <w:tcW w:w="108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76</w:t>
            </w:r>
          </w:p>
        </w:tc>
      </w:tr>
      <w:tr>
        <w:trPr>
          <w:trHeight w:val="33"/>
        </w:trPr>
        <w:tc>
          <w:tcPr>
            <w:tcW w:w="8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7620" w:type="dxa"/>
            <w:vAlign w:val="bottom"/>
            <w:gridSpan w:val="2"/>
          </w:tcPr>
          <w:p>
            <w:pPr>
              <w:spacing w:after="0"/>
              <w:rPr>
                <w:sz w:val="20"/>
                <w:szCs w:val="20"/>
                <w:color w:val="auto"/>
              </w:rPr>
            </w:pPr>
            <w:r>
              <w:rPr>
                <w:rFonts w:ascii="Arial" w:cs="Arial" w:eastAsia="Arial" w:hAnsi="Arial"/>
                <w:sz w:val="14"/>
                <w:szCs w:val="14"/>
                <w:b w:val="1"/>
                <w:bCs w:val="1"/>
                <w:color w:val="auto"/>
              </w:rPr>
              <w:t>Non-GAAP Adjusted EBITDA</w:t>
            </w:r>
          </w:p>
        </w:tc>
        <w:tc>
          <w:tcPr>
            <w:tcW w:w="108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2,774</w:t>
            </w:r>
          </w:p>
        </w:tc>
        <w:tc>
          <w:tcPr>
            <w:tcW w:w="120" w:type="dxa"/>
            <w:vAlign w:val="bottom"/>
          </w:tcPr>
          <w:p>
            <w:pPr>
              <w:spacing w:after="0"/>
              <w:rPr>
                <w:sz w:val="21"/>
                <w:szCs w:val="21"/>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2,837</w:t>
            </w:r>
          </w:p>
        </w:tc>
      </w:tr>
      <w:tr>
        <w:trPr>
          <w:trHeight w:val="20"/>
        </w:trPr>
        <w:tc>
          <w:tcPr>
            <w:tcW w:w="8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542"/>
        </w:trPr>
        <w:tc>
          <w:tcPr>
            <w:tcW w:w="7620" w:type="dxa"/>
            <w:vAlign w:val="bottom"/>
            <w:gridSpan w:val="2"/>
          </w:tcPr>
          <w:p>
            <w:pPr>
              <w:spacing w:after="0"/>
              <w:rPr>
                <w:sz w:val="20"/>
                <w:szCs w:val="20"/>
                <w:color w:val="auto"/>
              </w:rPr>
            </w:pPr>
            <w:r>
              <w:rPr>
                <w:rFonts w:ascii="Arial" w:cs="Arial" w:eastAsia="Arial" w:hAnsi="Arial"/>
                <w:sz w:val="16"/>
                <w:szCs w:val="16"/>
                <w:color w:val="auto"/>
              </w:rPr>
              <w:t>Basic weighted average shares outstanding</w:t>
            </w:r>
          </w:p>
        </w:tc>
        <w:tc>
          <w:tcPr>
            <w:tcW w:w="1080" w:type="dxa"/>
            <w:vAlign w:val="bottom"/>
          </w:tcPr>
          <w:p>
            <w:pPr>
              <w:spacing w:after="0"/>
              <w:rPr>
                <w:sz w:val="24"/>
                <w:szCs w:val="24"/>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w w:val="89"/>
              </w:rPr>
              <w:t>9,219,978</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9,100,107</w:t>
            </w:r>
          </w:p>
        </w:tc>
      </w:tr>
      <w:tr>
        <w:trPr>
          <w:trHeight w:val="270"/>
        </w:trPr>
        <w:tc>
          <w:tcPr>
            <w:tcW w:w="7620" w:type="dxa"/>
            <w:vAlign w:val="bottom"/>
            <w:gridSpan w:val="2"/>
          </w:tcPr>
          <w:p>
            <w:pPr>
              <w:spacing w:after="0"/>
              <w:rPr>
                <w:sz w:val="20"/>
                <w:szCs w:val="20"/>
                <w:color w:val="auto"/>
              </w:rPr>
            </w:pPr>
            <w:r>
              <w:rPr>
                <w:rFonts w:ascii="Arial" w:cs="Arial" w:eastAsia="Arial" w:hAnsi="Arial"/>
                <w:sz w:val="16"/>
                <w:szCs w:val="16"/>
                <w:color w:val="auto"/>
              </w:rPr>
              <w:t>Diluted weighted average shares outstanding</w:t>
            </w:r>
          </w:p>
        </w:tc>
        <w:tc>
          <w:tcPr>
            <w:tcW w:w="108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w w:val="89"/>
              </w:rPr>
              <w:t>9,536,897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9,508,479</w:t>
            </w:r>
          </w:p>
        </w:tc>
      </w:tr>
      <w:tr>
        <w:trPr>
          <w:trHeight w:val="594"/>
        </w:trPr>
        <w:tc>
          <w:tcPr>
            <w:tcW w:w="7620" w:type="dxa"/>
            <w:vAlign w:val="bottom"/>
            <w:gridSpan w:val="2"/>
          </w:tcPr>
          <w:p>
            <w:pPr>
              <w:spacing w:after="0"/>
              <w:rPr>
                <w:sz w:val="20"/>
                <w:szCs w:val="20"/>
                <w:color w:val="auto"/>
              </w:rPr>
            </w:pPr>
            <w:r>
              <w:rPr>
                <w:rFonts w:ascii="Arial" w:cs="Arial" w:eastAsia="Arial" w:hAnsi="Arial"/>
                <w:sz w:val="16"/>
                <w:szCs w:val="16"/>
                <w:color w:val="auto"/>
              </w:rPr>
              <w:t>Basic Non-GAAP Adjusted EBITDA per common share</w:t>
            </w:r>
          </w:p>
        </w:tc>
        <w:tc>
          <w:tcPr>
            <w:tcW w:w="10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24"/>
                <w:szCs w:val="24"/>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0.31</w:t>
            </w:r>
          </w:p>
        </w:tc>
      </w:tr>
      <w:tr>
        <w:trPr>
          <w:trHeight w:val="270"/>
        </w:trPr>
        <w:tc>
          <w:tcPr>
            <w:tcW w:w="7620" w:type="dxa"/>
            <w:vAlign w:val="bottom"/>
            <w:gridSpan w:val="2"/>
          </w:tcPr>
          <w:p>
            <w:pPr>
              <w:spacing w:after="0"/>
              <w:rPr>
                <w:sz w:val="20"/>
                <w:szCs w:val="20"/>
                <w:color w:val="auto"/>
              </w:rPr>
            </w:pPr>
            <w:r>
              <w:rPr>
                <w:rFonts w:ascii="Arial" w:cs="Arial" w:eastAsia="Arial" w:hAnsi="Arial"/>
                <w:sz w:val="16"/>
                <w:szCs w:val="16"/>
                <w:color w:val="auto"/>
              </w:rPr>
              <w:t>Diluted Non-GAAP Adjusted EBITDA per common share</w:t>
            </w:r>
          </w:p>
        </w:tc>
        <w:tc>
          <w:tcPr>
            <w:tcW w:w="10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0.29</w:t>
            </w:r>
          </w:p>
        </w:tc>
        <w:tc>
          <w:tcPr>
            <w:tcW w:w="120" w:type="dxa"/>
            <w:vAlign w:val="bottom"/>
          </w:tcPr>
          <w:p>
            <w:pPr>
              <w:spacing w:after="0"/>
              <w:rPr>
                <w:sz w:val="23"/>
                <w:szCs w:val="23"/>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0.30</w:t>
            </w:r>
          </w:p>
        </w:tc>
      </w:tr>
    </w:tbl>
    <w:p>
      <w:pPr>
        <w:spacing w:after="0" w:line="1" w:lineRule="exact"/>
        <w:rPr>
          <w:sz w:val="20"/>
          <w:szCs w:val="20"/>
          <w:color w:val="auto"/>
        </w:rPr>
      </w:pPr>
    </w:p>
    <w:sectPr>
      <w:pgSz w:w="11900" w:h="16838" w:orient="portrait"/>
      <w:cols w:equalWidth="0" w:num="1">
        <w:col w:w="11380"/>
      </w:cols>
      <w:pgMar w:left="28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2019-12-05T22:20:59Z</dcterms:created>
  <dcterms:modified xsi:type="dcterms:W3CDTF">2019-12-05T22:20:59Z</dcterms:modified>
</cp:coreProperties>
</file>