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40" w:right="1900" w:hanging="332"/>
        <w:spacing w:after="0" w:line="28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2016</w:t>
      </w:r>
    </w:p>
    <w:p>
      <w:pPr>
        <w:spacing w:after="0" w:line="16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1" w:lineRule="exact"/>
        <w:rPr>
          <w:sz w:val="24"/>
          <w:szCs w:val="24"/>
          <w:color w:val="auto"/>
        </w:rPr>
      </w:pPr>
    </w:p>
    <w:p>
      <w:pPr>
        <w:ind w:left="340" w:right="1920" w:hanging="332"/>
        <w:spacing w:after="0" w:line="282" w:lineRule="auto"/>
        <w:tabs>
          <w:tab w:leader="none" w:pos="166"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154940</wp:posOffset>
            </wp:positionV>
            <wp:extent cx="1646555"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Utah</w:t>
            </w:r>
          </w:p>
        </w:tc>
        <w:tc>
          <w:tcPr>
            <w:tcW w:w="5460" w:type="dxa"/>
            <w:vAlign w:val="bottom"/>
          </w:tcPr>
          <w:p>
            <w:pPr>
              <w:jc w:val="right"/>
              <w:ind w:right="221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6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38"/>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460" w:type="dxa"/>
            <w:vAlign w:val="bottom"/>
          </w:tcPr>
          <w:p>
            <w:pPr>
              <w:jc w:val="right"/>
              <w:ind w:right="2430"/>
              <w:spacing w:after="0"/>
              <w:rPr>
                <w:sz w:val="20"/>
                <w:szCs w:val="20"/>
                <w:color w:val="auto"/>
              </w:rPr>
            </w:pPr>
            <w:r>
              <w:rPr>
                <w:rFonts w:ascii="Arial" w:cs="Arial" w:eastAsia="Arial" w:hAnsi="Arial"/>
                <w:sz w:val="18"/>
                <w:szCs w:val="18"/>
                <w:b w:val="1"/>
                <w:bCs w:val="1"/>
                <w:color w:val="auto"/>
              </w:rPr>
              <w:t>84116</w:t>
            </w:r>
          </w:p>
        </w:tc>
      </w:tr>
      <w:tr>
        <w:trPr>
          <w:trHeight w:val="230"/>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(801) 975-7200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 of “large accelerated filer, “accelerated filer” and “smaller reporting company” in Rule 12b-2 of the Exchange Act. (Check one):</w:t>
      </w:r>
    </w:p>
    <w:p>
      <w:pPr>
        <w:sectPr>
          <w:pgSz w:w="11900" w:h="16838" w:orient="portrait"/>
          <w:cols w:equalWidth="0" w:num="1">
            <w:col w:w="11420"/>
          </w:cols>
          <w:pgMar w:left="240" w:top="774" w:right="239" w:bottom="1440" w:gutter="0" w:footer="0" w:header="0"/>
        </w:sect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Larger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3">
            <w:col w:w="6720" w:space="720"/>
            <w:col w:w="2180" w:space="80"/>
            <w:col w:w="1720"/>
          </w:cols>
          <w:pgMar w:left="240" w:top="774"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November 4, 2016 was 8,875,659.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SEPTEMBER 30,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7"/>
          </w:tcPr>
          <w:p>
            <w:pPr>
              <w:spacing w:after="0"/>
              <w:rPr>
                <w:sz w:val="20"/>
                <w:szCs w:val="20"/>
                <w:color w:val="auto"/>
              </w:rPr>
            </w:pPr>
            <w:r>
              <w:rPr>
                <w:rFonts w:ascii="Arial" w:cs="Arial" w:eastAsia="Arial" w:hAnsi="Arial"/>
                <w:sz w:val="18"/>
                <w:szCs w:val="18"/>
                <w:b w:val="1"/>
                <w:bCs w:val="1"/>
                <w:color w:val="auto"/>
              </w:rPr>
              <w:t>INDEX</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80" w:type="dxa"/>
            <w:vAlign w:val="bottom"/>
            <w:gridSpan w:val="12"/>
            <w:shd w:val="clear" w:color="auto" w:fill="CCEEFF"/>
          </w:tcPr>
          <w:p>
            <w:pPr>
              <w:jc w:val="center"/>
              <w:ind w:right="286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3400" w:type="dxa"/>
            <w:vAlign w:val="bottom"/>
            <w:tcBorders>
              <w:top w:val="single" w:sz="8" w:color="CCEEFF"/>
            </w:tcBorders>
            <w:gridSpan w:val="11"/>
          </w:tcPr>
          <w:p>
            <w:pPr>
              <w:ind w:left="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140" w:type="dxa"/>
            <w:vAlign w:val="bottom"/>
            <w:tcBorders>
              <w:top w:val="single" w:sz="8" w:color="0000EE"/>
            </w:tcBorders>
            <w:gridSpan w:val="7"/>
          </w:tcPr>
          <w:p>
            <w:pPr>
              <w:spacing w:after="0"/>
              <w:rPr>
                <w:sz w:val="15"/>
                <w:szCs w:val="15"/>
                <w:color w:val="auto"/>
              </w:rPr>
            </w:pPr>
          </w:p>
        </w:tc>
        <w:tc>
          <w:tcPr>
            <w:tcW w:w="3400" w:type="dxa"/>
            <w:vAlign w:val="bottom"/>
            <w:tcBorders>
              <w:top w:val="single" w:sz="8" w:color="CCEEFF"/>
            </w:tcBorders>
            <w:gridSpan w:val="4"/>
          </w:tcPr>
          <w:p>
            <w:pPr>
              <w:spacing w:after="0"/>
              <w:rPr>
                <w:sz w:val="15"/>
                <w:szCs w:val="15"/>
                <w:color w:val="auto"/>
              </w:rPr>
            </w:pPr>
          </w:p>
        </w:tc>
        <w:tc>
          <w:tcPr>
            <w:tcW w:w="760" w:type="dxa"/>
            <w:vAlign w:val="bottom"/>
            <w:tcBorders>
              <w:top w:val="single" w:sz="8" w:color="CCEEFF"/>
            </w:tcBorders>
          </w:tcPr>
          <w:p>
            <w:pPr>
              <w:jc w:val="center"/>
              <w:ind w:left="3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40" w:type="dxa"/>
            <w:vAlign w:val="bottom"/>
            <w:gridSpan w:val="19"/>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September 30, 2016 and December 31, 2015</w:t>
              </w:r>
            </w:hyperlink>
          </w:p>
        </w:tc>
        <w:tc>
          <w:tcPr>
            <w:tcW w:w="760" w:type="dxa"/>
            <w:vAlign w:val="bottom"/>
          </w:tcPr>
          <w:p>
            <w:pPr>
              <w:jc w:val="center"/>
              <w:ind w:left="3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40" w:type="dxa"/>
            <w:vAlign w:val="bottom"/>
            <w:gridSpan w:val="19"/>
          </w:tcPr>
          <w:p>
            <w:pPr>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Income and Comprehensive Income for the three and nine months ended</w:t>
              </w:r>
            </w:hyperlink>
          </w:p>
        </w:tc>
        <w:tc>
          <w:tcPr>
            <w:tcW w:w="760" w:type="dxa"/>
            <w:vAlign w:val="bottom"/>
          </w:tcPr>
          <w:p>
            <w:pPr>
              <w:jc w:val="center"/>
              <w:ind w:left="3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9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2016 and 2015</w:t>
              </w:r>
            </w:hyperlink>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40" w:type="dxa"/>
            <w:vAlign w:val="bottom"/>
            <w:gridSpan w:val="19"/>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Consolidated Statements of Cash Flows for the nine months ended September 30, 2016 and 2015</w:t>
              </w:r>
            </w:hyperlink>
          </w:p>
        </w:tc>
        <w:tc>
          <w:tcPr>
            <w:tcW w:w="760" w:type="dxa"/>
            <w:vAlign w:val="bottom"/>
          </w:tcPr>
          <w:p>
            <w:pPr>
              <w:jc w:val="center"/>
              <w:ind w:left="3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40" w:type="dxa"/>
            <w:vAlign w:val="bottom"/>
            <w:gridSpan w:val="19"/>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760" w:type="dxa"/>
            <w:vAlign w:val="bottom"/>
          </w:tcPr>
          <w:p>
            <w:pPr>
              <w:jc w:val="center"/>
              <w:ind w:left="3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940" w:type="dxa"/>
            <w:vAlign w:val="bottom"/>
            <w:gridSpan w:val="22"/>
          </w:tcPr>
          <w:p>
            <w:pPr>
              <w:ind w:left="6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940" w:type="dxa"/>
            <w:vAlign w:val="bottom"/>
            <w:gridSpan w:val="22"/>
          </w:tcPr>
          <w:p>
            <w:pPr>
              <w:ind w:left="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7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940" w:type="dxa"/>
            <w:vAlign w:val="bottom"/>
            <w:gridSpan w:val="22"/>
          </w:tcPr>
          <w:p>
            <w:pPr>
              <w:ind w:left="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7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0" w:type="dxa"/>
            <w:vAlign w:val="bottom"/>
            <w:gridSpan w:val="10"/>
          </w:tcPr>
          <w:p>
            <w:pPr>
              <w:jc w:val="center"/>
              <w:ind w:right="3540"/>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940" w:type="dxa"/>
            <w:vAlign w:val="bottom"/>
            <w:gridSpan w:val="22"/>
          </w:tcPr>
          <w:p>
            <w:pPr>
              <w:ind w:left="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7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940" w:type="dxa"/>
            <w:vAlign w:val="bottom"/>
            <w:gridSpan w:val="22"/>
          </w:tcPr>
          <w:p>
            <w:pPr>
              <w:ind w:left="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7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940" w:type="dxa"/>
            <w:vAlign w:val="bottom"/>
            <w:gridSpan w:val="22"/>
          </w:tcPr>
          <w:p>
            <w:pPr>
              <w:ind w:left="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7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940" w:type="dxa"/>
            <w:vAlign w:val="bottom"/>
            <w:gridSpan w:val="22"/>
          </w:tcPr>
          <w:p>
            <w:pPr>
              <w:ind w:left="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7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940" w:type="dxa"/>
            <w:vAlign w:val="bottom"/>
            <w:gridSpan w:val="22"/>
          </w:tcPr>
          <w:p>
            <w:pPr>
              <w:ind w:left="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7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940" w:type="dxa"/>
            <w:vAlign w:val="bottom"/>
            <w:gridSpan w:val="22"/>
          </w:tcPr>
          <w:p>
            <w:pPr>
              <w:ind w:left="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7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940" w:type="dxa"/>
            <w:vAlign w:val="bottom"/>
            <w:gridSpan w:val="22"/>
          </w:tcPr>
          <w:p>
            <w:pPr>
              <w:ind w:left="6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7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September 30, 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2015</w:t>
            </w:r>
          </w:p>
        </w:tc>
        <w:tc>
          <w:tcPr>
            <w:tcW w:w="0" w:type="dxa"/>
            <w:vAlign w:val="bottom"/>
          </w:tcPr>
          <w:p>
            <w:pPr>
              <w:spacing w:after="0"/>
              <w:rPr>
                <w:sz w:val="1"/>
                <w:szCs w:val="1"/>
                <w:color w:val="auto"/>
              </w:rPr>
            </w:pPr>
          </w:p>
        </w:tc>
      </w:tr>
      <w:tr>
        <w:trPr>
          <w:trHeight w:val="216"/>
        </w:trPr>
        <w:tc>
          <w:tcPr>
            <w:tcW w:w="7140" w:type="dxa"/>
            <w:vAlign w:val="bottom"/>
            <w:tcBorders>
              <w:top w:val="single" w:sz="8" w:color="CCEEFF"/>
            </w:tcBorders>
            <w:shd w:val="clear" w:color="auto" w:fill="CCEEFF"/>
          </w:tcPr>
          <w:p>
            <w:pPr>
              <w:ind w:left="328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13,412</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$49 and $54, respectively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8,692</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11,991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13,447</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6"/>
        </w:trPr>
        <w:tc>
          <w:tcPr>
            <w:tcW w:w="7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20,721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19,204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7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3,587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6"/>
        </w:trPr>
        <w:tc>
          <w:tcPr>
            <w:tcW w:w="7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11,325</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10,960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40" w:type="dxa"/>
            <w:vAlign w:val="bottom"/>
          </w:tcPr>
          <w:p>
            <w:pPr>
              <w:spacing w:after="0" w:line="201" w:lineRule="exact"/>
              <w:rPr>
                <w:sz w:val="20"/>
                <w:szCs w:val="20"/>
                <w:color w:val="auto"/>
              </w:rPr>
            </w:pPr>
            <w:r>
              <w:rPr>
                <w:rFonts w:ascii="Arial" w:cs="Arial" w:eastAsia="Arial" w:hAnsi="Arial"/>
                <w:sz w:val="18"/>
                <w:szCs w:val="18"/>
                <w:color w:val="auto"/>
                <w:w w:val="91"/>
              </w:rPr>
              <w:t>Common stock, par value $0.001, 50,000,000 shares authorized, 8,892,042 and 9,183,957 shares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issued and outstanding</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46,291</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36,435</w:t>
            </w: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79,955</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82,569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0"/>
                <w:szCs w:val="20"/>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5,240</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14,110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15,873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2,389</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7,695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2,116</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1,739</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4,904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1,424</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0"/>
                <w:szCs w:val="20"/>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0"/>
                <w:szCs w:val="20"/>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1,379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0.13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8,921,480</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9,139,329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9,076,305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9,119,925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9,164,165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9,615,684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9,452,616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9,583,951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1,209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2,417</w:t>
            </w:r>
          </w:p>
        </w:tc>
        <w:tc>
          <w:tcPr>
            <w:tcW w:w="140" w:type="dxa"/>
            <w:vAlign w:val="bottom"/>
          </w:tcPr>
          <w:p>
            <w:pPr>
              <w:spacing w:after="0"/>
              <w:rPr>
                <w:sz w:val="18"/>
                <w:szCs w:val="18"/>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3,532</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340"/>
              <w:spacing w:after="0" w:line="201" w:lineRule="exact"/>
              <w:rPr>
                <w:sz w:val="20"/>
                <w:szCs w:val="20"/>
                <w:color w:val="auto"/>
              </w:rPr>
            </w:pPr>
            <w:r>
              <w:rPr>
                <w:rFonts w:ascii="Arial" w:cs="Arial" w:eastAsia="Arial" w:hAnsi="Arial"/>
                <w:sz w:val="18"/>
                <w:szCs w:val="18"/>
                <w:color w:val="auto"/>
              </w:rPr>
              <w:t>Change in unrealized gains (losses) on available-</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for-sale securities, net of tax</w:t>
            </w:r>
          </w:p>
        </w:tc>
        <w:tc>
          <w:tcPr>
            <w:tcW w:w="20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Change in foreign currency translation</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w:t>
            </w:r>
          </w:p>
        </w:tc>
        <w:tc>
          <w:tcPr>
            <w:tcW w:w="2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30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268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36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3,532</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to net cash provided by operations:</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rent</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(recoveries of) doubtful accounts, net</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Write-down of inventory to net realizable value</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assets</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Tax benefit from exercise of stock options</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2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and sales of marketable securities</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2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(6,608)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6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(1,781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and cancellation of stock options</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Tax benefits from exercise of stock options</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Repurchase and cancellation of stock</w:t>
            </w:r>
          </w:p>
        </w:tc>
        <w:tc>
          <w:tcPr>
            <w:tcW w:w="2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(5,139)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(6,807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increase (decrease) in cash and cash equivalents</w:t>
            </w:r>
          </w:p>
        </w:tc>
        <w:tc>
          <w:tcPr>
            <w:tcW w:w="268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(1,139)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5,047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6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13,412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the end of the period</w:t>
            </w:r>
          </w:p>
        </w:tc>
        <w:tc>
          <w:tcPr>
            <w:tcW w:w="268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12,273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80" w:type="dxa"/>
            <w:vAlign w:val="bottom"/>
            <w:vMerge w:val="restart"/>
          </w:tcPr>
          <w:p>
            <w:pPr>
              <w:jc w:val="right"/>
              <w:ind w:right="2270"/>
              <w:spacing w:after="0"/>
              <w:rPr>
                <w:sz w:val="20"/>
                <w:szCs w:val="20"/>
                <w:color w:val="auto"/>
              </w:rPr>
            </w:pPr>
            <w:r>
              <w:rPr>
                <w:rFonts w:ascii="Arial" w:cs="Arial" w:eastAsia="Arial" w:hAnsi="Arial"/>
                <w:sz w:val="18"/>
                <w:szCs w:val="18"/>
                <w:color w:val="auto"/>
              </w:rPr>
              <w:t>3</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6"/>
          </w:tcPr>
          <w:p>
            <w:pPr>
              <w:ind w:left="80"/>
              <w:spacing w:after="0"/>
              <w:rPr>
                <w:sz w:val="20"/>
                <w:szCs w:val="20"/>
                <w:color w:val="auto"/>
              </w:rPr>
            </w:pPr>
            <w:r>
              <w:rPr>
                <w:rFonts w:ascii="Arial" w:cs="Arial" w:eastAsia="Arial" w:hAnsi="Arial"/>
                <w:sz w:val="18"/>
                <w:szCs w:val="18"/>
                <w:b w:val="1"/>
                <w:bCs w:val="1"/>
                <w:color w:val="auto"/>
              </w:rPr>
              <w:t>Nine months ended September 30,</w:t>
            </w:r>
          </w:p>
        </w:tc>
      </w:tr>
      <w:tr>
        <w:trPr>
          <w:trHeight w:val="237"/>
        </w:trPr>
        <w:tc>
          <w:tcPr>
            <w:tcW w:w="5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9"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30"/>
          <w:szCs w:val="30"/>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accompanying interim unaudited condensed consolidated financial statements for the three and nine months ended September 30, 2016 and 2015,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September 30, 2016 and December 31, 2015, the results of operations for the three and nine months ended September 30, 2016 and 2015, and the cash flows for the nine months ended September 30, 2016 and 2015. The results of operations for the three and nine months ended September 30, 2016 and 2015 are not necessarily indicative of the results for a full-year period. These interim unaudited condensed consolidated financial statements should be read in conjunction with the financial statements included in our Annual Report on Form 10-K for the year ended December 31, 2015 filed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2015. There have been no changes to these policies during the nine months ended September 30, 2016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The updated standard becomes effective for the Company on January 1, 2018. Early adoption is permitted. The Company has not yet selected a transition method and is currently evaluating the effect that the updated standard will have on the consolidated financial statements.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2015, the FASB issued ASU 2015-17, Income Taxes (Topic 740), simplifying the presentation of deferred taxes on the balance sheet by requiring companies to classify everything as either a non-current asset or non-current liability. Early adoption of this ASU is permitted. ClearOne has adopted this standard update early as it simplified the presentation of taxes on the balance sheet and within the income tax footnote.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FASB released Accounting Standards Update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2016, the FASB issued ASU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is effective for the Company on January 1, 2017 and we are currently evaluating the impact that ASU 2016-09 will have on our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2016, the FASB issued ASU 2016-13, Financial Instruments - Measurement of Credit Losses on Financial Instruments, which requires measurement and recognition of expected credit losses for financial assets held. ASU 2016-13 is effective for the Company beginning January 1, 2020 and we are currently evaluating the impact that ASU 2016-13 will have on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which addresses eight specific cash flow issues with the objective of reducing the existing diversity in practice. ASU 2016-15 is effective for the Company beginning January 1, 2018 and we are currently evaluating the impact that ASU 2016-15 will have on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6"/>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1,209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3,532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8,921,480</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9,139,329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9,076,305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9,119,925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Dilutive common stock equivalents using treasury stock</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method</w:t>
            </w:r>
          </w:p>
        </w:tc>
        <w:tc>
          <w:tcPr>
            <w:tcW w:w="2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242,686</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476,355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376,312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9,164,165</w:t>
            </w:r>
          </w:p>
        </w:tc>
        <w:tc>
          <w:tcPr>
            <w:tcW w:w="36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9,615,684</w:t>
            </w: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9,452,616</w:t>
            </w:r>
          </w:p>
        </w:tc>
        <w:tc>
          <w:tcPr>
            <w:tcW w:w="1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9,583,951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0.14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0.13</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832,766</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900,687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200" w:type="dxa"/>
            <w:vAlign w:val="bottom"/>
          </w:tcPr>
          <w:p>
            <w:pPr>
              <w:spacing w:after="0"/>
              <w:rPr>
                <w:sz w:val="20"/>
                <w:szCs w:val="20"/>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312,372</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218,875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312,477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255,375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September 30, 2016 and December 31, 2015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5620" w:type="dxa"/>
            <w:vAlign w:val="bottom"/>
          </w:tcPr>
          <w:p>
            <w:pPr>
              <w:spacing w:after="0"/>
              <w:rPr>
                <w:sz w:val="20"/>
                <w:szCs w:val="20"/>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holding losses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2016</w:t>
            </w: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 and notes</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20761</w:t>
            </w:r>
          </w:p>
        </w:tc>
      </w:tr>
      <w:tr>
        <w:trPr>
          <w:trHeight w:val="237"/>
        </w:trPr>
        <w:tc>
          <w:tcPr>
            <w:tcW w:w="562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7,020</w:t>
            </w:r>
          </w:p>
        </w:tc>
      </w:tr>
      <w:tr>
        <w:trPr>
          <w:trHeight w:val="230"/>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42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5620" w:type="dxa"/>
            <w:vAlign w:val="bottom"/>
          </w:tcPr>
          <w:p>
            <w:pPr>
              <w:spacing w:after="0"/>
              <w:rPr>
                <w:sz w:val="20"/>
                <w:szCs w:val="20"/>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holding losses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 and notes</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20,744</w:t>
            </w:r>
          </w:p>
        </w:tc>
      </w:tr>
      <w:tr>
        <w:trPr>
          <w:trHeight w:val="237"/>
        </w:trPr>
        <w:tc>
          <w:tcPr>
            <w:tcW w:w="562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5,621</w:t>
            </w:r>
          </w:p>
        </w:tc>
      </w:tr>
      <w:tr>
        <w:trPr>
          <w:trHeight w:val="230"/>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42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Maturities of marketable securities classified as available-for-sale securities were as follows at September 30, 2016:</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Due within one year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Due after one year through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Due after five years through ten years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Amortized</w:t>
            </w:r>
          </w:p>
        </w:tc>
        <w:tc>
          <w:tcPr>
            <w:tcW w:w="18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Estimated</w:t>
            </w:r>
          </w:p>
        </w:tc>
      </w:tr>
      <w:tr>
        <w:trPr>
          <w:trHeight w:val="241"/>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418"/>
        </w:trPr>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7,053</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7,059</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19,532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19,721</w:t>
            </w: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978</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30"/>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27,563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27,781</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40" w:space="720"/>
            <w:col w:w="3060"/>
          </w:cols>
          <w:pgMar w:left="240" w:top="233" w:right="2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Debt securities in an unrealized loss position as of September 30, 2016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September 30, 2016 are summarized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Less than 12 months</w:t>
            </w:r>
          </w:p>
        </w:tc>
        <w:tc>
          <w:tcPr>
            <w:tcW w:w="80" w:type="dxa"/>
            <w:vAlign w:val="bottom"/>
          </w:tcPr>
          <w:p>
            <w:pPr>
              <w:spacing w:after="0"/>
              <w:rPr>
                <w:sz w:val="20"/>
                <w:szCs w:val="20"/>
                <w:color w:val="auto"/>
              </w:rPr>
            </w:pPr>
          </w:p>
        </w:tc>
        <w:tc>
          <w:tcPr>
            <w:tcW w:w="2020" w:type="dxa"/>
            <w:vAlign w:val="bottom"/>
            <w:gridSpan w:val="7"/>
          </w:tcPr>
          <w:p>
            <w:pPr>
              <w:ind w:left="80"/>
              <w:spacing w:after="0"/>
              <w:rPr>
                <w:sz w:val="20"/>
                <w:szCs w:val="20"/>
                <w:color w:val="auto"/>
              </w:rPr>
            </w:pPr>
            <w:r>
              <w:rPr>
                <w:rFonts w:ascii="Arial" w:cs="Arial" w:eastAsia="Arial" w:hAnsi="Arial"/>
                <w:sz w:val="18"/>
                <w:szCs w:val="18"/>
                <w:b w:val="1"/>
                <w:bCs w:val="1"/>
                <w:color w:val="auto"/>
              </w:rPr>
              <w:t>More than 12 months</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unrealized</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unrealized</w:t>
            </w:r>
          </w:p>
        </w:tc>
        <w:tc>
          <w:tcPr>
            <w:tcW w:w="0" w:type="dxa"/>
            <w:vAlign w:val="bottom"/>
          </w:tcPr>
          <w:p>
            <w:pPr>
              <w:spacing w:after="0"/>
              <w:rPr>
                <w:sz w:val="1"/>
                <w:szCs w:val="1"/>
                <w:color w:val="auto"/>
              </w:rPr>
            </w:pPr>
          </w:p>
        </w:tc>
      </w:tr>
      <w:tr>
        <w:trPr>
          <w:trHeight w:val="216"/>
        </w:trPr>
        <w:tc>
          <w:tcPr>
            <w:tcW w:w="53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holding</w:t>
            </w:r>
          </w:p>
        </w:tc>
        <w:tc>
          <w:tcPr>
            <w:tcW w:w="8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holding</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holding</w:t>
            </w:r>
          </w:p>
        </w:tc>
        <w:tc>
          <w:tcPr>
            <w:tcW w:w="0" w:type="dxa"/>
            <w:vAlign w:val="bottom"/>
          </w:tcPr>
          <w:p>
            <w:pPr>
              <w:spacing w:after="0"/>
              <w:rPr>
                <w:sz w:val="1"/>
                <w:szCs w:val="1"/>
                <w:color w:val="auto"/>
              </w:rPr>
            </w:pPr>
          </w:p>
        </w:tc>
      </w:tr>
      <w:tr>
        <w:trPr>
          <w:trHeight w:val="241"/>
        </w:trPr>
        <w:tc>
          <w:tcPr>
            <w:tcW w:w="5380" w:type="dxa"/>
            <w:vAlign w:val="bottom"/>
            <w:vMerge w:val="continue"/>
          </w:tcPr>
          <w:p>
            <w:pPr>
              <w:spacing w:after="0"/>
              <w:rPr>
                <w:sz w:val="20"/>
                <w:szCs w:val="20"/>
                <w:color w:val="auto"/>
              </w:rPr>
            </w:pP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4"/>
              </w:rPr>
              <w:t>losses</w:t>
            </w:r>
          </w:p>
        </w:tc>
        <w:tc>
          <w:tcPr>
            <w:tcW w:w="80" w:type="dxa"/>
            <w:vAlign w:val="bottom"/>
          </w:tcPr>
          <w:p>
            <w:pPr>
              <w:spacing w:after="0"/>
              <w:rPr>
                <w:sz w:val="20"/>
                <w:szCs w:val="20"/>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8"/>
              </w:rPr>
              <w:t>losses</w:t>
            </w: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74"/>
              </w:rPr>
              <w:t>losses</w:t>
            </w:r>
          </w:p>
        </w:tc>
        <w:tc>
          <w:tcPr>
            <w:tcW w:w="0" w:type="dxa"/>
            <w:vAlign w:val="bottom"/>
          </w:tcPr>
          <w:p>
            <w:pPr>
              <w:spacing w:after="0"/>
              <w:rPr>
                <w:sz w:val="1"/>
                <w:szCs w:val="1"/>
                <w:color w:val="auto"/>
              </w:rPr>
            </w:pP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September 30, 2016</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4,853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4. Intangible Assets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2016 and December 31, 2015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Estimated useful</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4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lives</w:t>
            </w: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2015</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 to 7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 years</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5,970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5,850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15 years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w:t>
            </w: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 to 5 years</w:t>
            </w:r>
          </w:p>
        </w:tc>
        <w:tc>
          <w:tcPr>
            <w:tcW w:w="1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5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1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(5,288)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(4,432)</w:t>
            </w:r>
          </w:p>
        </w:tc>
      </w:tr>
      <w:tr>
        <w:trPr>
          <w:trHeight w:val="230"/>
        </w:trPr>
        <w:tc>
          <w:tcPr>
            <w:tcW w:w="5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and nine months ended September 30, 2016 and September 30, 2015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0"/>
                <w:szCs w:val="20"/>
                <w:color w:val="auto"/>
              </w:rPr>
            </w:pPr>
          </w:p>
        </w:tc>
        <w:tc>
          <w:tcPr>
            <w:tcW w:w="3080" w:type="dxa"/>
            <w:vAlign w:val="bottom"/>
            <w:gridSpan w:val="7"/>
          </w:tcPr>
          <w:p>
            <w:pPr>
              <w:ind w:left="80"/>
              <w:spacing w:after="0"/>
              <w:rPr>
                <w:sz w:val="20"/>
                <w:szCs w:val="20"/>
                <w:color w:val="auto"/>
              </w:rPr>
            </w:pPr>
            <w:r>
              <w:rPr>
                <w:rFonts w:ascii="Arial" w:cs="Arial" w:eastAsia="Arial" w:hAnsi="Arial"/>
                <w:sz w:val="18"/>
                <w:szCs w:val="18"/>
                <w:b w:val="1"/>
                <w:bCs w:val="1"/>
                <w:color w:val="auto"/>
              </w:rPr>
              <w:t>Nine months ended September 30,</w:t>
            </w:r>
          </w:p>
        </w:tc>
      </w:tr>
      <w:tr>
        <w:trPr>
          <w:trHeight w:val="237"/>
        </w:trPr>
        <w:tc>
          <w:tcPr>
            <w:tcW w:w="45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r>
      <w:tr>
        <w:trPr>
          <w:trHeight w:val="432"/>
        </w:trPr>
        <w:tc>
          <w:tcPr>
            <w:tcW w:w="6440" w:type="dxa"/>
            <w:vAlign w:val="bottom"/>
            <w:gridSpan w:val="4"/>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2016 (remainder)</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2,523</w:t>
            </w:r>
          </w:p>
        </w:tc>
      </w:tr>
      <w:tr>
        <w:trPr>
          <w:trHeight w:val="230"/>
        </w:trPr>
        <w:tc>
          <w:tcPr>
            <w:tcW w:w="4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September 30, 2016 and December 31, 2015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September 30, 2016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2015</w:t>
            </w: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3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2,460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2,735</w:t>
            </w:r>
          </w:p>
        </w:tc>
        <w:tc>
          <w:tcPr>
            <w:tcW w:w="80" w:type="dxa"/>
            <w:vAlign w:val="bottom"/>
          </w:tcPr>
          <w:p>
            <w:pPr>
              <w:spacing w:after="0"/>
              <w:rPr>
                <w:sz w:val="18"/>
                <w:szCs w:val="18"/>
                <w:color w:val="auto"/>
              </w:rPr>
            </w:pPr>
          </w:p>
        </w:tc>
      </w:tr>
      <w:tr>
        <w:trPr>
          <w:trHeight w:val="25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10,712</w:t>
            </w:r>
          </w:p>
        </w:tc>
        <w:tc>
          <w:tcPr>
            <w:tcW w:w="80" w:type="dxa"/>
            <w:vAlign w:val="bottom"/>
            <w:shd w:val="clear" w:color="auto" w:fill="CCEEFF"/>
          </w:tcPr>
          <w:p>
            <w:pPr>
              <w:spacing w:after="0"/>
              <w:rPr>
                <w:sz w:val="21"/>
                <w:szCs w:val="21"/>
                <w:color w:val="auto"/>
              </w:rPr>
            </w:pPr>
          </w:p>
        </w:tc>
      </w:tr>
      <w:tr>
        <w:trPr>
          <w:trHeight w:val="257"/>
        </w:trPr>
        <w:tc>
          <w:tcPr>
            <w:tcW w:w="4300" w:type="dxa"/>
            <w:vAlign w:val="bottom"/>
            <w:tcBorders>
              <w:top w:val="single" w:sz="8" w:color="CCEEFF"/>
              <w:bottom w:val="single" w:sz="8" w:color="CCEEFF"/>
            </w:tcBorders>
          </w:tcPr>
          <w:p>
            <w:pPr>
              <w:spacing w:after="0"/>
              <w:rPr>
                <w:sz w:val="22"/>
                <w:szCs w:val="22"/>
                <w:color w:val="auto"/>
              </w:rPr>
            </w:pPr>
          </w:p>
        </w:tc>
        <w:tc>
          <w:tcPr>
            <w:tcW w:w="30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11,749</w:t>
            </w:r>
          </w:p>
        </w:tc>
        <w:tc>
          <w:tcPr>
            <w:tcW w:w="2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w:t>
            </w:r>
          </w:p>
        </w:tc>
        <w:tc>
          <w:tcPr>
            <w:tcW w:w="3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r>
      <w:tr>
        <w:trPr>
          <w:trHeight w:val="25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w:t>
            </w:r>
          </w:p>
        </w:tc>
        <w:tc>
          <w:tcPr>
            <w:tcW w:w="80" w:type="dxa"/>
            <w:vAlign w:val="bottom"/>
            <w:shd w:val="clear" w:color="auto" w:fill="CCEEFF"/>
          </w:tcPr>
          <w:p>
            <w:pPr>
              <w:spacing w:after="0"/>
              <w:rPr>
                <w:sz w:val="21"/>
                <w:szCs w:val="21"/>
                <w:color w:val="auto"/>
              </w:rPr>
            </w:pPr>
          </w:p>
        </w:tc>
      </w:tr>
      <w:tr>
        <w:trPr>
          <w:trHeight w:val="217"/>
        </w:trPr>
        <w:tc>
          <w:tcPr>
            <w:tcW w:w="43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finished goods do not include consigned inventory in the amounts of approximately $1,538 and $1,628 as of September 30, 2016 and December 31, 2015, respectively. Distributor channel inventories represent inventories at distributors and other customers where revenue recognition criteria have not yet been achieved.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and nine months ended September 30, 2016 and 2015,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6"/>
          </w:tcPr>
          <w:p>
            <w:pPr>
              <w:ind w:left="80"/>
              <w:spacing w:after="0"/>
              <w:rPr>
                <w:sz w:val="20"/>
                <w:szCs w:val="20"/>
                <w:color w:val="auto"/>
              </w:rPr>
            </w:pPr>
            <w:r>
              <w:rPr>
                <w:rFonts w:ascii="Arial" w:cs="Arial" w:eastAsia="Arial" w:hAnsi="Arial"/>
                <w:sz w:val="18"/>
                <w:szCs w:val="18"/>
                <w:b w:val="1"/>
                <w:bCs w:val="1"/>
                <w:color w:val="auto"/>
              </w:rPr>
              <w:t>Nine months ended September 30,</w:t>
            </w:r>
          </w:p>
        </w:tc>
      </w:tr>
      <w:tr>
        <w:trPr>
          <w:trHeight w:val="237"/>
        </w:trPr>
        <w:tc>
          <w:tcPr>
            <w:tcW w:w="45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r>
      <w:tr>
        <w:trPr>
          <w:trHeight w:val="188"/>
        </w:trPr>
        <w:tc>
          <w:tcPr>
            <w:tcW w:w="45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8"/>
              </w:rPr>
              <w:t>Net loss on valuation of inventory and write-off of obsolete</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share-based incentive plans offering stock options primarily consists of two plans. Under both plans, one new share is issued for each stock option exercised. The plans are described below.</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1998 Incentive Plan (the “1998 Plan”) was the Company’s primary plan through November 2007. Under this plan shares of common stock were made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September 30, 2003. Subsequent to December 1999 and through September 2002, 1,248,250 options were granted that would cliff vest after 6.0 years; however, such vesting was accelerated for 300,494 of these options upon meeting certain earnings per share goals through the fiscal year ended September 30, 2005.</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2007 Equity Incentive Plan (the “2007 Plan”) was restated and approved by the shareholders on December 12, 2014.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Of the options granted subsequent to September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September 30, 2016 had contractual lives of ten years. Under the 1998 Plan, 2,500,000 shares were authorized for grant. As of September 30, 2016, there were 150,000 options outstanding under the 1998 Plan, which includes the cliff vesting and 3 or 4-year vesting options discussed above. As of September 30, 2016, there were 691,816 options outstanding under the 2007 Plan. As of September 30, 2016, the 2007 Plan had 859,410 authorized unissued options, while there were no options remaining that could be granted under the 1998 Plan.</w:t>
      </w:r>
    </w:p>
    <w:p>
      <w:pPr>
        <w:sectPr>
          <w:pgSz w:w="11900" w:h="16838" w:orient="portrait"/>
          <w:cols w:equalWidth="0" w:num="1">
            <w:col w:w="11420"/>
          </w:cols>
          <w:pgMar w:left="240" w:top="233"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nine months ended September 30, 2016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41"/>
        </w:trPr>
        <w:tc>
          <w:tcPr>
            <w:tcW w:w="7200" w:type="dxa"/>
            <w:vAlign w:val="bottom"/>
          </w:tcPr>
          <w:p>
            <w:pPr>
              <w:spacing w:after="0"/>
              <w:rPr>
                <w:sz w:val="20"/>
                <w:szCs w:val="20"/>
                <w:color w:val="auto"/>
              </w:rPr>
            </w:pPr>
          </w:p>
        </w:tc>
        <w:tc>
          <w:tcPr>
            <w:tcW w:w="2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1,028,935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204,700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147,085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225,542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Canceled or Expired</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19,192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30"/>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September 30, 2016</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at end of September 30, 2016</w:t>
            </w: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line="20" w:lineRule="exact"/>
              <w:rPr>
                <w:sz w:val="1"/>
                <w:szCs w:val="1"/>
                <w:color w:val="auto"/>
              </w:rPr>
            </w:pPr>
          </w:p>
        </w:tc>
      </w:tr>
      <w:tr>
        <w:trPr>
          <w:trHeight w:val="211"/>
        </w:trPr>
        <w:tc>
          <w:tcPr>
            <w:tcW w:w="7200" w:type="dxa"/>
            <w:vAlign w:val="bottom"/>
            <w:vMerge w:val="continue"/>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537,200</w:t>
            </w:r>
          </w:p>
        </w:tc>
        <w:tc>
          <w:tcPr>
            <w:tcW w:w="1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2016, the total remaining unrecognized compensation cost related to non-vested stock options, net of forfeitures, was approximately $1,229, which will be recognized over a weighted average period of 2.38 years.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u w:val="single" w:color="auto"/>
          <w:color w:val="auto"/>
        </w:rPr>
        <w:t>Stock Option Repurchase: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March 11, 2016 to March 17, 2016, the Company offered to repurchase eligible vested options to purchase shares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1998 Plan and the 2007 Plan from employees.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at an average purchase price of $7.77.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issues shares to employees under the Company’s 2014 Employee Stock Purchase Plan (the “ESPP”). The ESPP was approved by the Company’s shareholders on December 12, 2014. As of September 30, 2016, 480,444 of the originally approved 500,000 shares were available for offerings under the ESPP. Offering periods under the ESPP commence on each January 1 and July 1, and continue for a duration of nine months. The ESPP is available to all employees who do not own, or not are deemed to own, shares of stock making up an excess of 5% of the combined voting power of the Company, its parent or subsidiary. 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recorded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306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Three months ended September 30,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 September 30,</w:t>
            </w:r>
          </w:p>
        </w:tc>
      </w:tr>
      <w:tr>
        <w:trPr>
          <w:trHeight w:val="237"/>
        </w:trPr>
        <w:tc>
          <w:tcPr>
            <w:tcW w:w="436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top w:val="single" w:sz="8" w:color="auto"/>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80" w:type="dxa"/>
            <w:vAlign w:val="bottom"/>
            <w:shd w:val="clear" w:color="auto" w:fill="CCEEFF"/>
          </w:tcPr>
          <w:p>
            <w:pPr>
              <w:jc w:val="right"/>
              <w:ind w:right="91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113</w:t>
            </w:r>
          </w:p>
        </w:tc>
        <w:tc>
          <w:tcPr>
            <w:tcW w:w="1220" w:type="dxa"/>
            <w:vAlign w:val="bottom"/>
          </w:tcPr>
          <w:p>
            <w:pPr>
              <w:spacing w:after="0"/>
              <w:rPr>
                <w:sz w:val="20"/>
                <w:szCs w:val="20"/>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123</w:t>
            </w:r>
          </w:p>
        </w:tc>
        <w:tc>
          <w:tcPr>
            <w:tcW w:w="20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r>
      <w:tr>
        <w:trPr>
          <w:trHeight w:val="230"/>
        </w:trPr>
        <w:tc>
          <w:tcPr>
            <w:tcW w:w="43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shareholders’ equity during the three and nine months ended September 30, 2016 and 2015, respectively: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36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8"/>
              </w:rPr>
              <w:t>Three months ended September 30,</w:t>
            </w:r>
          </w:p>
        </w:tc>
        <w:tc>
          <w:tcPr>
            <w:tcW w:w="200" w:type="dxa"/>
            <w:vAlign w:val="bottom"/>
          </w:tcPr>
          <w:p>
            <w:pPr>
              <w:spacing w:after="0"/>
              <w:rPr>
                <w:sz w:val="20"/>
                <w:szCs w:val="20"/>
                <w:color w:val="auto"/>
              </w:rPr>
            </w:pPr>
          </w:p>
        </w:tc>
        <w:tc>
          <w:tcPr>
            <w:tcW w:w="318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37"/>
        </w:trPr>
        <w:tc>
          <w:tcPr>
            <w:tcW w:w="436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960" w:type="dxa"/>
            <w:vAlign w:val="bottom"/>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79,783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repurchased</w:t>
            </w:r>
          </w:p>
        </w:tc>
        <w:tc>
          <w:tcPr>
            <w:tcW w:w="9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(1,024)</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repurchased</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(1,752)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purchase plan</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Dividends</w:t>
            </w:r>
          </w:p>
        </w:tc>
        <w:tc>
          <w:tcPr>
            <w:tcW w:w="9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3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(1,373)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(639)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 benefit - stock option exercise</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or loss on investments, net of tax</w:t>
            </w:r>
          </w:p>
        </w:tc>
        <w:tc>
          <w:tcPr>
            <w:tcW w:w="9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 during the period</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3,532</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5,204</w:t>
            </w:r>
          </w:p>
        </w:tc>
        <w:tc>
          <w:tcPr>
            <w:tcW w:w="80" w:type="dxa"/>
            <w:vAlign w:val="bottom"/>
            <w:shd w:val="clear" w:color="auto" w:fill="CCEEFF"/>
          </w:tcPr>
          <w:p>
            <w:pPr>
              <w:spacing w:after="0"/>
              <w:rPr>
                <w:sz w:val="21"/>
                <w:szCs w:val="21"/>
                <w:color w:val="auto"/>
              </w:rPr>
            </w:pPr>
          </w:p>
        </w:tc>
      </w:tr>
      <w:tr>
        <w:trPr>
          <w:trHeight w:val="217"/>
        </w:trPr>
        <w:tc>
          <w:tcPr>
            <w:tcW w:w="4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the period</w:t>
            </w:r>
          </w:p>
        </w:tc>
        <w:tc>
          <w:tcPr>
            <w:tcW w:w="9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79,955</w:t>
            </w: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81,406</w:t>
            </w: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79,955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10, 2016, the Company announced a quarterly cash dividend of $0.05 per share which was paid on September 7, 2016 to shareholders of record as of August 24,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substantial majority of the Company’s financial instruments are valued using quoted prices in active markets or based on other observable inputs. The following table sets forth the fair value of the financial instruments re-measured by the Company as of September 30, 2016 and December 31, 2015: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2016</w:t>
            </w: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20,761</w:t>
            </w:r>
          </w:p>
        </w:tc>
        <w:tc>
          <w:tcPr>
            <w:tcW w:w="1100" w:type="dxa"/>
            <w:vAlign w:val="bottom"/>
            <w:gridSpan w:val="2"/>
          </w:tcPr>
          <w:p>
            <w:pPr>
              <w:jc w:val="right"/>
              <w:ind w:right="817"/>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20,761</w:t>
            </w:r>
          </w:p>
        </w:tc>
        <w:tc>
          <w:tcPr>
            <w:tcW w:w="80" w:type="dxa"/>
            <w:vAlign w:val="bottom"/>
          </w:tcPr>
          <w:p>
            <w:pPr>
              <w:spacing w:after="0"/>
              <w:rPr>
                <w:sz w:val="18"/>
                <w:szCs w:val="18"/>
                <w:color w:val="auto"/>
              </w:rPr>
            </w:pPr>
          </w:p>
        </w:tc>
      </w:tr>
      <w:tr>
        <w:trPr>
          <w:trHeight w:val="25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7,020</w:t>
            </w:r>
          </w:p>
        </w:tc>
        <w:tc>
          <w:tcPr>
            <w:tcW w:w="80" w:type="dxa"/>
            <w:vAlign w:val="bottom"/>
            <w:shd w:val="clear" w:color="auto" w:fill="CCEEFF"/>
          </w:tcPr>
          <w:p>
            <w:pPr>
              <w:spacing w:after="0"/>
              <w:rPr>
                <w:sz w:val="21"/>
                <w:szCs w:val="21"/>
                <w:color w:val="auto"/>
              </w:rPr>
            </w:pPr>
          </w:p>
        </w:tc>
      </w:tr>
      <w:tr>
        <w:trPr>
          <w:trHeight w:val="217"/>
        </w:trPr>
        <w:tc>
          <w:tcPr>
            <w:tcW w:w="56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27,781</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20,744</w:t>
            </w:r>
          </w:p>
        </w:tc>
        <w:tc>
          <w:tcPr>
            <w:tcW w:w="1100" w:type="dxa"/>
            <w:vAlign w:val="bottom"/>
            <w:gridSpan w:val="2"/>
          </w:tcPr>
          <w:p>
            <w:pPr>
              <w:jc w:val="right"/>
              <w:ind w:right="817"/>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20,744</w:t>
            </w:r>
          </w:p>
        </w:tc>
        <w:tc>
          <w:tcPr>
            <w:tcW w:w="80" w:type="dxa"/>
            <w:vAlign w:val="bottom"/>
          </w:tcPr>
          <w:p>
            <w:pPr>
              <w:spacing w:after="0"/>
              <w:rPr>
                <w:sz w:val="18"/>
                <w:szCs w:val="18"/>
                <w:color w:val="auto"/>
              </w:rPr>
            </w:pPr>
          </w:p>
        </w:tc>
      </w:tr>
      <w:tr>
        <w:trPr>
          <w:trHeight w:val="25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5,621</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5,621</w:t>
            </w:r>
          </w:p>
        </w:tc>
        <w:tc>
          <w:tcPr>
            <w:tcW w:w="80" w:type="dxa"/>
            <w:vAlign w:val="bottom"/>
            <w:shd w:val="clear" w:color="auto" w:fill="CCEEFF"/>
          </w:tcPr>
          <w:p>
            <w:pPr>
              <w:spacing w:after="0"/>
              <w:rPr>
                <w:sz w:val="21"/>
                <w:szCs w:val="21"/>
                <w:color w:val="auto"/>
              </w:rPr>
            </w:pPr>
          </w:p>
        </w:tc>
      </w:tr>
      <w:tr>
        <w:trPr>
          <w:trHeight w:val="217"/>
        </w:trPr>
        <w:tc>
          <w:tcPr>
            <w:tcW w:w="56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26,365</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forecasted effective tax rate at September 30, 2016 is 32.3%, a 3.5% decrease from the 35.8% effective tax rate recorded at December 31, 2015. The forecasted effective tax rate of 32.3% excludes jurisdictions for which no benefit from forecasted current year losses is anticipated. Including losses from such jurisdictions results in a forecasted effective tax rate of 33.3%. Our forecasted effective tax rate could fluctuate significantly on a quarterly basis and could change, to the extent that earnings in countries with tax rates that differ from that of the U.S. differ, from amounts anticipated at September 30, 2016.</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a discrete tax benefit of $303, the effective tax rate for the quarter ended September 30, 2016 is 28.0%. The discrete tax benefit is primarily attributable to a tax benefit related to stock-based compensation and changes in estimated R&amp;D tax credits.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 2016 the Company announced a quarterly cash dividend for the fourth quarter of 2016 at $0.05 per share to be paid on November 30, 2016 to shareholders of record as of November 16,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2015.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audio/voice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large, medium and small businesses. We occupy the number one global market share position, with more than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the video conferencing &amp; collaboration, streaming and digital signage technologies to enter new growth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Capitalize on the growing adoption of unified communications and introduce new products through emerging information technology channels;</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225"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superior conferencing and collaboration experience;</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impacting multimedia distribution and control;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greater value to our customers and partners;</w:t>
      </w:r>
    </w:p>
    <w:p>
      <w:pPr>
        <w:spacing w:after="0" w:line="23"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and extending ClearOne technology, leadership and innovation;</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our strong domestic and international channels to distribute new products; and</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Strengthening existing customer and partner relationships through dedicated support.</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revenues were $12.9 million and $15.9 million during the three months ended September 30, 2016 and 2015, respectively. The revenues mainly decreased due to overall fall in demand for our products in most major markets. The revenues for three months ended September 30, 2015 also included three quarters of licensing fees reflecting the execution of a licensing agreement in Q3 of 2015 even though the fees were due from the beginning of 2015 as per the terms of the agreement. The revenues for three months ended September 30, 2015 also had the benefit of three quarters of revenue from licensing fees. Our gross profit decreased by $2.5 million during the three months ended September 30, 2016 compared to the three months ended September 30, 2015. Gross profit declined primarily due to reduction in revenue and due to unfavorable change in product revenue and licensing fees mix. Net income decreased by $1.2 million during the three months ended September 30, 2016 compared to the three months ended September 30, 2015. Net income for the three months ended September 30, 2016 decreased primarily due to reduction in revenues and associated gross profit, partially offset by savings due to reductions in operating expenses.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revenues were $37.9 million and $43.5 million during the nine months ended September 30, 2016 and 2015, respectively. The revenues decreased due to an overall fall in demand for our products in all major markets. Our gross profit decreased by $3.8 million during the nine months ended September 30, 2016 compared to the nine months ended September 30, 2015. Net income decreased by $1.7 million during the nine months ended September 30, 2016 compared to the nine months ended September 30, 2015. Net income for the nine months ended September 30, 2016 decreased primarily due to reduction in revenues and associated gross profit, partially offset by savings due to reductions in operating expenses.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Future revenue growth and income growth are dependent on the recovery of the global economy and the success of CONVERGE Pro 2, our new professional audio conferencing platform that we launched in June 2016 and that will replace our current generation of CONVERGE Pro products. We closely monitor the economic situation around the world and have developed sound operating and financial plans to overcome the challenges posed by the weak economy. Sequentially, our revenues for the three months ended September 30, 2016 grew approximately $900,000, a 7.9% increase as compared to the three months ended June 30, 2016, representing the first sequential quarterly increase in revenues since the three months ended September 30,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nine months ended September 30, 2016 and 2015</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and nine months ended September 30, 2016 and 2015, respectively, together with the percentage of total revenue which each such item represents: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11"/>
          </w:tcPr>
          <w:p>
            <w:pPr>
              <w:jc w:val="right"/>
              <w:ind w:right="770"/>
              <w:spacing w:after="0"/>
              <w:rPr>
                <w:sz w:val="20"/>
                <w:szCs w:val="20"/>
                <w:color w:val="auto"/>
              </w:rPr>
            </w:pPr>
            <w:r>
              <w:rPr>
                <w:rFonts w:ascii="Arial" w:cs="Arial" w:eastAsia="Arial" w:hAnsi="Arial"/>
                <w:sz w:val="18"/>
                <w:szCs w:val="18"/>
                <w:b w:val="1"/>
                <w:bCs w:val="1"/>
                <w:color w:val="auto"/>
                <w:w w:val="95"/>
              </w:rPr>
              <w:t>Three months ended September 30,</w:t>
            </w:r>
          </w:p>
        </w:tc>
        <w:tc>
          <w:tcPr>
            <w:tcW w:w="160" w:type="dxa"/>
            <w:vAlign w:val="bottom"/>
          </w:tcPr>
          <w:p>
            <w:pPr>
              <w:spacing w:after="0"/>
              <w:rPr>
                <w:sz w:val="20"/>
                <w:szCs w:val="20"/>
                <w:color w:val="auto"/>
              </w:rPr>
            </w:pPr>
          </w:p>
        </w:tc>
        <w:tc>
          <w:tcPr>
            <w:tcW w:w="3520" w:type="dxa"/>
            <w:vAlign w:val="bottom"/>
            <w:gridSpan w:val="10"/>
          </w:tcPr>
          <w:p>
            <w:pPr>
              <w:jc w:val="right"/>
              <w:ind w:right="55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198"/>
        </w:trPr>
        <w:tc>
          <w:tcPr>
            <w:tcW w:w="3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270"/>
              <w:spacing w:after="0" w:line="198" w:lineRule="exact"/>
              <w:rPr>
                <w:sz w:val="20"/>
                <w:szCs w:val="20"/>
                <w:color w:val="auto"/>
              </w:rPr>
            </w:pPr>
            <w:r>
              <w:rPr>
                <w:rFonts w:ascii="Arial" w:cs="Arial" w:eastAsia="Arial" w:hAnsi="Arial"/>
                <w:sz w:val="18"/>
                <w:szCs w:val="18"/>
                <w:b w:val="1"/>
                <w:bCs w:val="1"/>
                <w:color w:val="auto"/>
              </w:rPr>
              <w:t>% of</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 of</w:t>
            </w:r>
          </w:p>
        </w:tc>
        <w:tc>
          <w:tcPr>
            <w:tcW w:w="5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310"/>
              <w:spacing w:after="0" w:line="198" w:lineRule="exact"/>
              <w:rPr>
                <w:sz w:val="20"/>
                <w:szCs w:val="20"/>
                <w:color w:val="auto"/>
              </w:rPr>
            </w:pPr>
            <w:r>
              <w:rPr>
                <w:rFonts w:ascii="Arial" w:cs="Arial" w:eastAsia="Arial" w:hAnsi="Arial"/>
                <w:sz w:val="18"/>
                <w:szCs w:val="18"/>
                <w:b w:val="1"/>
                <w:bCs w:val="1"/>
                <w:color w:val="auto"/>
              </w:rPr>
              <w:t>% of</w:t>
            </w: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5"/>
              </w:rPr>
              <w:t>Revenue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2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5"/>
              </w:rPr>
              <w:t>Revenue</w:t>
            </w:r>
          </w:p>
        </w:tc>
        <w:tc>
          <w:tcPr>
            <w:tcW w:w="16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85"/>
              </w:rPr>
              <w:t>Revenue</w:t>
            </w: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9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7"/>
        </w:trPr>
        <w:tc>
          <w:tcPr>
            <w:tcW w:w="3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64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12,908</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15,913</w:t>
            </w:r>
          </w:p>
        </w:tc>
        <w:tc>
          <w:tcPr>
            <w:tcW w:w="22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37,907</w:t>
            </w:r>
          </w:p>
        </w:tc>
        <w:tc>
          <w:tcPr>
            <w:tcW w:w="22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43,513</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5,240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5,725</w:t>
            </w:r>
          </w:p>
        </w:tc>
        <w:tc>
          <w:tcPr>
            <w:tcW w:w="1200" w:type="dxa"/>
            <w:vAlign w:val="bottom"/>
            <w:gridSpan w:val="2"/>
          </w:tcPr>
          <w:p>
            <w:pPr>
              <w:jc w:val="right"/>
              <w:ind w:right="31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14,110</w:t>
            </w:r>
          </w:p>
        </w:tc>
        <w:tc>
          <w:tcPr>
            <w:tcW w:w="220" w:type="dxa"/>
            <w:vAlign w:val="bottom"/>
          </w:tcPr>
          <w:p>
            <w:pPr>
              <w:spacing w:after="0"/>
              <w:rPr>
                <w:sz w:val="19"/>
                <w:szCs w:val="19"/>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15,873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2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10,188</w:t>
            </w:r>
          </w:p>
        </w:tc>
        <w:tc>
          <w:tcPr>
            <w:tcW w:w="22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22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27,640</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2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2,389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2,752</w:t>
            </w:r>
          </w:p>
        </w:tc>
        <w:tc>
          <w:tcPr>
            <w:tcW w:w="1200" w:type="dxa"/>
            <w:vAlign w:val="bottom"/>
            <w:gridSpan w:val="2"/>
          </w:tcPr>
          <w:p>
            <w:pPr>
              <w:jc w:val="right"/>
              <w:ind w:right="31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7,695</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8,126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2,116</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2,132</w:t>
            </w:r>
          </w:p>
        </w:tc>
        <w:tc>
          <w:tcPr>
            <w:tcW w:w="12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6,481</w:t>
            </w: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1,739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1,796</w:t>
            </w:r>
          </w:p>
        </w:tc>
        <w:tc>
          <w:tcPr>
            <w:tcW w:w="1200" w:type="dxa"/>
            <w:vAlign w:val="bottom"/>
            <w:gridSpan w:val="2"/>
          </w:tcPr>
          <w:p>
            <w:pPr>
              <w:jc w:val="right"/>
              <w:ind w:right="31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4,904</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5,686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2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3,508</w:t>
            </w:r>
          </w:p>
        </w:tc>
        <w:tc>
          <w:tcPr>
            <w:tcW w:w="22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4,717</w:t>
            </w:r>
          </w:p>
        </w:tc>
        <w:tc>
          <w:tcPr>
            <w:tcW w:w="22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200" w:type="dxa"/>
            <w:vAlign w:val="bottom"/>
            <w:gridSpan w:val="2"/>
          </w:tcPr>
          <w:p>
            <w:pPr>
              <w:jc w:val="right"/>
              <w:ind w:right="31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3,562</w:t>
            </w:r>
          </w:p>
        </w:tc>
        <w:tc>
          <w:tcPr>
            <w:tcW w:w="22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4,911</w:t>
            </w:r>
          </w:p>
        </w:tc>
        <w:tc>
          <w:tcPr>
            <w:tcW w:w="22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1,145</w:t>
            </w:r>
          </w:p>
        </w:tc>
        <w:tc>
          <w:tcPr>
            <w:tcW w:w="1200" w:type="dxa"/>
            <w:vAlign w:val="bottom"/>
            <w:gridSpan w:val="2"/>
          </w:tcPr>
          <w:p>
            <w:pPr>
              <w:jc w:val="right"/>
              <w:ind w:right="31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1,379</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2,417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tcBorders>
              <w:top w:val="single" w:sz="8" w:color="CCEEFF"/>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4"/>
              </w:rPr>
              <w:t>3,532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Revenue for the three months ended September 30, 2016 was approximately $12.9 million, compared to $15.9 million in the three months ended September 30, 2015, which included three quarters of licensing fees reflecting the execution of a licensing agreement in Q3 of 2015 even though the fees were due from the beginning of 2015 as per the terms of the agreement. This decrease of approximately 19% is partly due to lower licensing fees and mainly due to reduced demand for our products across most regions including North America.</w:t>
      </w:r>
    </w:p>
    <w:p>
      <w:pPr>
        <w:sectPr>
          <w:pgSz w:w="11900" w:h="16838" w:orient="portrait"/>
          <w:cols w:equalWidth="0" w:num="1">
            <w:col w:w="11420"/>
          </w:cols>
          <w:pgMar w:left="240" w:top="233"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nine months ended September 30, 2016 was approximately $37.9 million, a decrease of approximately 13% compared to the nine months ended September 30, 2015. The decrease in revenue was due to reduced demand for our products across most regions. The decrease was especially stronger in the Middle East, South Africa, Asia Pacific, Northern and Central Europe and Canada. The increase in revenues from video products was more than offset by a decline in revenues from all other product lines.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change in deferred revenue during the nine months ended September 30, 2016 from December 31, 2015 and the nine months ended September 30, 2015 from December 31, 2014 was a net decrease in deferred revenue of $0.3 million and $0.2 million, respectively. See “Critical Accounting Policies and Estimates” under “Revenue and Associated Allowance for Revenue Adjustments and Doubtful Accounts” below for a detailed discussion of deferred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gross profit margin (GPM), which is gross profit as a percentage of revenue decreased from 64% in the three months ended September 30, 2015 to 59% in the three months ended September 30, 2016. The reduction in gross profit margin for the three months ended September 30, 2016 was mainly due to a reduction of high margin products in the revenue mix and higher licensing fees in the three months ended September 30, 2015 when compared to the three months ended September 30, 2016. The gross profit margin also reduced due to higher inventory scrapping costs arising out of moving our manufacturing facility that we acquired along with Sabine to an overseas outsourced manufacturing facility.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GPM was 63% and 64% for the nine months ended September 30, 2016 and 2015, respectively. The decrease in GPM was primarily due to a reduction of high margin products in the revenue mix.</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profitability in the near-term continues to depend significantly on our revenues from professional audio conferencing products, which includes wired and wireless microphones. We hold long-term inventory and if we are unable to sell our long-term inventory, our profitability might be affected by inventory write-offs and price mark-downs.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for the three months ended September 30, 2016 decreased by 7% to $6.2 million from $6.7 million for three months ended September 30, 2015. Operating expenses for the nine months ended September 30, 2016 decreased by approximately $0.9 million to $19.1 million compared to $19.9 million for the nine months ended September 30,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S&amp;M expenses of approximately $2.4 million for the three months ended September 30, 2016 decreased by $0.4 million when compared to S&amp;M expenses of $2.8 million for the three months ended September 30, 2015. The decrease was mainly due to reduction in commissions to independent agents and tradeshow costs.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S&amp;M expenses of approximately $7.7 million for the nine months ended September 30, 2016 decreased $0.4 million, or 5%, when compared to S&amp;M expenses of approximately $8.1 million for the nine months ended September 30, 2015. The decreases in employee related costs, commissions to employees and independent agents and tradeshow costs were partially offset by marketing, tradeshow costs and consulting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R&amp;D expenses of approximately $2.1 million for the three months ended September 30, 2016 remained almost unchanged from $2.1 million for the three months ended September 30,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R&amp;D expenses of approximately $6.5 million for the nine months ended September 30, 2016 increased by $0.4 million, or 6%, when compared to R&amp;D expenses of approximately $6.1 million for the nine months ended September 30, 2015. R&amp;D expenses increased mainly due to increases in costs for various R&amp;D projects and employee related costs.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costs, and corporate administrative costs, including finance, information technology and human resources.</w:t>
      </w:r>
    </w:p>
    <w:p>
      <w:pPr>
        <w:sectPr>
          <w:pgSz w:w="11900" w:h="16838" w:orient="portrait"/>
          <w:cols w:equalWidth="0" w:num="1">
            <w:col w:w="11420"/>
          </w:cols>
          <w:pgMar w:left="240" w:top="233"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G&amp;A expenses of approximately $1.74 million for the three months ended September 30, 2016 remained almost unchanged from $1.8 million for the three months ended September 30, 2015.</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G&amp;A expenses of approximately $4.9 million for the nine months ended September 30, 2016 decreased by $0.8 million, or 14%, when compared to G&amp;A expenses of approximately $5.7 million for the nine months ended September 30, 2015. G&amp;A expenses decreased due to decreases in legal expenses, audit and accounting fees, and acquisition related amortization costs and other expenses, and due to elimination of compensation expense relating to dividend equivalents. These decreases were partially offset by an increase in recruitment costs and increase in allocation of overhead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2016, we accrued income taxes at the forecasted effective tax rate of 32.3% as compared to the forecasted effective tax rate of 36.3% used during the nine months ended September 30, 2015. The 4.0% decrease in the forecasted effective tax rate was primarily due to the U.S. research and development tax credit, which was in effect for the nine months ended September 30, 2016, but had not been extended as of September 30, 2015. In addition, a discrete tax benefit of $303 thousand is primarily attributable to a tax benefit related to stock-based compensation and changes in 2015 estimated R&amp;D tax credits.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2016, our cash and cash equivalents were approximately $12.2 million, a decrease of approximately $1.2 million compared to cash and cash equivalents of approximately $13.4 million as of December 31,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$7.5 million during the nine months ended September 30, 2016, an increase in cash flow of approximately $1.1 million compared to $6.4 million of cash provided by operating activities during the nine months ended September 30, 2015. The increase in operating cash flow was primarily due to changes in operating assets and liabilities totaling $3.6 million partially offset by reduction in non-cash charges by $0.9 million and a decrease in net income of $1.7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approximately $1.8 million during the nine months ended September 30, 2016, an increase of $0.8 million compared to $1.0 million of cash used in investing activities during the nine months ended September 30, 2015. The increase in cash used in investing activities in nine months ended September 30, 2016 was due to an increase of about $0.5 million in purchase of property and equipment and $0.3 million in purchases of marketable securities net of proceeds from maturities and sales of marketable securities.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was approximately $6.8 million during the nine months ended September 30, 2016 compared to $0.3 million of cash used in financing activities during the nine months ended September 30, 2015. Financing activities during the nine months ended September 30, 2016 primarily consisted of cash outflows of $5.1 million towards stock repurchases, $1.8 million for the repurchase of stock options and $1.4 million for dividend payments partially offset by cash inflows of about $0.7 million from exercises of stock options and $0.7 million from tax benefits from exercise of stock options. Financing activities during the nine months ended September 30, 2015 primarily consisted of cash outflows of $0.6 million towards dividend payments partially offset by cash inflows of about $0.3 million from proceeds from exercises of stock options and $49 thousand from tax benefits from exercise of stock options.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our working capital was $33.4 million as compared to $36.5 million as of December 31, 2015.</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if and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pay cash dividends or repurchase stock.</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2016, we had open purchase orders related to our electronics manufacturing service providers of approximately $5.2 million, primarily related to inventory purchases.</w:t>
      </w:r>
    </w:p>
    <w:p>
      <w:pPr>
        <w:spacing w:after="0" w:line="163"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At September 30, 2016, we had inventory totaling $15.2 million, of which non-current inventory accounted for $1.7 million. This compares to total inventories of $15.5 million and non-current inventory of $2.0 million as of December 31, 2015.</w:t>
      </w:r>
    </w:p>
    <w:p>
      <w:pPr>
        <w:sectPr>
          <w:pgSz w:w="11900" w:h="16838" w:orient="portrait"/>
          <w:cols w:equalWidth="0" w:num="1">
            <w:col w:w="11420"/>
          </w:cols>
          <w:pgMar w:left="240" w:top="233"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accounting policies are described in our Annual Report on Form 10-K for the year ended December 31, 2015.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Associated Allowances for Revenue Adjustments and Doubtful Accounts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20" w:firstLine="8"/>
        <w:spacing w:after="0" w:line="261" w:lineRule="auto"/>
        <w:tabs>
          <w:tab w:leader="none" w:pos="21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right of return on product sales to certain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deferred cost of goods sold was included in distributor channel inventories. The following table details the amount of deferred revenue, cost of goods sold, and gross profit (in thousands) as of September 30, 2016 and December 31,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September 30, 2016</w:t>
            </w: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2015</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4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1,538</w:t>
            </w: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r>
      <w:tr>
        <w:trPr>
          <w:trHeight w:val="23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ectPr>
          <w:pgSz w:w="11900" w:h="16838" w:orient="portrait"/>
          <w:cols w:equalWidth="0" w:num="1">
            <w:col w:w="11420"/>
          </w:cols>
          <w:pgMar w:left="240" w:top="233"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There were no impairments recorded in the Nine months ended September 30, 2016 or 2015 as no impairment indicators existed. However, due to uncertainty in the industrial, technological, and competitive environments in which we operate, we might be required to exit or dispose of the assets acquired through our acquisitions, which could result in an impairment of 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2015 and determined that based upon available evidence it is more likely than not that certain of our deferred tax assets related to foreign net operating loss carryforwards and foreign intangible assets will not be realized and, accordingly, we have recorded a valuation allowance against these deferred tax assets in the amount of $1.1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Lower-of-Cost or Market Adjustments and Reserves for Excess and Obsolete Inventory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ectPr>
          <w:pgSz w:w="11900" w:h="16838" w:orient="portrait"/>
          <w:cols w:equalWidth="0" w:num="1">
            <w:col w:w="11420"/>
          </w:cols>
          <w:pgMar w:left="240" w:top="233"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The updated standard becomes effective for the Company on January 1, 2018. Early adoption is permitted. The Company has not yet selected a transition method and we are currently evaluating the effect that the updated standard will have on the consolidated financial statements.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2015, the FASB issued ASU 2015-17, Income Taxes (Topic 740), simplifying the presentation of deferred taxes on the balance sheet by requiring companies to classify everything as either a non-current asset or non-current liability. Early adoption of this ASU is permitted. ClearOne has adopted this standard update early as it simplified the presentation of taxes on the balance sheet and within the income tax footnote.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FASB released Accounting Standards Update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will take effect the Company for fiscal years, and interim periods within those fiscal years, beginning after December 15, 2018. Early application will be permitted for all organizations. The Company has not yet selected a transition method and we are currently evaluating the effect that the updated standard will have on the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2016, the FASB issued ASU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is effective for the Company on January 1, 2017 and we are currently evaluating the impact that ASU 2016-09 will have on our consolidated financial statements.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2016, the FASB issued ASU 2016-13, Financial Instruments - Measurement of Credit Losses on Financial Instruments, which requires measurement and recognition of expected credit losses for financial assets held. ASU 2016-13 is effective for the Company beginning January 1, 2020 and we are currently evaluating the impact that ASU 2016-13 will have on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which addresses eight specific cash flow issues with the objective of reducing the existing diversity in practice. ASU 2016-15 is effective for the Company beginning January 1, 2018 and we are currently evaluating the impact that ASU 2016-15 will have on our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evaluation of the effectiveness of our disclosure controls and procedures (as defined in Rules 13a-15(e) and 15d-15(e) of the Exchange Act) as of September 30, 2016 was performed under the supervision and with the participation of our management, including our Chief Executive Officer and our Principal Financial and Accounting Officer. Based on this evaluation, our management, including our Chief Executive Officer and Principal Financial and Accounting Officer, concluded that our disclosure controls and procedures are effective as of September 30, 2016 to ensure that information required to be disclosed by us in reports we file or submit under the Exchange Act is recorded, processed, summarized and reported as specified in the SEC’s rules and forms.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30, 2016 that materially affected, or that we believe is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updates to the status of the legal proceedings and commitments and contingencies reported in our Form 10-K for the year ended December 31, 2015 under Part I, Item 3. Legal Proceedings and Note 8 - Commitments and Contingencies of the Notes to Consolidated Financial Statements (Part II, Item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2012, our Board of Directors authorized a stock repurchase program authorizing the Company to repurchase up to $2 million of our outstanding common stock. On July 30, 2012, the Board of Directors increased the repurchase amount to $3 million from the original $2 million. On February 20, 2013, the Board of Directors again increased the repurchase amount to $10 million from $3 million. On December 2, 2014, ClearOne, Inc. issued a press release announcing the declaration of future cash dividends by the Company’s Board of Directors and reported the discontinuance of this stock repurchase program. At the time of the discontinuance of this stock repurchase program, the Company had repurchased approximately $5.4 million of the Company’s stock.</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9, 2016, the Board of Directors of the Company authorized the repurchase of up to $10 million of the Company’s outstanding shares of common stock under a new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2016 we acquired the following shares of common stock under the current stock repurchase program:</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(b)</w:t>
            </w:r>
          </w:p>
        </w:tc>
        <w:tc>
          <w:tcPr>
            <w:tcW w:w="2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Average Price</w:t>
            </w:r>
          </w:p>
        </w:tc>
        <w:tc>
          <w:tcPr>
            <w:tcW w:w="2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Under the Plans or</w:t>
            </w:r>
          </w:p>
        </w:tc>
      </w:tr>
      <w:tr>
        <w:trPr>
          <w:trHeight w:val="241"/>
        </w:trPr>
        <w:tc>
          <w:tcPr>
            <w:tcW w:w="3340" w:type="dxa"/>
            <w:vAlign w:val="bottom"/>
            <w:gridSpan w:val="2"/>
          </w:tcPr>
          <w:p>
            <w:pPr>
              <w:ind w:left="1360"/>
              <w:spacing w:after="0"/>
              <w:rPr>
                <w:sz w:val="20"/>
                <w:szCs w:val="20"/>
                <w:color w:val="auto"/>
              </w:rPr>
            </w:pPr>
            <w:r>
              <w:rPr>
                <w:rFonts w:ascii="Arial" w:cs="Arial" w:eastAsia="Arial" w:hAnsi="Arial"/>
                <w:sz w:val="18"/>
                <w:szCs w:val="18"/>
                <w:b w:val="1"/>
                <w:bCs w:val="1"/>
                <w:color w:val="auto"/>
              </w:rPr>
              <w:t>Period</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Paid per Share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Programs</w:t>
            </w:r>
          </w:p>
        </w:tc>
      </w:tr>
      <w:tr>
        <w:trPr>
          <w:trHeight w:val="216"/>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to July 31</w:t>
            </w:r>
          </w:p>
        </w:tc>
        <w:tc>
          <w:tcPr>
            <w:tcW w:w="1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5,430,603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August 1 to August 31</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16,700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10.90</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16,700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5,248,491</w:t>
            </w:r>
          </w:p>
        </w:tc>
        <w:tc>
          <w:tcPr>
            <w:tcW w:w="80" w:type="dxa"/>
            <w:vAlign w:val="bottom"/>
          </w:tcPr>
          <w:p>
            <w:pPr>
              <w:spacing w:after="0"/>
              <w:rPr>
                <w:sz w:val="18"/>
                <w:szCs w:val="18"/>
                <w:color w:val="auto"/>
              </w:rPr>
            </w:pPr>
          </w:p>
        </w:tc>
      </w:tr>
      <w:tr>
        <w:trPr>
          <w:trHeight w:val="25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to September 30</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35,824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4,849,675</w:t>
            </w:r>
          </w:p>
        </w:tc>
        <w:tc>
          <w:tcPr>
            <w:tcW w:w="80" w:type="dxa"/>
            <w:vAlign w:val="bottom"/>
            <w:shd w:val="clear" w:color="auto" w:fill="CCEEFF"/>
          </w:tcPr>
          <w:p>
            <w:pPr>
              <w:spacing w:after="0"/>
              <w:rPr>
                <w:sz w:val="21"/>
                <w:szCs w:val="21"/>
                <w:color w:val="auto"/>
              </w:rPr>
            </w:pPr>
          </w:p>
        </w:tc>
      </w:tr>
      <w:tr>
        <w:trPr>
          <w:trHeight w:val="217"/>
        </w:trPr>
        <w:tc>
          <w:tcPr>
            <w:tcW w:w="33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91,965</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22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91,965</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4,849,675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March 11, 2016 to March 17, 2016, the Company offered to repurchase eligible vested options to purchase shares under the 1998 Plan and the 2007 Plan from employees.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at an average purchase price of $7.77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Title of Document</w:t>
            </w:r>
          </w:p>
        </w:tc>
      </w:tr>
      <w:tr>
        <w:trPr>
          <w:trHeight w:val="43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Section 302</w:t>
            </w:r>
          </w:p>
        </w:tc>
        <w:tc>
          <w:tcPr>
            <w:tcW w:w="9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944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4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44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364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900" w:type="dxa"/>
            <w:vAlign w:val="bottom"/>
            <w:gridSpan w:val="2"/>
          </w:tcPr>
          <w:p>
            <w:pPr>
              <w:ind w:left="2200"/>
              <w:spacing w:after="0"/>
              <w:rPr>
                <w:sz w:val="20"/>
                <w:szCs w:val="20"/>
                <w:color w:val="auto"/>
              </w:rPr>
            </w:pPr>
            <w:r>
              <w:rPr>
                <w:rFonts w:ascii="Arial" w:cs="Arial" w:eastAsia="Arial" w:hAnsi="Arial"/>
                <w:sz w:val="18"/>
                <w:szCs w:val="18"/>
                <w:color w:val="auto"/>
              </w:rPr>
              <w:t>ClearOne, Inc.,</w:t>
            </w:r>
          </w:p>
        </w:tc>
      </w:tr>
      <w:tr>
        <w:trPr>
          <w:trHeight w:val="230"/>
        </w:trPr>
        <w:tc>
          <w:tcPr>
            <w:tcW w:w="3520" w:type="dxa"/>
            <w:vAlign w:val="bottom"/>
          </w:tcPr>
          <w:p>
            <w:pPr>
              <w:spacing w:after="0"/>
              <w:rPr>
                <w:sz w:val="20"/>
                <w:szCs w:val="20"/>
                <w:color w:val="auto"/>
              </w:rPr>
            </w:pPr>
          </w:p>
        </w:tc>
        <w:tc>
          <w:tcPr>
            <w:tcW w:w="7900" w:type="dxa"/>
            <w:vAlign w:val="bottom"/>
            <w:gridSpan w:val="2"/>
          </w:tcPr>
          <w:p>
            <w:pPr>
              <w:ind w:left="2200"/>
              <w:spacing w:after="0"/>
              <w:rPr>
                <w:sz w:val="20"/>
                <w:szCs w:val="20"/>
                <w:color w:val="auto"/>
              </w:rPr>
            </w:pPr>
            <w:r>
              <w:rPr>
                <w:rFonts w:ascii="Arial" w:cs="Arial" w:eastAsia="Arial" w:hAnsi="Arial"/>
                <w:sz w:val="18"/>
                <w:szCs w:val="18"/>
                <w:color w:val="auto"/>
              </w:rPr>
              <w:t>(Registrant)</w:t>
            </w:r>
          </w:p>
        </w:tc>
      </w:tr>
      <w:tr>
        <w:trPr>
          <w:trHeight w:val="453"/>
        </w:trPr>
        <w:tc>
          <w:tcPr>
            <w:tcW w:w="3520" w:type="dxa"/>
            <w:vAlign w:val="bottom"/>
          </w:tcPr>
          <w:p>
            <w:pPr>
              <w:spacing w:after="0"/>
              <w:rPr>
                <w:sz w:val="24"/>
                <w:szCs w:val="24"/>
                <w:color w:val="auto"/>
              </w:rPr>
            </w:pPr>
          </w:p>
        </w:tc>
        <w:tc>
          <w:tcPr>
            <w:tcW w:w="7900" w:type="dxa"/>
            <w:vAlign w:val="bottom"/>
            <w:gridSpan w:val="2"/>
          </w:tcPr>
          <w:p>
            <w:pPr>
              <w:ind w:left="2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02"/>
        </w:trPr>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20" w:type="dxa"/>
            <w:vAlign w:val="bottom"/>
          </w:tcPr>
          <w:p>
            <w:pPr>
              <w:ind w:left="60"/>
              <w:spacing w:after="0"/>
              <w:rPr>
                <w:sz w:val="20"/>
                <w:szCs w:val="20"/>
                <w:color w:val="auto"/>
              </w:rPr>
            </w:pPr>
            <w:r>
              <w:rPr>
                <w:rFonts w:ascii="Arial" w:cs="Arial" w:eastAsia="Arial" w:hAnsi="Arial"/>
                <w:sz w:val="18"/>
                <w:szCs w:val="18"/>
                <w:color w:val="auto"/>
              </w:rPr>
              <w:t>November 8, 2016</w:t>
            </w:r>
          </w:p>
        </w:tc>
        <w:tc>
          <w:tcPr>
            <w:tcW w:w="25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3"/>
        </w:trPr>
        <w:tc>
          <w:tcPr>
            <w:tcW w:w="3520" w:type="dxa"/>
            <w:vAlign w:val="bottom"/>
          </w:tcPr>
          <w:p>
            <w:pPr>
              <w:spacing w:after="0"/>
              <w:rPr>
                <w:sz w:val="24"/>
                <w:szCs w:val="24"/>
                <w:color w:val="auto"/>
              </w:rPr>
            </w:pPr>
          </w:p>
        </w:tc>
        <w:tc>
          <w:tcPr>
            <w:tcW w:w="7900" w:type="dxa"/>
            <w:vAlign w:val="bottom"/>
            <w:gridSpan w:val="2"/>
          </w:tcPr>
          <w:p>
            <w:pPr>
              <w:ind w:left="2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02"/>
        </w:trPr>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20" w:type="dxa"/>
            <w:vAlign w:val="bottom"/>
          </w:tcPr>
          <w:p>
            <w:pPr>
              <w:ind w:left="60"/>
              <w:spacing w:after="0"/>
              <w:rPr>
                <w:sz w:val="20"/>
                <w:szCs w:val="20"/>
                <w:color w:val="auto"/>
              </w:rPr>
            </w:pPr>
            <w:r>
              <w:rPr>
                <w:rFonts w:ascii="Arial" w:cs="Arial" w:eastAsia="Arial" w:hAnsi="Arial"/>
                <w:sz w:val="18"/>
                <w:szCs w:val="18"/>
                <w:color w:val="auto"/>
              </w:rPr>
              <w:t>November 8, 2016</w:t>
            </w:r>
          </w:p>
        </w:tc>
        <w:tc>
          <w:tcPr>
            <w:tcW w:w="25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439"/>
        </w:trPr>
        <w:tc>
          <w:tcPr>
            <w:tcW w:w="35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22</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40" w:type="dxa"/>
            <w:vAlign w:val="bottom"/>
          </w:tcPr>
          <w:p>
            <w:pPr>
              <w:spacing w:after="0"/>
              <w:rPr>
                <w:sz w:val="21"/>
                <w:szCs w:val="21"/>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02"/>
        </w:trPr>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November 8, 2016</w:t>
            </w: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3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40" w:type="dxa"/>
            <w:vAlign w:val="bottom"/>
          </w:tcPr>
          <w:p>
            <w:pPr>
              <w:spacing w:after="0"/>
              <w:rPr>
                <w:sz w:val="21"/>
                <w:szCs w:val="21"/>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02"/>
        </w:trPr>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November 8, 2016</w:t>
            </w: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439"/>
        </w:trPr>
        <w:tc>
          <w:tcPr>
            <w:tcW w:w="3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September 30, 2016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40" w:type="dxa"/>
            <w:vAlign w:val="bottom"/>
          </w:tcPr>
          <w:p>
            <w:pPr>
              <w:spacing w:after="0"/>
              <w:rPr>
                <w:sz w:val="21"/>
                <w:szCs w:val="21"/>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02"/>
        </w:trPr>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November 8, 2016</w:t>
            </w: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3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September 30, 2016,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40" w:type="dxa"/>
            <w:vAlign w:val="bottom"/>
          </w:tcPr>
          <w:p>
            <w:pPr>
              <w:spacing w:after="0"/>
              <w:rPr>
                <w:sz w:val="21"/>
                <w:szCs w:val="21"/>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02"/>
        </w:trPr>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November 8, 2016</w:t>
            </w: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439"/>
        </w:trPr>
        <w:tc>
          <w:tcPr>
            <w:tcW w:w="3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2" w:name="page33"/>
    <w:bookmarkEnd w:id="32"/>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2019-12-29T09:43:56Z</dcterms:created>
  <dcterms:modified xsi:type="dcterms:W3CDTF">2019-12-29T09:43:56Z</dcterms:modified>
</cp:coreProperties>
</file>