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40" w:right="1900" w:hanging="332"/>
        <w:spacing w:after="0" w:line="282"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2017</w:t>
      </w:r>
    </w:p>
    <w:p>
      <w:pPr>
        <w:spacing w:after="0" w:line="16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21" w:lineRule="exact"/>
        <w:rPr>
          <w:sz w:val="24"/>
          <w:szCs w:val="24"/>
          <w:color w:val="auto"/>
        </w:rPr>
      </w:pPr>
    </w:p>
    <w:p>
      <w:pPr>
        <w:ind w:left="340" w:right="1920" w:hanging="332"/>
        <w:spacing w:after="0" w:line="282" w:lineRule="auto"/>
        <w:tabs>
          <w:tab w:leader="none" w:pos="166"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r>
        <w:rPr>
          <w:rFonts w:ascii="Arial" w:cs="Arial" w:eastAsia="Arial" w:hAnsi="Arial"/>
          <w:sz w:val="18"/>
          <w:szCs w:val="18"/>
          <w:color w:val="auto"/>
        </w:rPr>
        <w:t xml:space="preserve"> For the transition period _______ to _______</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001-33660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154940</wp:posOffset>
            </wp:positionV>
            <wp:extent cx="132905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Utah</w:t>
            </w:r>
          </w:p>
        </w:tc>
        <w:tc>
          <w:tcPr>
            <w:tcW w:w="5460" w:type="dxa"/>
            <w:vAlign w:val="bottom"/>
          </w:tcPr>
          <w:p>
            <w:pPr>
              <w:jc w:val="right"/>
              <w:ind w:right="2210"/>
              <w:spacing w:after="0"/>
              <w:rPr>
                <w:sz w:val="20"/>
                <w:szCs w:val="20"/>
                <w:color w:val="auto"/>
              </w:rPr>
            </w:pPr>
            <w:r>
              <w:rPr>
                <w:rFonts w:ascii="Arial" w:cs="Arial" w:eastAsia="Arial" w:hAnsi="Arial"/>
                <w:sz w:val="18"/>
                <w:szCs w:val="18"/>
                <w:b w:val="1"/>
                <w:bCs w:val="1"/>
                <w:color w:val="auto"/>
              </w:rPr>
              <w:t>87-0398877</w:t>
            </w:r>
          </w:p>
        </w:tc>
      </w:tr>
      <w:tr>
        <w:trPr>
          <w:trHeight w:val="230"/>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20"/>
                <w:szCs w:val="20"/>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38"/>
        </w:trPr>
        <w:tc>
          <w:tcPr>
            <w:tcW w:w="5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5460" w:type="dxa"/>
            <w:vAlign w:val="bottom"/>
          </w:tcPr>
          <w:p>
            <w:pPr>
              <w:jc w:val="right"/>
              <w:ind w:right="2430"/>
              <w:spacing w:after="0"/>
              <w:rPr>
                <w:sz w:val="20"/>
                <w:szCs w:val="20"/>
                <w:color w:val="auto"/>
              </w:rPr>
            </w:pPr>
            <w:r>
              <w:rPr>
                <w:rFonts w:ascii="Arial" w:cs="Arial" w:eastAsia="Arial" w:hAnsi="Arial"/>
                <w:sz w:val="18"/>
                <w:szCs w:val="18"/>
                <w:b w:val="1"/>
                <w:bCs w:val="1"/>
                <w:color w:val="auto"/>
              </w:rPr>
              <w:t>84116</w:t>
            </w:r>
          </w:p>
        </w:tc>
      </w:tr>
      <w:tr>
        <w:trPr>
          <w:trHeight w:val="230"/>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20"/>
                <w:szCs w:val="20"/>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(801) 975-7200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47"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Larger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sectPr>
          <w:pgSz w:w="11900" w:h="16838" w:orient="portrait"/>
          <w:cols w:equalWidth="0" w:num="3">
            <w:col w:w="6720" w:space="720"/>
            <w:col w:w="2180" w:space="80"/>
            <w:col w:w="1720"/>
          </w:cols>
          <w:pgMar w:left="240" w:top="747" w:right="239" w:bottom="1440" w:gutter="0" w:footer="0" w:header="0"/>
          <w:type w:val="continuous"/>
        </w:sectPr>
      </w:pPr>
    </w:p>
    <w:p>
      <w:pPr>
        <w:spacing w:after="0"/>
        <w:rPr>
          <w:sz w:val="20"/>
          <w:szCs w:val="20"/>
          <w:color w:val="auto"/>
        </w:rPr>
      </w:pPr>
      <w:r>
        <w:rPr>
          <w:rFonts w:ascii="Arial" w:cs="Arial" w:eastAsia="Arial" w:hAnsi="Arial"/>
          <w:sz w:val="17"/>
          <w:szCs w:val="17"/>
          <w:color w:val="auto"/>
        </w:rPr>
        <w:t>Emerging growth company [ ]</w:t>
      </w:r>
    </w:p>
    <w:p>
      <w:pPr>
        <w:sectPr>
          <w:pgSz w:w="11900" w:h="16838" w:orient="portrait"/>
          <w:cols w:equalWidth="0" w:num="1">
            <w:col w:w="11420"/>
          </w:cols>
          <w:pgMar w:left="240" w:top="747" w:right="239" w:bottom="1440" w:gutter="0" w:footer="0" w:header="0"/>
          <w:type w:val="continuous"/>
        </w:sectPr>
      </w:pPr>
    </w:p>
    <w:p>
      <w:pPr>
        <w:spacing w:after="0" w:line="22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November 3, 2017 was 8,414,153.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SEPTEMBER 30,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40" w:type="dxa"/>
            <w:vAlign w:val="bottom"/>
            <w:gridSpan w:val="8"/>
          </w:tcPr>
          <w:p>
            <w:pPr>
              <w:jc w:val="center"/>
              <w:ind w:right="4620"/>
              <w:spacing w:after="0"/>
              <w:rPr>
                <w:sz w:val="20"/>
                <w:szCs w:val="20"/>
                <w:color w:val="auto"/>
              </w:rPr>
            </w:pPr>
            <w:r>
              <w:rPr>
                <w:rFonts w:ascii="Arial" w:cs="Arial" w:eastAsia="Arial" w:hAnsi="Arial"/>
                <w:sz w:val="18"/>
                <w:szCs w:val="18"/>
                <w:b w:val="1"/>
                <w:bCs w:val="1"/>
                <w:color w:val="auto"/>
              </w:rPr>
              <w:t>INDEX</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60" w:type="dxa"/>
            <w:vAlign w:val="bottom"/>
            <w:gridSpan w:val="11"/>
            <w:shd w:val="clear" w:color="auto" w:fill="CCEEFF"/>
          </w:tcPr>
          <w:p>
            <w:pPr>
              <w:jc w:val="center"/>
              <w:ind w:right="240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w:t>
            </w:r>
          </w:p>
        </w:tc>
        <w:tc>
          <w:tcPr>
            <w:tcW w:w="3400" w:type="dxa"/>
            <w:vAlign w:val="bottom"/>
            <w:tcBorders>
              <w:top w:val="single" w:sz="8" w:color="CCEEFF"/>
            </w:tcBorders>
            <w:gridSpan w:val="10"/>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140" w:type="dxa"/>
            <w:vAlign w:val="bottom"/>
            <w:tcBorders>
              <w:top w:val="single" w:sz="8" w:color="0000EE"/>
            </w:tcBorders>
            <w:gridSpan w:val="6"/>
          </w:tcPr>
          <w:p>
            <w:pPr>
              <w:spacing w:after="0"/>
              <w:rPr>
                <w:sz w:val="15"/>
                <w:szCs w:val="15"/>
                <w:color w:val="auto"/>
              </w:rPr>
            </w:pPr>
          </w:p>
        </w:tc>
        <w:tc>
          <w:tcPr>
            <w:tcW w:w="3460" w:type="dxa"/>
            <w:vAlign w:val="bottom"/>
            <w:tcBorders>
              <w:top w:val="single" w:sz="8" w:color="CCEEFF"/>
            </w:tcBorders>
            <w:gridSpan w:val="4"/>
          </w:tcPr>
          <w:p>
            <w:pPr>
              <w:spacing w:after="0"/>
              <w:rPr>
                <w:sz w:val="15"/>
                <w:szCs w:val="15"/>
                <w:color w:val="auto"/>
              </w:rPr>
            </w:pPr>
          </w:p>
        </w:tc>
        <w:tc>
          <w:tcPr>
            <w:tcW w:w="5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20" w:type="dxa"/>
            <w:vAlign w:val="bottom"/>
            <w:gridSpan w:val="19"/>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September 30, 2017 and December 31, 2016</w:t>
              </w:r>
            </w:hyperlink>
          </w:p>
        </w:tc>
        <w:tc>
          <w:tcPr>
            <w:tcW w:w="58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20" w:type="dxa"/>
            <w:vAlign w:val="bottom"/>
            <w:gridSpan w:val="19"/>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Condensed Consolidated Statements of Operations and Comprehensive Income (Loss) for the three and nine months ended</w:t>
              </w:r>
            </w:hyperlink>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2017 and 2016</w:t>
              </w:r>
            </w:hyperlink>
          </w:p>
        </w:tc>
        <w:tc>
          <w:tcPr>
            <w:tcW w:w="16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20" w:type="dxa"/>
            <w:vAlign w:val="bottom"/>
            <w:gridSpan w:val="19"/>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 for the nine months ended September 30, 2017 and 2016</w:t>
              </w:r>
            </w:hyperlink>
          </w:p>
        </w:tc>
        <w:tc>
          <w:tcPr>
            <w:tcW w:w="58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20" w:type="dxa"/>
            <w:vAlign w:val="bottom"/>
            <w:gridSpan w:val="19"/>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Notes to Condensed Consolidated Financial Statements</w:t>
              </w:r>
            </w:hyperlink>
          </w:p>
        </w:tc>
        <w:tc>
          <w:tcPr>
            <w:tcW w:w="58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10000" w:type="dxa"/>
            <w:vAlign w:val="bottom"/>
            <w:gridSpan w:val="20"/>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580" w:type="dxa"/>
            <w:vAlign w:val="bottom"/>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10000" w:type="dxa"/>
            <w:vAlign w:val="bottom"/>
            <w:gridSpan w:val="20"/>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58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10000" w:type="dxa"/>
            <w:vAlign w:val="bottom"/>
            <w:gridSpan w:val="20"/>
          </w:tcPr>
          <w:p>
            <w:pPr>
              <w:spacing w:after="0"/>
              <w:rPr>
                <w:sz w:val="20"/>
                <w:szCs w:val="20"/>
                <w:color w:val="auto"/>
              </w:rPr>
            </w:pPr>
            <w:r>
              <w:rPr>
                <w:rFonts w:ascii="Arial" w:cs="Arial" w:eastAsia="Arial" w:hAnsi="Arial"/>
                <w:sz w:val="18"/>
                <w:szCs w:val="18"/>
                <w:color w:val="auto"/>
              </w:rPr>
              <w:t>Controls and Procedures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0" w:type="dxa"/>
            <w:vAlign w:val="bottom"/>
            <w:gridSpan w:val="10"/>
          </w:tcPr>
          <w:p>
            <w:pPr>
              <w:jc w:val="center"/>
              <w:ind w:right="3460"/>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 OTHER INFORMATION</w:t>
              </w:r>
            </w:hyperlink>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10000" w:type="dxa"/>
            <w:vAlign w:val="bottom"/>
            <w:gridSpan w:val="20"/>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58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10000" w:type="dxa"/>
            <w:vAlign w:val="bottom"/>
            <w:gridSpan w:val="20"/>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58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10000" w:type="dxa"/>
            <w:vAlign w:val="bottom"/>
            <w:gridSpan w:val="20"/>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58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10000" w:type="dxa"/>
            <w:vAlign w:val="bottom"/>
            <w:gridSpan w:val="20"/>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58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10000" w:type="dxa"/>
            <w:vAlign w:val="bottom"/>
            <w:gridSpan w:val="20"/>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58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10000" w:type="dxa"/>
            <w:vAlign w:val="bottom"/>
            <w:gridSpan w:val="20"/>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58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10000" w:type="dxa"/>
            <w:vAlign w:val="bottom"/>
            <w:gridSpan w:val="20"/>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58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gridSpan w:val="2"/>
          </w:tcPr>
          <w:p>
            <w:pPr>
              <w:spacing w:after="0"/>
              <w:rPr>
                <w:sz w:val="24"/>
                <w:szCs w:val="24"/>
                <w:color w:val="auto"/>
              </w:rPr>
            </w:pPr>
          </w:p>
        </w:tc>
        <w:tc>
          <w:tcPr>
            <w:tcW w:w="4380" w:type="dxa"/>
            <w:vAlign w:val="bottom"/>
            <w:tcBorders>
              <w:bottom w:val="single" w:sz="8" w:color="auto"/>
            </w:tcBorders>
            <w:gridSpan w:val="11"/>
          </w:tcPr>
          <w:p>
            <w:pPr>
              <w:jc w:val="right"/>
              <w:spacing w:after="0"/>
              <w:rPr>
                <w:sz w:val="20"/>
                <w:szCs w:val="20"/>
                <w:color w:val="auto"/>
              </w:rPr>
            </w:pPr>
            <w:r>
              <w:rPr>
                <w:rFonts w:ascii="Arial" w:cs="Arial" w:eastAsia="Arial" w:hAnsi="Arial"/>
                <w:sz w:val="18"/>
                <w:szCs w:val="18"/>
                <w:color w:val="auto"/>
              </w:rPr>
              <w:t>1</w:t>
            </w:r>
          </w:p>
        </w:tc>
        <w:tc>
          <w:tcPr>
            <w:tcW w:w="1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69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1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3,953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Receivables, net of allowance for doubtful accounts of $304 and $187, as of September 30,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2017 and December 31, 2016 respectively</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8,061</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19,695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11,377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37"/>
        </w:trPr>
        <w:tc>
          <w:tcPr>
            <w:tcW w:w="69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2,207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69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16,480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21,365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1,587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37"/>
        </w:trPr>
        <w:tc>
          <w:tcPr>
            <w:tcW w:w="690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6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ind w:left="148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5,811</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37"/>
        </w:trPr>
        <w:tc>
          <w:tcPr>
            <w:tcW w:w="690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3,870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16"/>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12,788</w:t>
            </w:r>
          </w:p>
        </w:tc>
        <w:tc>
          <w:tcPr>
            <w:tcW w:w="1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10,675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w w:val="95"/>
              </w:rPr>
              <w:t>Common stock, par value $0.001, 50,000,000 shares authorized, 8,433,182 and 8,812,644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w w:val="91"/>
              </w:rPr>
              <w:t>shares issued and outstanding as of September 30, 2017 and December 31, 2016 respectively</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46,669</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14,325</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30,976</w:t>
            </w: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61,584</w:t>
            </w:r>
          </w:p>
        </w:tc>
        <w:tc>
          <w:tcPr>
            <w:tcW w:w="1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77,449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74,372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8"/>
                <w:szCs w:val="18"/>
                <w:b w:val="1"/>
                <w:bCs w:val="1"/>
                <w:color w:val="auto"/>
                <w:w w:val="93"/>
              </w:rPr>
              <w:t>Three months ended September 30,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8"/>
          </w:tcPr>
          <w:p>
            <w:pPr>
              <w:ind w:left="14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13,293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14,110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8,393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7,695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5,597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an intangible asset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12,724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12,724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(4,152)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(4,313)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8,520,041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8,921,480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8,641,173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9,076,305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8,520,041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9,164,165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8,641,173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9,452,616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(9,276)</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18"/>
                <w:szCs w:val="18"/>
                <w:color w:val="auto"/>
              </w:rPr>
            </w:pP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(10,564)</w:t>
            </w:r>
          </w:p>
        </w:tc>
        <w:tc>
          <w:tcPr>
            <w:tcW w:w="220" w:type="dxa"/>
            <w:vAlign w:val="bottom"/>
          </w:tcPr>
          <w:p>
            <w:pPr>
              <w:spacing w:after="0"/>
              <w:rPr>
                <w:sz w:val="18"/>
                <w:szCs w:val="18"/>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ind w:left="160"/>
              <w:spacing w:after="0" w:line="201" w:lineRule="exact"/>
              <w:rPr>
                <w:sz w:val="20"/>
                <w:szCs w:val="20"/>
                <w:color w:val="auto"/>
              </w:rPr>
            </w:pPr>
            <w:r>
              <w:rPr>
                <w:rFonts w:ascii="Arial" w:cs="Arial" w:eastAsia="Arial" w:hAnsi="Arial"/>
                <w:sz w:val="18"/>
                <w:szCs w:val="18"/>
                <w:color w:val="auto"/>
                <w:w w:val="98"/>
              </w:rPr>
              <w:t>Change in unrealized gains (losses) on available-for-</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sale securities, net of tax</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(9,243</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(10,408</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w w:val="93"/>
              </w:rPr>
              <w:t>Nine months ended September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ind w:left="800"/>
              <w:spacing w:after="0"/>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income (loss)</w:t>
            </w:r>
          </w:p>
        </w:tc>
        <w:tc>
          <w:tcPr>
            <w:tcW w:w="1720" w:type="dxa"/>
            <w:vAlign w:val="bottom"/>
            <w:gridSpan w:val="2"/>
          </w:tcPr>
          <w:p>
            <w:pPr>
              <w:jc w:val="right"/>
              <w:ind w:right="111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(10,564)</w:t>
            </w:r>
          </w:p>
        </w:tc>
        <w:tc>
          <w:tcPr>
            <w:tcW w:w="144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Adjustments to reconcile net income (loss) to net cash provided by (used in) operating</w:t>
            </w:r>
          </w:p>
        </w:tc>
        <w:tc>
          <w:tcPr>
            <w:tcW w:w="4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Depreciation and amortization expense</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goodwill and intangible assets</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13,460</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Amortization of deferred rent</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Provision for (recovery of) doubtful accounts, net</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Write-down of inventory to net realizable value</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Loss on disposal of assets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benefit from exercise of stock options</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(5,221)</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Receivables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(8,964)</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payable</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Deferred product revenue</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44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(7,619</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7,439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Purchase of intangibles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and sales of marketable securities</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9,946</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(3,915)</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(6,608)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Capitalized patent defense costs</w:t>
            </w: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investing activities</w:t>
            </w:r>
          </w:p>
        </w:tc>
        <w:tc>
          <w:tcPr>
            <w:tcW w:w="44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4,446</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equity-based compensation programs</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Tax benefit from equity-based compensation programs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Repurchase and cancellation of stock options</w:t>
            </w: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Dividend payments</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(1,650)</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Repurchase and cancellation of stock</w:t>
            </w: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(4,151)</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44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(5,969</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(6,807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12,100</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11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40" w:type="dxa"/>
            <w:vAlign w:val="bottom"/>
          </w:tcPr>
          <w:p>
            <w:pPr>
              <w:spacing w:after="0"/>
              <w:rPr>
                <w:sz w:val="20"/>
                <w:szCs w:val="20"/>
                <w:color w:val="auto"/>
              </w:rPr>
            </w:pPr>
          </w:p>
        </w:tc>
        <w:tc>
          <w:tcPr>
            <w:tcW w:w="33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b w:val="1"/>
                <w:bCs w:val="1"/>
                <w:color w:val="auto"/>
              </w:rPr>
              <w:t>Nine months ended September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540" w:type="dxa"/>
            <w:vAlign w:val="bottom"/>
          </w:tcPr>
          <w:p>
            <w:pPr>
              <w:spacing w:after="0"/>
              <w:rPr>
                <w:sz w:val="20"/>
                <w:szCs w:val="20"/>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3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46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9" w:lineRule="exact"/>
        <w:rPr>
          <w:sz w:val="20"/>
          <w:szCs w:val="20"/>
          <w:color w:val="auto"/>
        </w:rPr>
      </w:pPr>
    </w:p>
    <w:p>
      <w:pPr>
        <w:jc w:val="both"/>
        <w:ind w:right="20"/>
        <w:spacing w:after="0" w:line="210" w:lineRule="auto"/>
        <w:rPr>
          <w:sz w:val="20"/>
          <w:szCs w:val="20"/>
          <w:color w:val="auto"/>
        </w:rPr>
      </w:pPr>
      <w:r>
        <w:rPr>
          <w:rFonts w:ascii="Arial" w:cs="Arial" w:eastAsia="Arial" w:hAnsi="Arial"/>
          <w:sz w:val="18"/>
          <w:szCs w:val="18"/>
          <w:color w:val="auto"/>
        </w:rPr>
        <w:t>The fiscal year for ClearOne is the 12 months ending on December 31</w:t>
      </w:r>
      <w:r>
        <w:rPr>
          <w:rFonts w:ascii="Arial" w:cs="Arial" w:eastAsia="Arial" w:hAnsi="Arial"/>
          <w:sz w:val="30"/>
          <w:szCs w:val="30"/>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September 30, 2017 and December 31, 2016, the results of operations for the three and nine months ended September 30, 2017 and 2016, and the cash flows for the nine months ended September 30, 2017 and 2016. The results of operations for the three months and nine months ended September 30, 2017 and 2016 are not necessarily indicative of the results for a full-year period. These interim unaudited condensed consolidated financial statements should be read in conjunction with the financial statements included in our Annual Report on Form 10-K for the year ended December 31, 2016 filed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significant accounting policies were described in Note 1 to the audited consolidated financial statements included in the Company’s annual report on Form 10-K for the year ended December 31, 2016. There have been no changes to these policies during the nine months ended September 30, 2017 that are of significance or potential significance to the Company except for the treatment of patent defense costs described below.</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Patent Defense Costs - </w:t>
      </w:r>
      <w:r>
        <w:rPr>
          <w:rFonts w:ascii="Arial" w:cs="Arial" w:eastAsia="Arial" w:hAnsi="Arial"/>
          <w:sz w:val="17"/>
          <w:szCs w:val="17"/>
          <w:color w:val="auto"/>
        </w:rPr>
        <w:t>The Company relies on patents and proprietary technology and seeks patent protection for products and production methods.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capitalizes external legal costs incurred in the defense of its patents when it believes that a future economic benefit will result from the defense and a successful outcome of the legal action is probable. These costs are amortized over the remaining estimated useful life of the patent, which is 15 to 17 years. The Company’s assessment of future economic benefit and/or the successful outcome of legal action related to patent defense involves considerable management judgment and a different outcome could result in material write-offs of the carrying value of these assets.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2014, the FASB released Accounting Standards Update (ASU) No.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We plan to adopt the standard when it becomes effective for us beginning January 1, 2018. We currently anticipate adopting the standard using the modified retrospective method with a cumulative catch up adjustment and providing additional disclosures comparing results to previous rules. We continue to evaluate the impact of the new standard on our consolidated financial statements but anticipate this standard will have a material impact on our consolidated financial statements.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released ASU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is effective for fiscal years beginning after December 15, 2018 and interim periods within fiscal years beginning after December 15, 2018. Early application will be permitted for all organizations. The Company has not yet selected a transition method and is currently evaluating the effect that the updated standard will have on the consolidated financial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2016, the FASB released ASU No. 2016-09, Compensation - Stock Compensation: Improvements to Employee Share-Based Payment Accounting. The standard is intended to simplify several areas of accounting for share-based compensation arrangements, including the income tax impact, classification on the statement of cash flows and forfeitures. ASU 2016-09 was effective for the Company on January 1, 2017. As a result of the adoption of ASU 2016-09, excess tax benefits or deficiencies related to stock-based compensation are now reflected in the Consolidated Statements of Operations as a component of the provision for income taxes, whereas they previously were recognized in additional paid-in capital. In addition, our Consolidated Statements of Cash Flows will now present, on a prospective basis, excess tax benefits as an operating activity. Finally, we have elected to account for forfeitures as they occur, rather than estimate expected forfeitures.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2016, the FASB released ASU No. 2016-15, Classification of Certain Cash Receipts and Cash Payments, which addresses eight specific cash flow issues with the objective of reducing the existing diversity in practice. ASU 2016-15 is effective for the Company beginning January 1, 2018 and we are currently evaluating the impact that ASU 2016-15 will have on our consolidated financial statements.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The new guidance provides clarity and reduces both (1) diversity in practice and (2) cost and complexity when applying the guidance in Topic 718, Compensation—Stock Compensation, to a change to the terms or conditions of a share-based payment award. The accounting standard update will be effective for The Company beginning January 1, 2018 on a prospective basis, and early adoption is permitted. The Company has not yet selected a transition method and is currently evaluating the effect that the updated standard will have on the consolidated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(Loss)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(loss) per common share is computed based on the weighted-average number of common shares outstanding and, when appropriate, dilutive potential common stock outstanding during the period. Stock options are considered to be potential common stock. The computation of diluted earnings (loss) per share does not assume exercise or conversion of securities that would have an anti-dilutive effect.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common share: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6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w w:val="96"/>
              </w:rPr>
              <w:t>Three months ended September 30,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gridSpan w:val="6"/>
          </w:tcPr>
          <w:p>
            <w:pPr>
              <w:ind w:left="18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(9,276)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1,209</w:t>
            </w:r>
          </w:p>
        </w:tc>
        <w:tc>
          <w:tcPr>
            <w:tcW w:w="1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(10,564)</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8,520,041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8,921,480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8,641,173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9,076,305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Dilutive common stock equivalents using treasury</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method</w:t>
            </w:r>
          </w:p>
        </w:tc>
        <w:tc>
          <w:tcPr>
            <w:tcW w:w="2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242,686</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8,520,041</w:t>
            </w:r>
          </w:p>
        </w:tc>
        <w:tc>
          <w:tcPr>
            <w:tcW w:w="34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9,164,165</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8,641,173</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9,452,616</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0.14</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0.13</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outstanding</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782,012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832,953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900,687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Anti-dilutive options not included in the computations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782,012</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312,372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832,953</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312,477</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classified its marketable securities as available-for-sale securities. These securities are carried at estimated fair value with unrealized holding gains and losses included in accumulated other comprehensive income (loss) in stockholders’ equity until realized. Gains and losses on marketable security transactions are reported on the specific-identification method. Dividend and interest income are recognized when earned.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at September 30, 2017 and December 31, 2016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b w:val="1"/>
                <w:bCs w:val="1"/>
                <w:color w:val="auto"/>
                <w:w w:val="89"/>
              </w:rPr>
              <w:t>unrealized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Estimated</w:t>
            </w:r>
          </w:p>
        </w:tc>
      </w:tr>
      <w:tr>
        <w:trPr>
          <w:trHeight w:val="241"/>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 cost</w:t>
            </w:r>
          </w:p>
        </w:tc>
        <w:tc>
          <w:tcPr>
            <w:tcW w:w="130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holding gains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holding losses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2017</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 and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14,446</w:t>
            </w: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65</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14,459</w:t>
            </w:r>
          </w:p>
        </w:tc>
      </w:tr>
      <w:tr>
        <w:trPr>
          <w:trHeight w:val="237"/>
        </w:trPr>
        <w:tc>
          <w:tcPr>
            <w:tcW w:w="4360" w:type="dxa"/>
            <w:vAlign w:val="bottom"/>
          </w:tcPr>
          <w:p>
            <w:pPr>
              <w:ind w:left="360"/>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5,974</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5,974</w:t>
            </w:r>
          </w:p>
        </w:tc>
      </w:tr>
      <w:tr>
        <w:trPr>
          <w:trHeight w:val="230"/>
        </w:trPr>
        <w:tc>
          <w:tcPr>
            <w:tcW w:w="4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unrealized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unrealized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r>
      <w:tr>
        <w:trPr>
          <w:trHeight w:val="241"/>
        </w:trPr>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Amortized cost</w:t>
            </w:r>
          </w:p>
        </w:tc>
        <w:tc>
          <w:tcPr>
            <w:tcW w:w="200" w:type="dxa"/>
            <w:vAlign w:val="bottom"/>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holding gains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holding losses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 and notes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19,970</w:t>
            </w:r>
          </w:p>
        </w:tc>
      </w:tr>
      <w:tr>
        <w:trPr>
          <w:trHeight w:val="237"/>
        </w:trPr>
        <w:tc>
          <w:tcPr>
            <w:tcW w:w="4360" w:type="dxa"/>
            <w:vAlign w:val="bottom"/>
          </w:tcPr>
          <w:p>
            <w:pPr>
              <w:ind w:left="3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6,425</w:t>
            </w:r>
          </w:p>
        </w:tc>
      </w:tr>
      <w:tr>
        <w:trPr>
          <w:trHeight w:val="230"/>
        </w:trPr>
        <w:tc>
          <w:tcPr>
            <w:tcW w:w="4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September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3"/>
              </w:rPr>
              <w:t>Amortized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Estimated</w:t>
            </w:r>
          </w:p>
        </w:tc>
      </w:tr>
      <w:tr>
        <w:trPr>
          <w:trHeight w:val="241"/>
        </w:trPr>
        <w:tc>
          <w:tcPr>
            <w:tcW w:w="7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0"/>
              </w:rPr>
              <w:t>cost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2017</w:t>
            </w:r>
          </w:p>
        </w:tc>
        <w:tc>
          <w:tcPr>
            <w:tcW w:w="3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Due within one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3,953</w:t>
            </w:r>
          </w:p>
        </w:tc>
        <w:tc>
          <w:tcPr>
            <w:tcW w:w="80" w:type="dxa"/>
            <w:vAlign w:val="bottom"/>
          </w:tcPr>
          <w:p>
            <w:pPr>
              <w:spacing w:after="0"/>
              <w:rPr>
                <w:sz w:val="18"/>
                <w:szCs w:val="18"/>
                <w:color w:val="auto"/>
              </w:rPr>
            </w:pPr>
          </w:p>
        </w:tc>
      </w:tr>
      <w:tr>
        <w:trPr>
          <w:trHeight w:val="25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after one year through five years</w:t>
            </w:r>
          </w:p>
        </w:tc>
        <w:tc>
          <w:tcPr>
            <w:tcW w:w="3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16,475</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16,480</w:t>
            </w:r>
          </w:p>
        </w:tc>
        <w:tc>
          <w:tcPr>
            <w:tcW w:w="80" w:type="dxa"/>
            <w:vAlign w:val="bottom"/>
            <w:shd w:val="clear" w:color="auto" w:fill="CCEEFF"/>
          </w:tcPr>
          <w:p>
            <w:pPr>
              <w:spacing w:after="0"/>
              <w:rPr>
                <w:sz w:val="21"/>
                <w:szCs w:val="21"/>
                <w:color w:val="auto"/>
              </w:rPr>
            </w:pPr>
          </w:p>
        </w:tc>
      </w:tr>
      <w:tr>
        <w:trPr>
          <w:trHeight w:val="217"/>
        </w:trPr>
        <w:tc>
          <w:tcPr>
            <w:tcW w:w="75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available-for-sale securities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20,420</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Debt securities in an unrealized loss position as of September 30, 2017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7"/>
          </w:tcPr>
          <w:p>
            <w:pPr>
              <w:ind w:left="260"/>
              <w:spacing w:after="0"/>
              <w:rPr>
                <w:sz w:val="20"/>
                <w:szCs w:val="20"/>
                <w:color w:val="auto"/>
              </w:rPr>
            </w:pPr>
            <w:r>
              <w:rPr>
                <w:rFonts w:ascii="Arial" w:cs="Arial" w:eastAsia="Arial" w:hAnsi="Arial"/>
                <w:sz w:val="18"/>
                <w:szCs w:val="18"/>
                <w:b w:val="1"/>
                <w:bCs w:val="1"/>
                <w:color w:val="auto"/>
              </w:rPr>
              <w:t>Less than 12 months</w:t>
            </w:r>
          </w:p>
        </w:tc>
        <w:tc>
          <w:tcPr>
            <w:tcW w:w="100" w:type="dxa"/>
            <w:vAlign w:val="bottom"/>
          </w:tcPr>
          <w:p>
            <w:pPr>
              <w:spacing w:after="0"/>
              <w:rPr>
                <w:sz w:val="20"/>
                <w:szCs w:val="20"/>
                <w:color w:val="auto"/>
              </w:rPr>
            </w:pPr>
          </w:p>
        </w:tc>
        <w:tc>
          <w:tcPr>
            <w:tcW w:w="216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rPr>
              <w:t>More than 12 months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Total</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ind w:right="20"/>
              <w:spacing w:after="0" w:line="198" w:lineRule="exact"/>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3"/>
          </w:tcPr>
          <w:p>
            <w:pPr>
              <w:jc w:val="center"/>
              <w:ind w:right="80"/>
              <w:spacing w:after="0" w:line="198" w:lineRule="exact"/>
              <w:rPr>
                <w:sz w:val="20"/>
                <w:szCs w:val="20"/>
                <w:color w:val="auto"/>
              </w:rPr>
            </w:pPr>
            <w:r>
              <w:rPr>
                <w:rFonts w:ascii="Arial" w:cs="Arial" w:eastAsia="Arial" w:hAnsi="Arial"/>
                <w:sz w:val="18"/>
                <w:szCs w:val="18"/>
                <w:b w:val="1"/>
                <w:bCs w:val="1"/>
                <w:color w:val="auto"/>
                <w:w w:val="84"/>
              </w:rPr>
              <w:t>Gross</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unrealized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unrealized</w:t>
            </w:r>
          </w:p>
        </w:tc>
        <w:tc>
          <w:tcPr>
            <w:tcW w:w="0" w:type="dxa"/>
            <w:vAlign w:val="bottom"/>
          </w:tcPr>
          <w:p>
            <w:pPr>
              <w:spacing w:after="0"/>
              <w:rPr>
                <w:sz w:val="1"/>
                <w:szCs w:val="1"/>
                <w:color w:val="auto"/>
              </w:rPr>
            </w:pPr>
          </w:p>
        </w:tc>
      </w:tr>
      <w:tr>
        <w:trPr>
          <w:trHeight w:val="216"/>
        </w:trPr>
        <w:tc>
          <w:tcPr>
            <w:tcW w:w="41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8"/>
                <w:szCs w:val="18"/>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holding</w:t>
            </w:r>
          </w:p>
        </w:tc>
        <w:tc>
          <w:tcPr>
            <w:tcW w:w="1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holding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holding</w:t>
            </w:r>
          </w:p>
        </w:tc>
        <w:tc>
          <w:tcPr>
            <w:tcW w:w="0" w:type="dxa"/>
            <w:vAlign w:val="bottom"/>
          </w:tcPr>
          <w:p>
            <w:pPr>
              <w:spacing w:after="0"/>
              <w:rPr>
                <w:sz w:val="1"/>
                <w:szCs w:val="1"/>
                <w:color w:val="auto"/>
              </w:rPr>
            </w:pPr>
          </w:p>
        </w:tc>
      </w:tr>
      <w:tr>
        <w:trPr>
          <w:trHeight w:val="241"/>
        </w:trPr>
        <w:tc>
          <w:tcPr>
            <w:tcW w:w="4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3"/>
              </w:rPr>
              <w:t>fair value</w:t>
            </w:r>
          </w:p>
        </w:tc>
        <w:tc>
          <w:tcPr>
            <w:tcW w:w="100" w:type="dxa"/>
            <w:vAlign w:val="bottom"/>
          </w:tcPr>
          <w:p>
            <w:pPr>
              <w:spacing w:after="0"/>
              <w:rPr>
                <w:sz w:val="20"/>
                <w:szCs w:val="20"/>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78"/>
              </w:rPr>
              <w:t>losses</w:t>
            </w:r>
          </w:p>
        </w:tc>
        <w:tc>
          <w:tcPr>
            <w:tcW w:w="100" w:type="dxa"/>
            <w:vAlign w:val="bottom"/>
          </w:tcPr>
          <w:p>
            <w:pPr>
              <w:spacing w:after="0"/>
              <w:rPr>
                <w:sz w:val="20"/>
                <w:szCs w:val="20"/>
                <w:color w:val="auto"/>
              </w:rPr>
            </w:pP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78"/>
              </w:rPr>
              <w:t>losses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6"/>
              </w:rPr>
              <w:t>fair 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74"/>
              </w:rPr>
              <w:t>losses</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September 30, 2017</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4,288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2,148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6,436</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3,157</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4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7,445</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10,159</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was a decrease in goodwill during the three and nine months ended September 30, 2017 from $12,724 as of December 31, 2016 to $0 as of September 30, 2017 due to the impairment of goodwill. During the three months ended September 30, 2017, there was a decrease in the Company’s market capitalization which was determined to be a triggering event for potential goodwill impairment. Accordingly, the Company performed a goodwill impairment analysis. The Company utilized the market capitalization to estimate the fair value. Our total stockholders’ equity exceeded the estimated fair value. The failure of step one of the goodwill impairment test triggered a step two impairment test. As a result of step two of the impairment test, the Company determined the implied fair value of goodwill and concluded that the carrying value of goodwill exceeded its implied fair value as of September 30, 2017. Accordingly, an impairment charge of $12,724, which represents a full impairment charge, was recognized in the three months ended September 30,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2017 and December 31, 2016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 useful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466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4"/>
              </w:rPr>
              <w:t>lives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30, 2017</w:t>
            </w:r>
          </w:p>
        </w:tc>
        <w:tc>
          <w:tcPr>
            <w:tcW w:w="180" w:type="dxa"/>
            <w:vAlign w:val="bottom"/>
          </w:tcPr>
          <w:p>
            <w:pPr>
              <w:spacing w:after="0"/>
              <w:rPr>
                <w:sz w:val="20"/>
                <w:szCs w:val="20"/>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December 31, 2016</w:t>
            </w: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Tradename</w:t>
            </w: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 to 7 years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10 years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7,058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6,010</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 to 15 years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Other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3 to 5 years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w:t>
            </w:r>
          </w:p>
        </w:tc>
        <w:tc>
          <w:tcPr>
            <w:tcW w:w="60" w:type="dxa"/>
            <w:vAlign w:val="bottom"/>
            <w:shd w:val="clear" w:color="auto" w:fill="CCEEFF"/>
          </w:tcPr>
          <w:p>
            <w:pPr>
              <w:spacing w:after="0"/>
              <w:rPr>
                <w:sz w:val="18"/>
                <w:szCs w:val="18"/>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(5,635)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(5,553)</w:t>
            </w:r>
          </w:p>
        </w:tc>
      </w:tr>
      <w:tr>
        <w:trPr>
          <w:trHeight w:val="230"/>
        </w:trPr>
        <w:tc>
          <w:tcPr>
            <w:tcW w:w="4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2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and nine months ended September 30, 2017 and 2016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p>
        </w:tc>
        <w:tc>
          <w:tcPr>
            <w:tcW w:w="346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37"/>
        </w:trPr>
        <w:tc>
          <w:tcPr>
            <w:tcW w:w="43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100" w:type="dxa"/>
            <w:vAlign w:val="bottom"/>
            <w:shd w:val="clear" w:color="auto" w:fill="CCEEFF"/>
          </w:tcPr>
          <w:p>
            <w:pPr>
              <w:jc w:val="right"/>
              <w:ind w:right="93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three and nine months ended September 30, 2017 we recorded a $0.7 million charge for impairment of an intangible asset consisting of customer relationships.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The estimated future amortization expense of intangible assets is as follows: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3"/>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ending December 31,</w:t>
            </w:r>
          </w:p>
        </w:tc>
        <w:tc>
          <w:tcPr>
            <w:tcW w:w="1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2017 (remainder)</w:t>
            </w:r>
          </w:p>
        </w:tc>
        <w:tc>
          <w:tcPr>
            <w:tcW w:w="68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829</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546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w:t>
            </w: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2,391</w:t>
            </w:r>
          </w:p>
        </w:tc>
      </w:tr>
      <w:tr>
        <w:trPr>
          <w:trHeight w:val="230"/>
        </w:trPr>
        <w:tc>
          <w:tcPr>
            <w:tcW w:w="64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as of September 30, 2017 and December 31, 2016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w:t>
            </w:r>
          </w:p>
        </w:tc>
        <w:tc>
          <w:tcPr>
            <w:tcW w:w="1200" w:type="dxa"/>
            <w:vAlign w:val="bottom"/>
            <w:tcBorders>
              <w:bottom w:val="single" w:sz="8" w:color="auto"/>
            </w:tcBorders>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7"/>
                <w:szCs w:val="17"/>
                <w:color w:val="auto"/>
              </w:rPr>
            </w:pPr>
          </w:p>
        </w:tc>
        <w:tc>
          <w:tcPr>
            <w:tcW w:w="120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2,291</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9,086</w:t>
            </w:r>
          </w:p>
        </w:tc>
        <w:tc>
          <w:tcPr>
            <w:tcW w:w="4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0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19,695</w:t>
            </w:r>
          </w:p>
        </w:tc>
        <w:tc>
          <w:tcPr>
            <w:tcW w:w="8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11,377</w:t>
            </w:r>
          </w:p>
        </w:tc>
        <w:tc>
          <w:tcPr>
            <w:tcW w:w="4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1,065</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finished goods do not include distributor channel inventories in the amounts of approximately $1,394 and $1,530 as of September 30, 2017 and December 31, 2016, respectively. Distributor channel inventories represent inventories at distributors and other customers where revenue recognition criteria have not yet been achieved.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incurred on valuation of inventory at lower of cost or market value and write-off of obsolete inventory during the three months ended September 30, 2016 was $328. During the three months ended September 30, 2017 there was no write off on the valuation of inventory.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share-based incentive plans offering stock options primarily consists of two plans. Under both plans, one new share is issued for each stock option exercised. The plans are described below.</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1998 Incentive Plan (the “1998 Plan”) was the Company’s primary plan through November 2007. Under this plan shares of common stock were made available for issuance to employees and directors. Through December 1999, 1,066,000 options were granted that would cliff vest after 9.8 years; however, such vesting was accelerated for 637,089 of these options upon meeting certain earnings per share goals through the fiscal year ended September 30, 2003. Subsequent to December 1999 and through March 2002, 1,248,250 options were granted that would cliff vest after 6.0 years; however, such vesting was accelerated for 300,494 of these options upon meeting certain earnings per share goals through the fiscal year ended September 30, 2005.</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2007 Equity Incentive Plan (the “2007 Plan”) was restated and approved by the shareholders on December 12, 2015.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Of the options granted subsequent to March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All options outstanding as of September 30, 2017 had contractual lives of ten years.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1998 Plan, 2,500,000 shares were authorized for grant. As of September 30, 2017, there are no options outstanding under the 1998 Plan. The remaining 50,000 of these options were exercised on July 11, 2017.</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2017, there were 767,156 options outstanding under the 2007 Plan. As of September 30, 2017, the 2007 Plan had 471,500 authorized unissued options.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Company’s plans for the nine months ended September 30, 2017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Weighted average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3"/>
          </w:tcPr>
          <w:p>
            <w:pPr>
              <w:ind w:left="140"/>
              <w:spacing w:after="0"/>
              <w:rPr>
                <w:sz w:val="20"/>
                <w:szCs w:val="20"/>
                <w:color w:val="auto"/>
              </w:rPr>
            </w:pPr>
            <w:r>
              <w:rPr>
                <w:rFonts w:ascii="Arial" w:cs="Arial" w:eastAsia="Arial" w:hAnsi="Arial"/>
                <w:sz w:val="18"/>
                <w:szCs w:val="18"/>
                <w:b w:val="1"/>
                <w:bCs w:val="1"/>
                <w:color w:val="auto"/>
              </w:rPr>
              <w:t>Number of shares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Options outstanding at beginning of year</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850,232</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105,000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Exercised</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(178,662)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2"/>
          </w:tcPr>
          <w:p>
            <w:pPr>
              <w:ind w:left="160"/>
              <w:spacing w:after="0"/>
              <w:rPr>
                <w:sz w:val="20"/>
                <w:szCs w:val="20"/>
                <w:color w:val="auto"/>
              </w:rPr>
            </w:pPr>
            <w:r>
              <w:rPr>
                <w:rFonts w:ascii="Arial" w:cs="Arial" w:eastAsia="Arial" w:hAnsi="Arial"/>
                <w:sz w:val="18"/>
                <w:szCs w:val="18"/>
                <w:color w:val="auto"/>
              </w:rPr>
              <w:t>Canceled or expired</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(2,311)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Options outstanding at September 30, 2017</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exercisable at end of September 30, 2017</w:t>
            </w:r>
          </w:p>
        </w:tc>
        <w:tc>
          <w:tcPr>
            <w:tcW w:w="16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gridSpan w:val="2"/>
            <w:vMerge w:val="continue"/>
          </w:tcPr>
          <w:p>
            <w:pPr>
              <w:spacing w:after="0"/>
              <w:rPr>
                <w:sz w:val="17"/>
                <w:szCs w:val="17"/>
                <w:color w:val="auto"/>
              </w:rPr>
            </w:pP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502,940</w:t>
            </w:r>
          </w:p>
        </w:tc>
        <w:tc>
          <w:tcPr>
            <w:tcW w:w="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2017, the total remaining unrecognized compensation cost related to non-vested stock options, net of forfeitures, was approximately $975, which will be recognized over a weighted average period of 1.99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Repurchase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March 11, 2016 to March 17, 2016, the Company offered to repurchase eligible vested options to purchase shares under the 1998 Plan and the 2007 Plan from employees. The Company repurchased delivered options at a repurchase price equal to the difference between the closing market price on the date of the employee’s communication of accepting the repurchase offer and the exercise price of such employee’s delivered options, subject to applicable withholding taxes and charges. The Company repurchased 225,542 stock options from employees at an average purchase price of $7.77.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issues shares to employees under the Company’s 2014 Employee Stock Purchase Plan (the “ESPP”). The ESPP was approved by the Company’s shareholders on December 12, 2014. As of September 30, 2017, 471,160 of the originally approved 500,000 shares were available for offerings under the ESPP. Offering periods under the ESPP commence on each January 1 and July 1, and continue for a duration of six months. The ESPP is available to all employees who do not own, or not are deemed to own, shares of stock making up an excess of 5% of the combined voting power of the Company and its subsidiaries. During each offering period, each eligible employee may purchase shares under the ESPP after authorizing payroll deductions. Under the ESPP, each employee may purchase up to the lesser of 2,500 shares or $25 of fair market value (based on the established purchase price) of the Company’s stock for each offering period. Unless the employee has previously withdrawn from the offering, his or her accumulated payroll deductions will be used to purchase common stock on the last business day of the period at a price equal to 85% (or a 15% discount) of the fair market value of the common stock on the first or last day of the offering period, whichever is lower.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related to ESPP has been recorded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p>
        </w:tc>
        <w:tc>
          <w:tcPr>
            <w:tcW w:w="346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ind w:left="140"/>
              <w:spacing w:after="0"/>
              <w:rPr>
                <w:sz w:val="20"/>
                <w:szCs w:val="20"/>
                <w:color w:val="auto"/>
              </w:rPr>
            </w:pPr>
            <w:r>
              <w:rPr>
                <w:rFonts w:ascii="Arial" w:cs="Arial" w:eastAsia="Arial" w:hAnsi="Arial"/>
                <w:sz w:val="18"/>
                <w:szCs w:val="18"/>
                <w:b w:val="1"/>
                <w:bCs w:val="1"/>
                <w:color w:val="auto"/>
              </w:rPr>
              <w:t>Nine months ended September 30,</w:t>
            </w:r>
          </w:p>
        </w:tc>
      </w:tr>
      <w:tr>
        <w:trPr>
          <w:trHeight w:val="237"/>
        </w:trPr>
        <w:tc>
          <w:tcPr>
            <w:tcW w:w="43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Sales and marketing</w:t>
            </w: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r>
      <w:tr>
        <w:trPr>
          <w:trHeight w:val="230"/>
        </w:trPr>
        <w:tc>
          <w:tcPr>
            <w:tcW w:w="436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9, 2016, the Board of Directors of the Company authorized the repurchase of up to $10,000 of the Company’s outstanding shares of common stock under a stock repurchase program. In connection with the repurchase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 2017, the Board of Directors of the Company renewed and extended the repurchase program for up to an additional $10,000 of common stock over the next twelve months. In connection with the repurchase extension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Total Number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7"/>
              </w:rPr>
              <w:t>Shares Purchased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as Part of Publicly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the Plans or</w:t>
            </w:r>
          </w:p>
        </w:tc>
      </w:t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Total Number of</w:t>
            </w:r>
          </w:p>
        </w:tc>
        <w:tc>
          <w:tcPr>
            <w:tcW w:w="180" w:type="dxa"/>
            <w:vAlign w:val="bottom"/>
          </w:tcPr>
          <w:p>
            <w:pPr>
              <w:spacing w:after="0"/>
              <w:rPr>
                <w:sz w:val="18"/>
                <w:szCs w:val="18"/>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9"/>
              </w:rPr>
              <w:t>Average Price</w:t>
            </w:r>
          </w:p>
        </w:tc>
        <w:tc>
          <w:tcPr>
            <w:tcW w:w="15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Announced Plans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Programs</w:t>
            </w:r>
          </w:p>
        </w:tc>
      </w:tr>
      <w:tr>
        <w:trPr>
          <w:trHeight w:val="241"/>
        </w:trPr>
        <w:tc>
          <w:tcPr>
            <w:tcW w:w="4480" w:type="dxa"/>
            <w:vAlign w:val="bottom"/>
            <w:gridSpan w:val="3"/>
          </w:tcPr>
          <w:p>
            <w:pPr>
              <w:ind w:left="1820"/>
              <w:spacing w:after="0"/>
              <w:rPr>
                <w:sz w:val="20"/>
                <w:szCs w:val="20"/>
                <w:color w:val="auto"/>
              </w:rPr>
            </w:pPr>
            <w:r>
              <w:rPr>
                <w:rFonts w:ascii="Arial" w:cs="Arial" w:eastAsia="Arial" w:hAnsi="Arial"/>
                <w:sz w:val="18"/>
                <w:szCs w:val="18"/>
                <w:b w:val="1"/>
                <w:bCs w:val="1"/>
                <w:color w:val="auto"/>
              </w:rPr>
              <w:t>Period</w:t>
            </w:r>
          </w:p>
        </w:tc>
        <w:tc>
          <w:tcPr>
            <w:tcW w:w="17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Shares Purchased</w:t>
            </w:r>
          </w:p>
        </w:tc>
        <w:tc>
          <w:tcPr>
            <w:tcW w:w="180" w:type="dxa"/>
            <w:vAlign w:val="bottom"/>
          </w:tcPr>
          <w:p>
            <w:pPr>
              <w:spacing w:after="0"/>
              <w:rPr>
                <w:sz w:val="20"/>
                <w:szCs w:val="20"/>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Paid per Share</w:t>
            </w:r>
          </w:p>
        </w:tc>
        <w:tc>
          <w:tcPr>
            <w:tcW w:w="120" w:type="dxa"/>
            <w:vAlign w:val="bottom"/>
          </w:tcPr>
          <w:p>
            <w:pPr>
              <w:spacing w:after="0"/>
              <w:rPr>
                <w:sz w:val="20"/>
                <w:szCs w:val="20"/>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or Programs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(in $ millions)</w:t>
            </w:r>
          </w:p>
        </w:tc>
      </w:tr>
      <w:tr>
        <w:trPr>
          <w:trHeight w:val="216"/>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2017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11,794</w:t>
            </w: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11,794</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16"/>
        </w:trPr>
        <w:tc>
          <w:tcPr>
            <w:tcW w:w="4480" w:type="dxa"/>
            <w:vAlign w:val="bottom"/>
            <w:gridSpan w:val="3"/>
          </w:tcPr>
          <w:p>
            <w:pPr>
              <w:spacing w:after="0"/>
              <w:rPr>
                <w:sz w:val="20"/>
                <w:szCs w:val="20"/>
                <w:color w:val="auto"/>
              </w:rPr>
            </w:pPr>
            <w:r>
              <w:rPr>
                <w:rFonts w:ascii="Arial" w:cs="Arial" w:eastAsia="Arial" w:hAnsi="Arial"/>
                <w:sz w:val="18"/>
                <w:szCs w:val="18"/>
                <w:color w:val="auto"/>
              </w:rPr>
              <w:t>August 2017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37,247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7.77</w:t>
            </w:r>
          </w:p>
        </w:tc>
        <w:tc>
          <w:tcPr>
            <w:tcW w:w="220" w:type="dxa"/>
            <w:vAlign w:val="bottom"/>
          </w:tcPr>
          <w:p>
            <w:pPr>
              <w:spacing w:after="0"/>
              <w:rPr>
                <w:sz w:val="18"/>
                <w:szCs w:val="18"/>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37,247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50"/>
        </w:trPr>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2017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90,529</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w:t>
            </w:r>
          </w:p>
        </w:tc>
        <w:tc>
          <w:tcPr>
            <w:tcW w:w="22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90,529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17"/>
        </w:trPr>
        <w:tc>
          <w:tcPr>
            <w:tcW w:w="4480" w:type="dxa"/>
            <w:vAlign w:val="bottom"/>
            <w:tcBorders>
              <w:top w:val="single" w:sz="8" w:color="CCEEFF"/>
            </w:tcBorders>
            <w:gridSpan w:val="3"/>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139,570</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139,570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7, 2017, the Company declared a cash dividend of $0.07 per share of ClearOne common stock paid September 7, 2017 to shareholders of record as of August 22,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 in shareholders’ equity during the three and nine months ended September 30, 2017 and 2016, respectively: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p>
        </w:tc>
        <w:tc>
          <w:tcPr>
            <w:tcW w:w="36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8"/>
              </w:rPr>
              <w:t>Three months ended September 30,</w:t>
            </w:r>
          </w:p>
        </w:tc>
        <w:tc>
          <w:tcPr>
            <w:tcW w:w="200" w:type="dxa"/>
            <w:vAlign w:val="bottom"/>
          </w:tcPr>
          <w:p>
            <w:pPr>
              <w:spacing w:after="0"/>
              <w:rPr>
                <w:sz w:val="20"/>
                <w:szCs w:val="20"/>
                <w:color w:val="auto"/>
              </w:rPr>
            </w:pPr>
          </w:p>
        </w:tc>
        <w:tc>
          <w:tcPr>
            <w:tcW w:w="31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37"/>
        </w:trPr>
        <w:tc>
          <w:tcPr>
            <w:tcW w:w="436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960" w:type="dxa"/>
            <w:vAlign w:val="bottom"/>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72,444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82,569</w:t>
            </w:r>
          </w:p>
        </w:tc>
        <w:tc>
          <w:tcPr>
            <w:tcW w:w="100" w:type="dxa"/>
            <w:vAlign w:val="bottom"/>
            <w:shd w:val="clear" w:color="auto" w:fill="CCEEFF"/>
          </w:tcPr>
          <w:p>
            <w:pPr>
              <w:spacing w:after="0"/>
              <w:rPr>
                <w:sz w:val="18"/>
                <w:szCs w:val="18"/>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Exercise of stock options, restricted stock and stock</w:t>
            </w: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option cancelled</w:t>
            </w:r>
          </w:p>
        </w:tc>
        <w:tc>
          <w:tcPr>
            <w:tcW w:w="96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repurchased</w:t>
            </w:r>
          </w:p>
        </w:tc>
        <w:tc>
          <w:tcPr>
            <w:tcW w:w="9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(1,094)</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(4,151)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(5,139)</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Options repurchased</w:t>
            </w:r>
          </w:p>
        </w:tc>
        <w:tc>
          <w:tcPr>
            <w:tcW w:w="9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(1,752)</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purchase plan</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Dividends</w:t>
            </w:r>
          </w:p>
        </w:tc>
        <w:tc>
          <w:tcPr>
            <w:tcW w:w="9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(599)</w:t>
            </w:r>
          </w:p>
        </w:tc>
        <w:tc>
          <w:tcPr>
            <w:tcW w:w="3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(1,650)</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(1,373)</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Tax benefit - stock option exercise</w:t>
            </w:r>
          </w:p>
        </w:tc>
        <w:tc>
          <w:tcPr>
            <w:tcW w:w="9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or loss on investments, net of tax</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5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during the period</w:t>
            </w:r>
          </w:p>
        </w:tc>
        <w:tc>
          <w:tcPr>
            <w:tcW w:w="9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(9,276)</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(10,564)</w:t>
            </w: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w:t>
            </w:r>
          </w:p>
        </w:tc>
      </w:tr>
      <w:tr>
        <w:trPr>
          <w:trHeight w:val="217"/>
        </w:trPr>
        <w:tc>
          <w:tcPr>
            <w:tcW w:w="43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Balance at end of the period</w:t>
            </w:r>
          </w:p>
        </w:tc>
        <w:tc>
          <w:tcPr>
            <w:tcW w:w="96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61,584</w:t>
            </w: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79,955</w:t>
            </w: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61,584</w:t>
            </w: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79,955</w:t>
            </w:r>
          </w:p>
        </w:tc>
        <w:tc>
          <w:tcPr>
            <w:tcW w:w="100" w:type="dxa"/>
            <w:vAlign w:val="bottom"/>
            <w:tcBorders>
              <w:top w:val="single" w:sz="8" w:color="CCEEFF"/>
            </w:tcBorders>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substantial majority of the Company’s financial instruments are valued using observable input. The following table sets forth the fair value of the financial instruments re-measured by the Company as of September 30, 2017 and December 31,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2017</w:t>
            </w: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1080" w:type="dxa"/>
            <w:vAlign w:val="bottom"/>
          </w:tcPr>
          <w:p>
            <w:pPr>
              <w:jc w:val="right"/>
              <w:ind w:right="92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14,459</w:t>
            </w:r>
          </w:p>
        </w:tc>
        <w:tc>
          <w:tcPr>
            <w:tcW w:w="1240" w:type="dxa"/>
            <w:vAlign w:val="bottom"/>
            <w:gridSpan w:val="2"/>
          </w:tcPr>
          <w:p>
            <w:pPr>
              <w:jc w:val="right"/>
              <w:ind w:right="897"/>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14,459</w:t>
            </w:r>
          </w:p>
        </w:tc>
        <w:tc>
          <w:tcPr>
            <w:tcW w:w="80" w:type="dxa"/>
            <w:vAlign w:val="bottom"/>
          </w:tcPr>
          <w:p>
            <w:pPr>
              <w:spacing w:after="0"/>
              <w:rPr>
                <w:sz w:val="18"/>
                <w:szCs w:val="18"/>
                <w:color w:val="auto"/>
              </w:rPr>
            </w:pPr>
          </w:p>
        </w:tc>
      </w:tr>
      <w:tr>
        <w:trPr>
          <w:trHeight w:val="25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0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5,974</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5,974</w:t>
            </w:r>
          </w:p>
        </w:tc>
        <w:tc>
          <w:tcPr>
            <w:tcW w:w="80" w:type="dxa"/>
            <w:vAlign w:val="bottom"/>
            <w:shd w:val="clear" w:color="auto" w:fill="CCEEFF"/>
          </w:tcPr>
          <w:p>
            <w:pPr>
              <w:spacing w:after="0"/>
              <w:rPr>
                <w:sz w:val="21"/>
                <w:szCs w:val="21"/>
                <w:color w:val="auto"/>
              </w:rPr>
            </w:pPr>
          </w:p>
        </w:tc>
      </w:tr>
      <w:tr>
        <w:trPr>
          <w:trHeight w:val="217"/>
        </w:trPr>
        <w:tc>
          <w:tcPr>
            <w:tcW w:w="482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ind w:right="920"/>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20,433</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Level 3</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1100" w:type="dxa"/>
            <w:vAlign w:val="bottom"/>
          </w:tcPr>
          <w:p>
            <w:pPr>
              <w:jc w:val="right"/>
              <w:ind w:right="940"/>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19,970</w:t>
            </w:r>
          </w:p>
        </w:tc>
        <w:tc>
          <w:tcPr>
            <w:tcW w:w="1340" w:type="dxa"/>
            <w:vAlign w:val="bottom"/>
            <w:gridSpan w:val="2"/>
          </w:tcPr>
          <w:p>
            <w:pPr>
              <w:jc w:val="right"/>
              <w:ind w:right="937"/>
              <w:spacing w:after="0"/>
              <w:rPr>
                <w:sz w:val="20"/>
                <w:szCs w:val="20"/>
                <w:color w:val="auto"/>
              </w:rPr>
            </w:pPr>
            <w:r>
              <w:rPr>
                <w:rFonts w:ascii="Arial" w:cs="Arial" w:eastAsia="Arial" w:hAnsi="Arial"/>
                <w:sz w:val="18"/>
                <w:szCs w:val="18"/>
                <w:color w:val="auto"/>
              </w:rPr>
              <w:t>$</w:t>
            </w:r>
          </w:p>
        </w:tc>
        <w:tc>
          <w:tcPr>
            <w:tcW w:w="5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19,970</w:t>
            </w:r>
          </w:p>
        </w:tc>
        <w:tc>
          <w:tcPr>
            <w:tcW w:w="80" w:type="dxa"/>
            <w:vAlign w:val="bottom"/>
          </w:tcPr>
          <w:p>
            <w:pPr>
              <w:spacing w:after="0"/>
              <w:rPr>
                <w:sz w:val="18"/>
                <w:szCs w:val="18"/>
                <w:color w:val="auto"/>
              </w:rPr>
            </w:pPr>
          </w:p>
        </w:tc>
      </w:tr>
      <w:tr>
        <w:trPr>
          <w:trHeight w:val="25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1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6,425</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6,425</w:t>
            </w:r>
          </w:p>
        </w:tc>
        <w:tc>
          <w:tcPr>
            <w:tcW w:w="80" w:type="dxa"/>
            <w:vAlign w:val="bottom"/>
            <w:shd w:val="clear" w:color="auto" w:fill="CCEEFF"/>
          </w:tcPr>
          <w:p>
            <w:pPr>
              <w:spacing w:after="0"/>
              <w:rPr>
                <w:sz w:val="21"/>
                <w:szCs w:val="21"/>
                <w:color w:val="auto"/>
              </w:rPr>
            </w:pPr>
          </w:p>
        </w:tc>
      </w:tr>
      <w:tr>
        <w:trPr>
          <w:trHeight w:val="217"/>
        </w:trPr>
        <w:tc>
          <w:tcPr>
            <w:tcW w:w="482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ind w:right="94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26,395</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26,395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forecasted effective tax benefit rate at September 30, 2017 is 36.1%, a 0.9% decrease from the 37.0% effective tax rate recorded at December 31, 2016. The forecasted effective tax benefit rate of 36.1% excludes jurisdictions for which no benefit from forecasted current year losses is anticipated. Including losses from such jurisdictions results in a forecasted effective tax benefit rate of 30.1%. Our forecasted effective tax rate could fluctuate significantly on a quarterly basis and could change, to the extent that earnings in countries with tax rates that differ from that of the U.S. differ from amounts anticipated at September 30, 2017.</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After a discrete tax expense of $145, the effective tax benefit rate for the quarter ended September 30, 2017 is 29.0%. The discrete tax expense of $145 is primarily attributable to changes in income tax reserves related to research and development tax credits.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8, 2017 the Company announced a quarterly cash dividend for the third quarter of 2017 at $0.07 per share to be paid on December 6, 2017 to shareholders of record as of November 22,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2016.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ClearOne is a global company that designs, develops and sells conferencing, collaboration, and network streaming &amp; signage solutions for voice and visual communications. The performance and simplicity of our advanced, comprehensive solutions offer unprecedented levels of functionality, reliability and scalability.</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derive most of our revenue from professional audio conferencing products by promoting our products in the professional audio visual channel. We have extended our total addressable market from installed audio conferencing market to adjacent complementary markets – microphones, video collaboration and networked media streaming. We have achieved this through strategic technological acquisitions as well as by internal product development.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2017, we were awarded two new patents, one of which was our innovative patent on a system and method involving the combination of echo cancellation, beamforming microphone arrays, and smart beam selection--the technology underpinning the ‘acoustic intelligence’ of our ground-breaking Beamforming Microphone Array. We continued to take the necessary steps to enforce this strategic patent to remedy having to compete against our own patented technology, and to defend the validity of our patents.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2017, our efforts primarily centered on shipping remaining models in our newly introduced next-gen DSP conferencing platform and Beamforming Microphone Array, and promoting the transition from our legacy Converge Pro 1 (CP1) platform to the new Converge Pro 2 (CP2) platform.</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Overall revenue declined in the three and nine months ended September 30, 2017 when compared to the three and nine months ended September 30, 2016 notwithstanding a large order that was fulfilled in the quarter ended September 30, 2017. The declines in revenue from professional audio products and unified communications end points more than offset the increase in revenue from video products. Our gross profit margin decreased to 59% from 63% for the nine months ended September 30, 2017 and 2016, respectively. Gross profit margin decrease was primarily due to the decrease in the mix of higher margin products and the price reductions associated with transition from CP1 to CP2 partially offset by the absence of inventory scrapping costs in 2017. Our gross profit margin increased to 62% from 59% for the three months ended September 30, 2017 and 2016, respectively. The increase is primarily due to the significantly higher margin enjoyed by the large order fulfilled in the third quarter of 2017 and the absence of inventory scrapping costs in the third quarter of 2017 compared to third quarter of 2016.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conditions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the influx of venture capitalist funded start-ups and private companies keen to win market share even at the expense of mounting financial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audio-visual products market is characterized by intense competition and rapidly evolving technology. Our competitors vary within each product category. Our professional audio communication products, which contribute the most to our revenue, continues to be ahead of the competition despite the reduction in revenues through our transition from the CP1 platform to the next generation CP2 platform. Our strength in this space is largely due to our industry leading conferencing technologies and the full suite of professional microphone products, especially Beamforming Microphone Arrays. Despite our strong leadership position in the professional audio communications products market, we face challenges to revenue growth due to the limited size of the market and pricing pressures from new competitors attracted to the commercial market. Our revenues from our flagship professional audio conferencing products continue to suffer due to the delay in transitioning from our old CP1 platform to CP2 platform and due to increased competition for our beamforming microphones from competitors who are infringing our patents.</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from our video products in the overall revenue mix has been improving on the back of a strong growth for our video products in 2016 that has continued in 2017. We face intense competition in this market from well-established market leaders as well as emerging players rich with marketing funds. We expect our strategy of combining Spontania, our cloud-based video conferencing product, Collaborate, our appliance based media collaboration product and our high-end audio conferencing technology to provide growth in revenue in the near future. We believe we are also well positioned to capitalize on the continuing migration away from the traditional hardware based video conferencing systems to software based video conferencing applications.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derive a portion of our revenue (about 49%) from international operations and expect this trend to continue in the future. Most of our revenue from outside the U.S. is billed in US Dollars and is not exposed to any significant currency risk. In spite of the U.S. dollar losing strength against other currencies, a strong U.S. dollar would make our products less competitive.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quarter-end, we evaluate the inventory in the distribution channel through information provided by certain of our distributors. The level of inventory in the channel fluctuates up or down each quarter based upon our distributors’ individual operations. Accordingly, each quarter-end revenue deferral is calculated and recorded based upon the underlying channel inventory at quarter-end. Deferred revenue was approximately $3.9 million as of September 30, 2017, compared to $3.8 million of deferred revenue as of June 30, 2017 and $3.9 million of deferred revenue as of December 31,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and nine months ended September 30, 2017 and 2016</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(dollars in thousands) for the three and nine months ended September 30, 2017 (“2017-Q3”) and 2016 (“2016-Q3”), respectively, together with the percentage of total revenue which each such item represents: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2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380" w:type="dxa"/>
            <w:vAlign w:val="bottom"/>
            <w:gridSpan w:val="17"/>
          </w:tcPr>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gridSpan w:val="8"/>
          </w:tcPr>
          <w:p>
            <w:pPr>
              <w:jc w:val="right"/>
              <w:ind w:right="510"/>
              <w:spacing w:after="0"/>
              <w:rPr>
                <w:sz w:val="20"/>
                <w:szCs w:val="20"/>
                <w:color w:val="auto"/>
              </w:rPr>
            </w:pPr>
            <w:r>
              <w:rPr>
                <w:rFonts w:ascii="Arial" w:cs="Arial" w:eastAsia="Arial" w:hAnsi="Arial"/>
                <w:sz w:val="18"/>
                <w:szCs w:val="18"/>
                <w:b w:val="1"/>
                <w:bCs w:val="1"/>
                <w:color w:val="auto"/>
                <w:w w:val="91"/>
              </w:rPr>
              <w:t>Three months ended September 30,</w:t>
            </w:r>
          </w:p>
        </w:tc>
        <w:tc>
          <w:tcPr>
            <w:tcW w:w="180" w:type="dxa"/>
            <w:vAlign w:val="bottom"/>
          </w:tcPr>
          <w:p>
            <w:pPr>
              <w:spacing w:after="0"/>
              <w:rPr>
                <w:sz w:val="24"/>
                <w:szCs w:val="24"/>
                <w:color w:val="auto"/>
              </w:rPr>
            </w:pPr>
          </w:p>
        </w:tc>
        <w:tc>
          <w:tcPr>
            <w:tcW w:w="3180" w:type="dxa"/>
            <w:vAlign w:val="bottom"/>
            <w:gridSpan w:val="7"/>
          </w:tcPr>
          <w:p>
            <w:pPr>
              <w:jc w:val="right"/>
              <w:ind w:right="39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6"/>
              </w:rPr>
              <w:t>Percentage</w:t>
            </w: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Percentage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0"/>
              </w:rPr>
              <w:t>Change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5"/>
              </w:rPr>
              <w:t>2017 vs.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8"/>
              </w:rPr>
              <w:t>2017 vs.</w:t>
            </w:r>
          </w:p>
        </w:tc>
        <w:tc>
          <w:tcPr>
            <w:tcW w:w="0" w:type="dxa"/>
            <w:vAlign w:val="bottom"/>
          </w:tcPr>
          <w:p>
            <w:pPr>
              <w:spacing w:after="0"/>
              <w:rPr>
                <w:sz w:val="1"/>
                <w:szCs w:val="1"/>
                <w:color w:val="auto"/>
              </w:rPr>
            </w:pPr>
          </w:p>
        </w:tc>
      </w:tr>
      <w:tr>
        <w:trPr>
          <w:trHeight w:val="241"/>
        </w:trPr>
        <w:tc>
          <w:tcPr>
            <w:tcW w:w="6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24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4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5,240</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13,293</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14,110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7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23,797</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2,389</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7,695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2,116</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3740" w:type="dxa"/>
            <w:vAlign w:val="bottom"/>
            <w:gridSpan w:val="3"/>
          </w:tcPr>
          <w:p>
            <w:pPr>
              <w:spacing w:after="0" w:line="201" w:lineRule="exact"/>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1,281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1,739</w:t>
            </w:r>
          </w:p>
        </w:tc>
        <w:tc>
          <w:tcPr>
            <w:tcW w:w="124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(26)%</w:t>
            </w:r>
          </w:p>
        </w:tc>
        <w:tc>
          <w:tcPr>
            <w:tcW w:w="18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5,597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4,904</w:t>
            </w:r>
          </w:p>
        </w:tc>
        <w:tc>
          <w:tcPr>
            <w:tcW w:w="11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Impairment of an intangible asset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736</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740" w:type="dxa"/>
            <w:vAlign w:val="bottom"/>
            <w:gridSpan w:val="3"/>
          </w:tcPr>
          <w:p>
            <w:pPr>
              <w:spacing w:after="0"/>
              <w:rPr>
                <w:sz w:val="20"/>
                <w:szCs w:val="20"/>
                <w:color w:val="auto"/>
              </w:rPr>
            </w:pPr>
            <w:r>
              <w:rPr>
                <w:rFonts w:ascii="Arial" w:cs="Arial" w:eastAsia="Arial" w:hAnsi="Arial"/>
                <w:sz w:val="18"/>
                <w:szCs w:val="18"/>
                <w:color w:val="auto"/>
              </w:rPr>
              <w:t>Impairment of goodwill</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12,724</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7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Operating income/(loss)</w:t>
            </w:r>
          </w:p>
        </w:tc>
        <w:tc>
          <w:tcPr>
            <w:tcW w:w="7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3"/>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(13,506)</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4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(1,048)%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(15,141)</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22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7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7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gridSpan w:val="3"/>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4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(981)%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(14,877)</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22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7"/>
        </w:trPr>
        <w:tc>
          <w:tcPr>
            <w:tcW w:w="3740" w:type="dxa"/>
            <w:vAlign w:val="bottom"/>
            <w:gridSpan w:val="3"/>
          </w:tcPr>
          <w:p>
            <w:pPr>
              <w:spacing w:after="0"/>
              <w:rPr>
                <w:sz w:val="20"/>
                <w:szCs w:val="20"/>
                <w:color w:val="auto"/>
              </w:rPr>
            </w:pPr>
            <w:r>
              <w:rPr>
                <w:rFonts w:ascii="Arial" w:cs="Arial" w:eastAsia="Arial" w:hAnsi="Arial"/>
                <w:sz w:val="18"/>
                <w:szCs w:val="18"/>
                <w:color w:val="auto"/>
              </w:rPr>
              <w:t>Provision for (benefit from) income taxes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(4,152)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315</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(1,418)%</w:t>
            </w: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(4,313)</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1,379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0"/>
        </w:trPr>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6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3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1"/>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revenue decreased by $2.3 million, or 18%, to $10.6 million in 2017-Q3 compared to $12.9 million in 2016-Q3. The 66% increase in revenue from video products was more than offset by a 30% decline in professional audio conferencing revenue and a 25% decline in revenue from unified communication (UC) end points. For the nine months ended September 30, 2017, revenue decreased by $5.4 million, or 14%, to $32.5 million, as compared to $37.9 million for the nine months ended September 30, 2016. The 51% increase in revenue from video products was more than offset by a 21% decline in professional audio conferencing revenue and a 26% decline in revenue from unified communication (UC) end points. During the nine months ended September 30, 2017, premium audio conferencing products declined the most while media collaboration products increased the most. The decline in revenue from professional audio conferencing products was mostly due to decline in revenue from legacy CP1 products and reductions in CP1 pricing effected in the last quarter of 2016. The share of professional audio communications products (which includes microphone products but not premium products) in our product mix declined from 77% in 2016-Q3 to 66% in 2017-Q3. The increase in revenue from video products was due to the success of Unite camera and favorable reception to the new Collaborate SKUs containing integrated audio solutions. Share of video products in the revenue increased from 12% in 2016-Q3 to 24% in 2017-Q3, while share of UC end points in the revenue declined from 11% in 2016-Q3 to 10% in 2017-Q3.</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2017-Q3, revenue declined in the US, Canada, South East Asia, Japan, Korea and some parts of Europe while revenue from China, the Middle East, India, Australia and some part of Europe grew. Asia Pacific including Middle East increased by 43%; Europe and Africa declined by 3% and Americas declined by about 37%. The revenue decline was primarily caused by the delay in the transition to our next generation audio platform, CP2, combined with price reduction offered to stimulate customer interest and sales in the legacy CP1 products. Revenue was also negatively affected by less than robust infrastructure and capital equipment spending. In spite of the generally less than robust infrastructure spending, we did complete the sale to a major project by a Chinese entity. This caused the revenue increase for the Asia Pacific region quarter-over-quarter. We believe we will return to a growth path once the transition from CP1 platform to the newer CP2 platform occurs. However, we anticipate that the growth will depend on the speed at which our customers transition to the new platform and the economic recovery in certain key markets which remains weak.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gross profit for the three months ended September 30, 2017 was approximately $6.5 million or 62% compared to approximately $7.7 million, or 59%, for the three months ended September 30, 2016. Gross margin for the three months ended September 30, 2017 improved primarily due to the significantly higher margin enjoyed by the large order fulfilled in the third quarter of 2017 and the absence of inventory scrapping costs in the third quarter of 2017. Our gross profit for the nine months ended September 30, 2017 was approximately $19.3 million, or 59%, compared to approximately $23.8 million, or 63%, for the nine months ended September 30, 2016. Gross margin declined for the nine months ended September 30, 2017 primarily due to the following reasons: (1) price reductions made to CP1 products to encourage CP1 sales and (2) decline in higher margin professional audio conferencing products in the mix partially offset by the absence of inventory scrapping costs in 2017.</w:t>
      </w:r>
    </w:p>
    <w:p>
      <w:pPr>
        <w:sectPr>
          <w:pgSz w:w="11900" w:h="16838" w:orient="portrait"/>
          <w:cols w:equalWidth="0" w:num="1">
            <w:col w:w="11420"/>
          </w:cols>
          <w:pgMar w:left="240" w:top="216"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profitability in the near-term continues to depend significantly on our revenues from professional audio conferencing products. We hold long-term inventory and if we are unable to sell our long-term inventory, our profitability might be affected by inventory write-offs and price mark-downs.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Operating income, or income from operations, is the surplus after operating expenses are deducted from gross profits. Operating expenses include sales and marketing (“S&amp;M”) expenses, research and product development (“R&amp;D”) expenses and general and administrative (“G&amp;A”) expenses. Total operating expenses were $20.0 million for the three months ended September 30, 2017 compared to $6.2 million for the three months ended September 30, 2016. Total operating expenses were $34.4 million for the nine months ended September 30, 2017, of which $13.4 million was related to the impairment of the goodwill and intangibles in Q3 2017, compared to $19.1 million for the nine months ended September 30, 2016. The following contains a more detailed discussion of expenses related to sales and marketing, research and product development, general and administrative, and other items.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S&amp;M expenses include sales, customer service, and marketing expenses such as employee-related costs, allocations of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trade shows, and other advertising and selling expenses.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S&amp;M expenses for the three months ended September 30, 2017 increased to $3.0 million from $2.4 million for the three months ended September 30, 2016. The increase was mainly due to increases in inventories used for customer demonstrations, higher commission expenses booked in the third quarter of 2017, higher marketing expenses related to tradeshows, and increased spending in employee related expenses. S&amp;M expenses for the nine months ended September 30, 2017 increased to $8.4 million from $7.7 million for the nine months ended September 30, 2016. The increase was primarily due to an increase in headcount and employee related expenses, increases in inventories used for customer demonstrations and increase in marketing expenses related to tradeshows partially offset by decline in commissions paid to independent agents.</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u w:val="single" w:color="auto"/>
          <w:color w:val="auto"/>
        </w:rPr>
        <w:t>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R&amp;D expenses include research and development, product line management, engineering services, and test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expenses, including employee related costs, outside services, expensed materials, depreciation, and an allocation of overhead expenses.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R&amp;D expenses were approximately $2.3 million for the three months ended September 30, 2017, as compared to $2.1 million for the three months ended September 30, 2016. The increase was primarily due to increase in employee costs related to salaries, benefits and patent bonuses. R&amp;D expenses were approximately $6.9 million for the nine months ended September 30, 2017, as compared to $6.5 million for the nine months ended September 30, 2016. The increase was primarily due to an increase in employee-related costs mainly salaries and benefits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G&amp;A expenses include employee-related costs, professional service fees, allocations of overhead expenses, litigation costs,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administrative costs, including costs related to finance and human resources.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G&amp;A expenses decreased approximately 26% to $1.2 million for the three months ended September 30, 2017 compared with approximately $1.7 million in 2016. The reduction was primarily due to the decrease in legal costs. G&amp;A expenses increased approximately 14% to $5.6 million for the nine months ended September 30, 2017 compared with approximately $4.9 million in 2016. The increase in G&amp;A expenses was primarily due to increases in legal expenses and consulting fees partially offset by a decline in salaries and bonuses.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u w:val="single" w:color="auto"/>
          <w:color w:val="auto"/>
        </w:rPr>
        <w:t>Impairment of Goodwill and an intangible asset</w:t>
      </w:r>
      <w:r>
        <w:rPr>
          <w:rFonts w:ascii="Arial" w:cs="Arial" w:eastAsia="Arial" w:hAnsi="Arial"/>
          <w:sz w:val="18"/>
          <w:szCs w:val="18"/>
          <w:b w:val="1"/>
          <w:bCs w:val="1"/>
          <w:i w:val="1"/>
          <w:iCs w:val="1"/>
          <w:color w:val="auto"/>
        </w:rPr>
        <w:t xml:space="preserve"> - </w:t>
      </w:r>
      <w:r>
        <w:rPr>
          <w:rFonts w:ascii="Arial" w:cs="Arial" w:eastAsia="Arial" w:hAnsi="Arial"/>
          <w:sz w:val="18"/>
          <w:szCs w:val="18"/>
          <w:color w:val="auto"/>
        </w:rPr>
        <w:t>Based on the results of the Company’s recent impairment analysis triggered by the fall in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price and recent financial results, the Company determined that goodwill and an intangible asset consisting of customer relationships were impaired and recognized a charge of $12.7 million towards goodwill impairment and $0.7 million towards the intangible asset impairment for the three and nine months ended September 30,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foreign currency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2017, we accrued income taxes at the forecasted effective tax benefit rate of 36.1% as compared to the forecasted effective tax rate of 32.3% used during the nine months ended September 30, 2016. The 3.8% increase in the forecasted effective tax rate was primarily due to projected income in 2016, yet projected losses in 2017. As a result, tax benefits, such as the research and development tax credit, increased the benefit rate in 2017. In addition, a discrete tax expense of $145 thousand is primarily attributable to changes in income tax reserves related to research and development tax credits.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2017, our cash and cash equivalents were approximately $3.0 million, a decrease of approximately $9.1 million compared to cash and cash equivalents of approximately $12.1 million as of December 31, 2016. Our working capital was $26.8 million and $30.8 million as of September 30, 2017 and December 31, 2016,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approximately $7.6 million for the nine months ended September 30, 2017, an increase of cash used of approximately $15.0 million from $7.4 million of cash provided by operating activities in the nine months ended September 30, 2016. The increase was primarily due to an increase in cash outflows due to change in operating assets and liabilities of $9.2 million and a reduction in net income of $14.1 million offset by an increase in non-cash charges of $8.3 million.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cash provided by investing activities was $4.4 million for the nine months ended September 30, 2017 compared to net cash flows used by investing activities of $1.8 million during the nine months ended September 30, 2016, an increase in cash provided of $6.2 million. The increase was primarily due to an increase in net sales of marketable securities of approximately $7.2 million, offset by $1.0 million in purchases of property and equipment and intangibles.</w:t>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Capitalization of patent defense costs. We capitalize external legal costs incurred in the defense of our patents when we believe that a significant, discernible increase in value will result from the defense and a successful outcome of the legal action is probable. When we capitalize patent defense costs we amortize the costs over the remaining estimated useful life of the patent, which is 15 to 17 years. During the three and nine months ended September 30, 2017 we paid $845 thousand, in gross legal costs related to the defense of our patents and $845 thousand of such costs were capitalized.</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financing activities was approximately $5.9 million during the nine months ended September 30, 2017 primarily consisted of cash outflows of $4.4 million on repurchase and cancellation of stock, $1.7 million for dividend payments partially offset by $0.1 million proceeds from stock based compensation programs. Net cash used in financing activities was approximately $6.8 million during the nine months ended September 30, 2016 primarily consisted of cash outflows of $6.9 million on repurchase and cancellation of stock and stock options, $1.4 million for dividend payments offset by $1.5 million proceeds from stock based compensation programs.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if and when needed to meet our short and long-term financing needs. In addition to capital expenditures, we may use cash in the near future for selective infusions of technology, sales and marketing, infrastructure, and other investments to fuel our growth, as well as acquisitions that may strategically fit our business and are accretive to our performance. We also intend to use cash to pay quarterly cash dividends and repurchase stock under our repurchase program.</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2017, we had open purchase orders related to our electronics manufacturing service providers of approximately $6.7 million, primarily related to inventory purchases.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2017, we had inventory totaling $22.1 million, of which non-current inventory accounted for $2.4 million. This compares to total inventories of $13.0 million and non-current inventory of $1.7 million as of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including those related to revenue recognition, income taxes and valuation of long-lived assets, goodwill and other intangible assets and may employ outside experts to assist in our evaluations. We believe that the estimates we use are reasonable; however, actual results could differ from those estimates.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significant accounting policies are described in our Annual Report on Form 10-K for the year ended December 31, 2016. 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Associated Allowances for Revenue Adjustments and Doubtful Accounts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20" w:firstLine="8"/>
        <w:spacing w:after="0" w:line="261" w:lineRule="auto"/>
        <w:tabs>
          <w:tab w:leader="none" w:pos="21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a right of return on product sales to certain distributors under a product rotation program. Under this seldom-used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 or down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deferred cost of goods sold was included in distributor channel inventories. The following table details the amount of deferred revenue, cost of goods sold, and gross profit (in thousands) as of September 30, 2017 and December 31,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September 30, 2017</w:t>
            </w:r>
          </w:p>
        </w:tc>
        <w:tc>
          <w:tcPr>
            <w:tcW w:w="18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2016</w:t>
            </w:r>
          </w:p>
        </w:tc>
      </w:tr>
      <w:tr>
        <w:trPr>
          <w:trHeight w:val="216"/>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438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160" w:type="dxa"/>
            <w:vAlign w:val="bottom"/>
          </w:tcPr>
          <w:p>
            <w:pPr>
              <w:spacing w:after="0"/>
              <w:rPr>
                <w:sz w:val="20"/>
                <w:szCs w:val="20"/>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1,394</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1,530</w:t>
            </w:r>
          </w:p>
        </w:tc>
        <w:tc>
          <w:tcPr>
            <w:tcW w:w="80" w:type="dxa"/>
            <w:vAlign w:val="bottom"/>
          </w:tcPr>
          <w:p>
            <w:pPr>
              <w:spacing w:after="0"/>
              <w:rPr>
                <w:sz w:val="20"/>
                <w:szCs w:val="20"/>
                <w:color w:val="auto"/>
              </w:rPr>
            </w:pPr>
          </w:p>
        </w:tc>
      </w:tr>
      <w:tr>
        <w:trPr>
          <w:trHeight w:val="230"/>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gross profit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credit terms on the sale of our products to a majority of our channel partners and perform ongoing credit evaluations of our customers’ financial condition. We maintain an allowance for doubtful accounts for estimated losses resulting from the inability or unwillingness of our channel partners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and Long-Lived Assets: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Intangible assets with determinable lives consist primarily of customer relationships, unpatented technology, patents and trademarks and are amortized over their estimated useful lives, ranging from 5 to 15 years. We rely on patents and proprietary technology and seek patent protection for products and production methods. We capitalize external legal costs incurred in the defense of our patents when we believe that a significant, discernible increase in value will result from the defense and a successful outcome of the legal action is probable. These costs are amortized over the remaining estimated useful life of the patent, which is 15 and 17 years. We assess the future economic benefit and/or the successful outcome of legal action related to patent defense involves considerable management judgment and a different outcome could result in material write-offs of the carrying value of these assets. During the three and nine months ended September 30, 2017, we capitalized $845 thousand in legal costs related to the defense of our patents.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measured as the excess of the cost of acquisition over the sum of the amounts assigned to tangible and identifiable intangible assets acquired less liabilities assumed. We perform impairment tests of goodwill on an annual basis in the fourth fiscal quarter, or sooner if a triggering event occurs suggesting possible impairment of the values of these assets.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assess the recoverability of our one reporting unit’s carrying value of goodwill by making a qualitative or quantitative assessment. If we begin with a qualitative assessment and are able to support the conclusion that it is not more likely than not that the fair value of the Company is less than its carrying value, we are not required to perform the two-step impairment test. Otherwise, using the two−step approach is required. In the first step of the goodwill impairment test, we compare the carrying value the Company, including its recorded goodwill, to the estimated fair value. We estimate the fair value using an equity-value based methodology. The principal method used is an equity-value based method in which the Company’s market-cap is compared to the net book value. This value is then compared to total net assets. If the fair value of the Company exceeds its carrying value, the goodwill is not impaired and no further review is required. However, if the fair value of the reporting unit is less than its carrying value, we perform the second step of the goodwill impairment test to determine the amount of the impairment charge, if any. The second step involves a hypothetical allocation of the fair value of the Company to its net tangible and intangible assets (excluding goodwill) as if the business unit were newly acquired, which results in an implied fair value of goodwill. The amount of the impairment charge is the excess of the recorded goodwill over the implied fair value of goodwill.</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2017 we recorded $12.7 million or the entire value of goodwill as an impairment charge.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nine months ended September 30, 2017 we recorded $736 thousand as a charge for impairment of an intangible asset consisting of customer relationships.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income taxes in both the United States and in certain foreign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2016 and determined that based upon available evidence it is more likely than not that certain of our deferred tax assets related to capital loss carryovers, state research and development credits, and foreign net operating loss carryforwards will not be realized and, accordingly, we have recorded a valuation allowance against these deferred tax assets in the amount of $1.4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Lower-of-Cost or Market Adjustments and Reserves for Excess and Obsolete Inventory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 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w:t>
      </w:r>
    </w:p>
    <w:p>
      <w:pPr>
        <w:sectPr>
          <w:pgSz w:w="11900" w:h="16838" w:orient="portrait"/>
          <w:cols w:equalWidth="0" w:num="1">
            <w:col w:w="11420"/>
          </w:cols>
          <w:pgMar w:left="240" w:top="233" w:right="239" w:bottom="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2004, the FASB issued guidelines now contained under FASB ASC Topic 718, “Compensation – Stock Compensation”. ASC Topic 718 establishes standards for the accounting for transactions in which an entity exchanges its equity instruments for goods or services. Primarily, ASC Topic 718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services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ASC Topic 718, we recognize compensation cost net of forfeitures as they occur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2014, the FASB released Accounting Standards Update (ASU) No.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We plan to adopt the standard when it becomes effective for us beginning January 1, 2018. We currently anticipate adopting the standard using the modified retrospective method with a cumulative catch up adjustment and providing additional disclosures comparing results to previous rules. We continue to evaluate the impact of the new standard on our consolidated financial statements but anticipate this standard will have a material impact on our consolidated financial statements.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released ASU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is effective for fiscal years beginning after December 15, 2018 and interim periods within fiscal years beginning after December 15, 2018. Early application will be permitted for all organizations. The Company has not yet selected a transition method and is currently evaluating the effect that the updated standard will have on the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2016, the FASB released ASU No. 2016-09, Compensation - Stock Compensation: Improvements to Employee Shared-Based Payment Accounting. The standard is intended to simplify several areas of accounting for share-based compensation arrangements, including the income tax impact, classification on the statement of cash flows and forfeitures. ASU 2016-09 was effective for the Company on January 1, 2017. As a result of the adoption of ASU 2016-09, excess tax benefits or deficiencies related to stock-based compensation are now reflected in the Consolidated Statements of Income as a component of the provision for income taxes, whereas they previously were recognized in additional paid-in capital. In addition, our Consolidated Statements of Cash Flows will now present, on a prospective basis, excess tax benefits as an operating activity. Finally, we have elected to account for forfeitures as they occur, rather than estimate expected forfeitures.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2016, the FASB released ASU No. 2016-15, Classification of Certain Cash Receipts and Cash Payments, which addresses eight specific cash flow issues with the objective of reducing the existing diversity in practice. ASU 2016-15 is effective for the Company beginning January 1, 2018 and we are currently evaluating the impact that ASU 2016-15 will have on our consolidated financial statements.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The new guidance provides clarity and reduces both (1) diversity in practice and (2) cost and complexity when applying the guidance in Topic 718, Compensation—Stock Compensation, to a change to the terms or conditions of a share-based payment award. The accounting standard update will be effective for The Company beginning January 1, 2018 on a prospective basis, and early adoption is permitted. The Company has not yet selected a transition method and is currently evaluating the effect that the updated standard will have on the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25, 2017, the Company was awarded a new patent, U.S. Patent No. 9,635,186 (the “186 Patent”), which relates to a system and method involving the combination of echo cancellation and beamforming microphone arrays. Also on April 25, 2017, the Company filed a lawsuit in the U.S. Federal District Court in the District of Utah against three parties—Shure, Inc. (“Shure”), Biamp Systems Corporation (“Biamp”), and QSC Audio Products, LLC (“QSC,” together with Shure and Biamp, collectively, the “Defendants”), alleging that the Defendants were jointly and indirectly infringing the newly issued ‘186 Patent (the “Infringement Action”). On that same day, Shure filed a separate action in the U.S. Federal District Court in the Northern District of Illinois (the “Illinois Action”) requesting a declaratory judgment as to the invalidity or non-infringement with respect to the ‘186 Patent. The Illinois Action also seeks the same declaratory judgment with respect to another Company patent, United States Patent No. 9,264,553 (the “553 Patent”), and which has not been asserted by the Company against any defendant and has been submitted to the USPTO for reissue.</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May 22, 2017, the U.S. Supreme Court issued its opinion in the </w:t>
      </w:r>
      <w:r>
        <w:rPr>
          <w:rFonts w:ascii="Arial" w:cs="Arial" w:eastAsia="Arial" w:hAnsi="Arial"/>
          <w:sz w:val="17"/>
          <w:szCs w:val="17"/>
          <w:i w:val="1"/>
          <w:iCs w:val="1"/>
          <w:color w:val="auto"/>
        </w:rPr>
        <w:t>TC Heartland LLC v. Kraft Foods Group Brands LLC</w:t>
      </w:r>
      <w:r>
        <w:rPr>
          <w:rFonts w:ascii="Arial" w:cs="Arial" w:eastAsia="Arial" w:hAnsi="Arial"/>
          <w:sz w:val="17"/>
          <w:szCs w:val="17"/>
          <w:color w:val="auto"/>
        </w:rPr>
        <w:t>, No. 16–341. That opinion changed the law on permissible venues for patent litigation from any district in which there was personal jurisdiction over a defendant to only districts in which a defendant was incorporated or had a regular and established place of business. Given that none of the Defendants were incorporated or had a regular and established place of business in the District of Utah, on May 30, 2017, the Company filed an answer to the Illinois Action and counterclaims substantially the same as those in the Company’s Infringement Action, joining Biamp and QSC as counter-defendants with Shure in such counterclaims in the Illinois Action, and on May 31, 2017, the Company voluntarily dismissed the Infringement Action in Utah without prejudice. Biamp and QSC have filed motions to dismiss in the Illinois Action based on lack of appropriate venue, which the Illinois court has not ruled 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parties are proceeding with discovery. On July 14, 2017, Shure filed a petition for </w:t>
      </w:r>
      <w:r>
        <w:rPr>
          <w:rFonts w:ascii="Arial" w:cs="Arial" w:eastAsia="Arial" w:hAnsi="Arial"/>
          <w:sz w:val="18"/>
          <w:szCs w:val="18"/>
          <w:i w:val="1"/>
          <w:iCs w:val="1"/>
          <w:color w:val="auto"/>
        </w:rPr>
        <w:t>inter partes review</w:t>
      </w:r>
      <w:r>
        <w:rPr>
          <w:rFonts w:ascii="Arial" w:cs="Arial" w:eastAsia="Arial" w:hAnsi="Arial"/>
          <w:sz w:val="18"/>
          <w:szCs w:val="18"/>
          <w:color w:val="auto"/>
        </w:rPr>
        <w:t xml:space="preserve"> against the ‘553 Patent, and on August 6, 2017, the Company filed a motion seeking a preliminary injunction to enjoin the defendants from continuing to infringe on the Company’s 186 Patent. A preliminary injunction hearing is currently set for January 9,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continue to vigorously enforce and defend its intellectual property rights in the Illinois Action.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set forth above, there have been no material developments in the legal proceedings described in our Annual Report on Form 10-K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fiscal year ended December 31, 2016 except for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the costs of defense of our patents exceeds the benefits, such a determination would negatively impact our reported income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capitalize our legal expenses relating to defense of our patents. Capitalizing these legal expenses removes the related legal costs from our Income Statement and moves them to our Balance Sheet as an asset. This treatment is based on the current determination that our future benefits from the patents will be larger than the associated costs and that success in defense of the patents is probable. If either one of these conditions doesn’t hold true, all or a portion of the capitalized costs may be written off in the quarter in which a new determination is made. Any such future adjustment will affect the profits reported in that quarter</w:t>
      </w:r>
      <w:r>
        <w:rPr>
          <w:rFonts w:ascii="Arial" w:cs="Arial" w:eastAsia="Arial" w:hAnsi="Arial"/>
          <w:sz w:val="21"/>
          <w:szCs w:val="2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jc w:val="both"/>
        <w:ind w:firstLine="8"/>
        <w:spacing w:after="0" w:line="276" w:lineRule="auto"/>
        <w:tabs>
          <w:tab w:leader="none" w:pos="271"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March 9, 2016, the Board of Directors of the Company authorized the repurchase of up to $10 million of the Company’s outstanding shares of common stock under a stock repurchase program. In connection with the repurchase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 2017, the Board of Directors of the Company renewed and extended the repurchase program for up to an additional $10 million of common stock over the next twelve months. In connection with the repurchase extension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repurchase program may be suspended or discontinued at any time without prior notice. The transactions effectuated to date occurred in open market purchases.</w:t>
      </w:r>
    </w:p>
    <w:p>
      <w:pPr>
        <w:sectPr>
          <w:pgSz w:w="11900" w:h="16838" w:orient="portrait"/>
          <w:cols w:equalWidth="0" w:num="1">
            <w:col w:w="11420"/>
          </w:cols>
          <w:pgMar w:left="240" w:top="233"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2017 we acquired the following shares of common stock under the stock repurchase program: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Shares Purchased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Total Number of</w:t>
            </w:r>
          </w:p>
        </w:tc>
        <w:tc>
          <w:tcPr>
            <w:tcW w:w="240" w:type="dxa"/>
            <w:vAlign w:val="bottom"/>
          </w:tcPr>
          <w:p>
            <w:pPr>
              <w:spacing w:after="0"/>
              <w:rPr>
                <w:sz w:val="18"/>
                <w:szCs w:val="18"/>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Average Price</w:t>
            </w:r>
          </w:p>
        </w:tc>
        <w:tc>
          <w:tcPr>
            <w:tcW w:w="2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Announced Plans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Plans or Programs</w:t>
            </w:r>
          </w:p>
        </w:tc>
      </w:tr>
      <w:tr>
        <w:trPr>
          <w:trHeight w:val="241"/>
        </w:trPr>
        <w:tc>
          <w:tcPr>
            <w:tcW w:w="2880" w:type="dxa"/>
            <w:vAlign w:val="bottom"/>
            <w:gridSpan w:val="2"/>
          </w:tcPr>
          <w:p>
            <w:pPr>
              <w:ind w:left="1120"/>
              <w:spacing w:after="0"/>
              <w:rPr>
                <w:sz w:val="20"/>
                <w:szCs w:val="20"/>
                <w:color w:val="auto"/>
              </w:rPr>
            </w:pPr>
            <w:r>
              <w:rPr>
                <w:rFonts w:ascii="Arial" w:cs="Arial" w:eastAsia="Arial" w:hAnsi="Arial"/>
                <w:sz w:val="18"/>
                <w:szCs w:val="18"/>
                <w:b w:val="1"/>
                <w:bCs w:val="1"/>
                <w:color w:val="auto"/>
              </w:rPr>
              <w:t>Period</w:t>
            </w:r>
          </w:p>
        </w:tc>
        <w:tc>
          <w:tcPr>
            <w:tcW w:w="2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Shares Purchased</w:t>
            </w:r>
          </w:p>
        </w:tc>
        <w:tc>
          <w:tcPr>
            <w:tcW w:w="240" w:type="dxa"/>
            <w:vAlign w:val="bottom"/>
          </w:tcPr>
          <w:p>
            <w:pPr>
              <w:spacing w:after="0"/>
              <w:rPr>
                <w:sz w:val="20"/>
                <w:szCs w:val="20"/>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Paid per Share</w:t>
            </w:r>
          </w:p>
        </w:tc>
        <w:tc>
          <w:tcPr>
            <w:tcW w:w="2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or Programs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 $ millions)</w:t>
            </w:r>
          </w:p>
        </w:tc>
      </w:tr>
      <w:tr>
        <w:trPr>
          <w:trHeight w:val="216"/>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2017</w:t>
            </w:r>
          </w:p>
        </w:tc>
        <w:tc>
          <w:tcPr>
            <w:tcW w:w="1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w w:val="83"/>
              </w:rPr>
              <w:t>11,794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August 2017</w:t>
            </w:r>
          </w:p>
        </w:tc>
        <w:tc>
          <w:tcPr>
            <w:tcW w:w="2200" w:type="dxa"/>
            <w:vAlign w:val="bottom"/>
            <w:gridSpan w:val="2"/>
          </w:tcPr>
          <w:p>
            <w:pPr>
              <w:ind w:left="1460"/>
              <w:spacing w:after="0"/>
              <w:rPr>
                <w:sz w:val="20"/>
                <w:szCs w:val="20"/>
                <w:color w:val="auto"/>
              </w:rPr>
            </w:pPr>
            <w:r>
              <w:rPr>
                <w:rFonts w:ascii="Arial" w:cs="Arial" w:eastAsia="Arial" w:hAnsi="Arial"/>
                <w:sz w:val="18"/>
                <w:szCs w:val="18"/>
                <w:color w:val="auto"/>
              </w:rPr>
              <w:t>37,247</w:t>
            </w:r>
          </w:p>
        </w:tc>
        <w:tc>
          <w:tcPr>
            <w:tcW w:w="2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7.77</w:t>
            </w:r>
          </w:p>
        </w:tc>
        <w:tc>
          <w:tcPr>
            <w:tcW w:w="2040" w:type="dxa"/>
            <w:vAlign w:val="bottom"/>
            <w:gridSpan w:val="3"/>
          </w:tcPr>
          <w:p>
            <w:pPr>
              <w:jc w:val="right"/>
              <w:ind w:right="120"/>
              <w:spacing w:after="0"/>
              <w:rPr>
                <w:sz w:val="20"/>
                <w:szCs w:val="20"/>
                <w:color w:val="auto"/>
              </w:rPr>
            </w:pPr>
            <w:r>
              <w:rPr>
                <w:rFonts w:ascii="Arial" w:cs="Arial" w:eastAsia="Arial" w:hAnsi="Arial"/>
                <w:sz w:val="18"/>
                <w:szCs w:val="18"/>
                <w:color w:val="auto"/>
              </w:rPr>
              <w:t>37,247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50"/>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2017</w:t>
            </w:r>
          </w:p>
        </w:tc>
        <w:tc>
          <w:tcPr>
            <w:tcW w:w="22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90,529</w:t>
            </w:r>
          </w:p>
        </w:tc>
        <w:tc>
          <w:tcPr>
            <w:tcW w:w="24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w:t>
            </w:r>
          </w:p>
        </w:tc>
        <w:tc>
          <w:tcPr>
            <w:tcW w:w="2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90,529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7"/>
        </w:trPr>
        <w:tc>
          <w:tcPr>
            <w:tcW w:w="28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139,570</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2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139,570</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320" w:type="dxa"/>
            <w:vAlign w:val="bottom"/>
            <w:gridSpan w:val="4"/>
          </w:tcPr>
          <w:p>
            <w:pPr>
              <w:spacing w:after="0"/>
              <w:rPr>
                <w:sz w:val="20"/>
                <w:szCs w:val="20"/>
                <w:color w:val="auto"/>
              </w:rPr>
            </w:pPr>
            <w:r>
              <w:rPr>
                <w:rFonts w:ascii="Arial" w:cs="Arial" w:eastAsia="Arial" w:hAnsi="Arial"/>
                <w:sz w:val="18"/>
                <w:szCs w:val="18"/>
                <w:b w:val="1"/>
                <w:bCs w:val="1"/>
                <w:color w:val="auto"/>
              </w:rPr>
              <w:t>Title of Document</w:t>
            </w:r>
          </w:p>
        </w:tc>
      </w:tr>
      <w:tr>
        <w:trPr>
          <w:trHeight w:val="392"/>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880" w:type="dxa"/>
            <w:vAlign w:val="bottom"/>
            <w:tcBorders>
              <w:top w:val="single" w:sz="8" w:color="auto"/>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Section 302</w:t>
              </w:r>
            </w:hyperlink>
          </w:p>
        </w:tc>
        <w:tc>
          <w:tcPr>
            <w:tcW w:w="9440" w:type="dxa"/>
            <w:vAlign w:val="bottom"/>
            <w:tcBorders>
              <w:top w:val="single" w:sz="8" w:color="auto"/>
            </w:tcBorders>
            <w:gridSpan w:val="3"/>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Certification of Chief Executive Officer (filed herewith)</w:t>
              </w:r>
            </w:hyperlink>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Section 302</w:t>
              </w:r>
            </w:hyperlink>
          </w:p>
        </w:tc>
        <w:tc>
          <w:tcPr>
            <w:tcW w:w="9440" w:type="dxa"/>
            <w:vAlign w:val="bottom"/>
            <w:gridSpan w:val="3"/>
          </w:tcPr>
          <w:p>
            <w:pPr>
              <w:ind w:left="20"/>
              <w:spacing w:after="0"/>
              <w:rPr>
                <w:rFonts w:ascii="Arial" w:cs="Arial" w:eastAsia="Arial" w:hAnsi="Arial"/>
                <w:sz w:val="18"/>
                <w:szCs w:val="18"/>
                <w:color w:val="0000EE"/>
              </w:rPr>
            </w:pPr>
            <w:hyperlink w:anchor="page31">
              <w:r>
                <w:rPr>
                  <w:rFonts w:ascii="Arial" w:cs="Arial" w:eastAsia="Arial" w:hAnsi="Arial"/>
                  <w:sz w:val="18"/>
                  <w:szCs w:val="18"/>
                  <w:color w:val="0000EE"/>
                </w:rPr>
                <w:t>Certification of Principal Financial Officer (filed herewith)</w:t>
              </w:r>
            </w:hyperlink>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880" w:type="dxa"/>
            <w:vAlign w:val="bottom"/>
            <w:tcBorders>
              <w:top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Section 906</w:t>
              </w:r>
            </w:hyperlink>
          </w:p>
        </w:tc>
        <w:tc>
          <w:tcPr>
            <w:tcW w:w="4260" w:type="dxa"/>
            <w:vAlign w:val="bottom"/>
            <w:tcBorders>
              <w:top w:val="single" w:sz="8" w:color="0000EE"/>
            </w:tcBorders>
            <w:gridSpan w:val="2"/>
          </w:tcPr>
          <w:p>
            <w:pPr>
              <w:ind w:left="20"/>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Certification of Chief Executive Officer (filed herewith)</w:t>
              </w:r>
            </w:hyperlink>
          </w:p>
        </w:tc>
        <w:tc>
          <w:tcPr>
            <w:tcW w:w="51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Section 906</w:t>
              </w:r>
            </w:hyperlink>
          </w:p>
        </w:tc>
        <w:tc>
          <w:tcPr>
            <w:tcW w:w="9440" w:type="dxa"/>
            <w:vAlign w:val="bottom"/>
            <w:gridSpan w:val="3"/>
          </w:tcPr>
          <w:p>
            <w:pPr>
              <w:ind w:left="20"/>
              <w:spacing w:after="0"/>
              <w:rPr>
                <w:rFonts w:ascii="Arial" w:cs="Arial" w:eastAsia="Arial" w:hAnsi="Arial"/>
                <w:sz w:val="18"/>
                <w:szCs w:val="18"/>
                <w:color w:val="0000EE"/>
              </w:rPr>
            </w:pPr>
            <w:hyperlink w:anchor="page35">
              <w:r>
                <w:rPr>
                  <w:rFonts w:ascii="Arial" w:cs="Arial" w:eastAsia="Arial" w:hAnsi="Arial"/>
                  <w:sz w:val="18"/>
                  <w:szCs w:val="18"/>
                  <w:color w:val="0000EE"/>
                </w:rPr>
                <w:t>Certification of Principal Financial Officer (filed herewith)</w:t>
              </w:r>
            </w:hyperlink>
          </w:p>
        </w:tc>
      </w:tr>
      <w:tr>
        <w:trPr>
          <w:trHeight w:val="453"/>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1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 (filed herewith)</w:t>
            </w:r>
          </w:p>
        </w:tc>
        <w:tc>
          <w:tcPr>
            <w:tcW w:w="5180" w:type="dxa"/>
            <w:vAlign w:val="bottom"/>
          </w:tcPr>
          <w:p>
            <w:pPr>
              <w:spacing w:after="0"/>
              <w:rPr>
                <w:sz w:val="24"/>
                <w:szCs w:val="24"/>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20" w:type="dxa"/>
            <w:vAlign w:val="bottom"/>
            <w:gridSpan w:val="4"/>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320" w:type="dxa"/>
            <w:vAlign w:val="bottom"/>
            <w:gridSpan w:val="4"/>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2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39"/>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ind w:left="364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ClearOne, Inc.,</w:t>
            </w:r>
          </w:p>
        </w:tc>
      </w:tr>
      <w:tr>
        <w:trPr>
          <w:trHeight w:val="230"/>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(Registrant)</w:t>
            </w:r>
          </w:p>
        </w:tc>
      </w:tr>
      <w:tr>
        <w:trPr>
          <w:trHeight w:val="439"/>
        </w:trPr>
        <w:tc>
          <w:tcPr>
            <w:tcW w:w="3540" w:type="dxa"/>
            <w:vAlign w:val="bottom"/>
          </w:tcPr>
          <w:p>
            <w:pPr>
              <w:spacing w:after="0"/>
              <w:rPr>
                <w:sz w:val="24"/>
                <w:szCs w:val="24"/>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202"/>
        </w:trPr>
        <w:tc>
          <w:tcPr>
            <w:tcW w:w="3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November 14, 2017</w:t>
            </w:r>
          </w:p>
        </w:tc>
        <w:tc>
          <w:tcPr>
            <w:tcW w:w="25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9"/>
        </w:trPr>
        <w:tc>
          <w:tcPr>
            <w:tcW w:w="3540" w:type="dxa"/>
            <w:vAlign w:val="bottom"/>
          </w:tcPr>
          <w:p>
            <w:pPr>
              <w:spacing w:after="0"/>
              <w:rPr>
                <w:sz w:val="24"/>
                <w:szCs w:val="24"/>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202"/>
        </w:trPr>
        <w:tc>
          <w:tcPr>
            <w:tcW w:w="3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November 14, 2017</w:t>
            </w:r>
          </w:p>
        </w:tc>
        <w:tc>
          <w:tcPr>
            <w:tcW w:w="25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439"/>
        </w:trPr>
        <w:tc>
          <w:tcPr>
            <w:tcW w:w="3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26</w:t>
            </w: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7" w:name="page28"/>
    <w:bookmarkEnd w:id="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202"/>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35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14, 2017</w:t>
            </w:r>
          </w:p>
        </w:tc>
        <w:tc>
          <w:tcPr>
            <w:tcW w:w="2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9"/>
        </w:trPr>
        <w:tc>
          <w:tcPr>
            <w:tcW w:w="3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9" w:name="page30"/>
    <w:bookmarkEnd w:id="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202"/>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35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14, 2017</w:t>
            </w:r>
          </w:p>
        </w:tc>
        <w:tc>
          <w:tcPr>
            <w:tcW w:w="2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439"/>
        </w:trPr>
        <w:tc>
          <w:tcPr>
            <w:tcW w:w="3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ind w:left="10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September 30, 2017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202"/>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35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14, 2017</w:t>
            </w:r>
          </w:p>
        </w:tc>
        <w:tc>
          <w:tcPr>
            <w:tcW w:w="2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9"/>
        </w:trPr>
        <w:tc>
          <w:tcPr>
            <w:tcW w:w="3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3" w:name="page34"/>
    <w:bookmarkEnd w:id="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ind w:left="1028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September 30, 2017,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202"/>
        </w:trPr>
        <w:tc>
          <w:tcPr>
            <w:tcW w:w="35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35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November 14, 2017</w:t>
            </w:r>
          </w:p>
        </w:tc>
        <w:tc>
          <w:tcPr>
            <w:tcW w:w="2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439"/>
        </w:trPr>
        <w:tc>
          <w:tcPr>
            <w:tcW w:w="35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5" w:name="page36"/>
    <w:bookmarkEnd w:id="35"/>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2019-12-29T03:09:00Z</dcterms:created>
  <dcterms:modified xsi:type="dcterms:W3CDTF">2019-12-29T03:09:00Z</dcterms:modified>
</cp:coreProperties>
</file>