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13D/A</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r>
        <w:rPr>
          <w:rFonts w:ascii="Arial" w:cs="Arial" w:eastAsia="Arial" w:hAnsi="Arial"/>
          <w:sz w:val="18"/>
          <w:szCs w:val="18"/>
          <w:b w:val="1"/>
          <w:bCs w:val="1"/>
          <w:color w:val="auto"/>
        </w:rPr>
        <w:t>*</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185060100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 Bryan Bagley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1470 Arlington Drive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84103</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Tel. (801) 450-3605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December 4, 2018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(f) (g),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 copies are to be sent.</w:t>
      </w:r>
    </w:p>
    <w:p>
      <w:pPr>
        <w:spacing w:after="0" w:line="166"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5621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5621020"/>
                    </a:xfrm>
                    <a:prstGeom prst="rect">
                      <a:avLst/>
                    </a:prstGeom>
                    <a:noFill/>
                  </pic:spPr>
                </pic:pic>
              </a:graphicData>
            </a:graphic>
          </wp:anchor>
        </w:drawing>
      </w:r>
    </w:p>
    <w:p>
      <w:pPr>
        <w:spacing w:after="0" w:line="223" w:lineRule="exact"/>
        <w:rPr>
          <w:sz w:val="20"/>
          <w:szCs w:val="20"/>
          <w:color w:val="auto"/>
        </w:rPr>
      </w:pPr>
    </w:p>
    <w:p>
      <w:pPr>
        <w:ind w:left="1420" w:right="8600" w:hanging="1029"/>
        <w:spacing w:after="0" w:line="342" w:lineRule="auto"/>
        <w:tabs>
          <w:tab w:leader="none" w:pos="707"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E. Bryan Bagley</w:t>
      </w:r>
    </w:p>
    <w:p>
      <w:pPr>
        <w:spacing w:after="0" w:line="137" w:lineRule="exact"/>
        <w:rPr>
          <w:sz w:val="20"/>
          <w:szCs w:val="20"/>
          <w:color w:val="auto"/>
        </w:rPr>
      </w:pPr>
    </w:p>
    <w:p>
      <w:pPr>
        <w:ind w:left="720" w:hanging="32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660" w:hanging="237"/>
        <w:spacing w:after="0" w:line="207" w:lineRule="exact"/>
        <w:tabs>
          <w:tab w:leader="none" w:pos="1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680" w:hanging="257"/>
        <w:spacing w:after="0" w:line="207" w:lineRule="exact"/>
        <w:tabs>
          <w:tab w:leader="none" w:pos="16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3" w:lineRule="exact"/>
        <w:rPr>
          <w:sz w:val="20"/>
          <w:szCs w:val="20"/>
          <w:color w:val="auto"/>
        </w:rPr>
      </w:pPr>
    </w:p>
    <w:p>
      <w:pPr>
        <w:ind w:left="720" w:hanging="32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jc w:val="right"/>
        <w:ind w:left="1420" w:right="9520" w:hanging="1029"/>
        <w:spacing w:after="0" w:line="342" w:lineRule="auto"/>
        <w:tabs>
          <w:tab w:leader="none" w:pos="707"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of Funds Other</w:t>
      </w:r>
    </w:p>
    <w:p>
      <w:pPr>
        <w:spacing w:after="0" w:line="137" w:lineRule="exact"/>
        <w:rPr>
          <w:sz w:val="20"/>
          <w:szCs w:val="20"/>
          <w:color w:val="auto"/>
        </w:rPr>
      </w:pPr>
    </w:p>
    <w:p>
      <w:pPr>
        <w:ind w:left="1420" w:right="4660" w:hanging="1029"/>
        <w:spacing w:after="0" w:line="277" w:lineRule="auto"/>
        <w:tabs>
          <w:tab w:leader="none" w:pos="707"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Not applicable</w:t>
      </w:r>
    </w:p>
    <w:p>
      <w:pPr>
        <w:spacing w:after="0" w:line="184" w:lineRule="exact"/>
        <w:rPr>
          <w:sz w:val="20"/>
          <w:szCs w:val="20"/>
          <w:color w:val="auto"/>
        </w:rPr>
      </w:pPr>
    </w:p>
    <w:p>
      <w:pPr>
        <w:ind w:left="1420" w:right="8080" w:hanging="1029"/>
        <w:spacing w:after="0" w:line="277" w:lineRule="auto"/>
        <w:tabs>
          <w:tab w:leader="none" w:pos="707"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97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60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1,127,423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140" w:type="dxa"/>
            <w:vAlign w:val="bottom"/>
            <w:vMerge w:val="continue"/>
          </w:tcPr>
          <w:p>
            <w:pPr>
              <w:spacing w:after="0"/>
              <w:rPr>
                <w:sz w:val="16"/>
                <w:szCs w:val="16"/>
                <w:color w:val="auto"/>
              </w:rPr>
            </w:pPr>
          </w:p>
        </w:tc>
        <w:tc>
          <w:tcPr>
            <w:tcW w:w="6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8</w:t>
            </w:r>
          </w:p>
        </w:tc>
        <w:tc>
          <w:tcPr>
            <w:tcW w:w="96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600" w:type="dxa"/>
            <w:vAlign w:val="bottom"/>
          </w:tcPr>
          <w:p>
            <w:pPr>
              <w:spacing w:after="0"/>
              <w:rPr>
                <w:sz w:val="18"/>
                <w:szCs w:val="18"/>
                <w:color w:val="auto"/>
              </w:rPr>
            </w:pPr>
          </w:p>
        </w:tc>
        <w:tc>
          <w:tcPr>
            <w:tcW w:w="9680" w:type="dxa"/>
            <w:vAlign w:val="bottom"/>
          </w:tcPr>
          <w:p>
            <w:pPr>
              <w:ind w:left="740"/>
              <w:spacing w:after="0"/>
              <w:rPr>
                <w:sz w:val="20"/>
                <w:szCs w:val="20"/>
                <w:color w:val="auto"/>
              </w:rPr>
            </w:pPr>
            <w:r>
              <w:rPr>
                <w:rFonts w:ascii="Arial" w:cs="Arial" w:eastAsia="Arial" w:hAnsi="Arial"/>
                <w:sz w:val="18"/>
                <w:szCs w:val="18"/>
                <w:color w:val="auto"/>
              </w:rPr>
              <w:t>5,152,136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600" w:type="dxa"/>
            <w:vAlign w:val="bottom"/>
            <w:tcBorders>
              <w:bottom w:val="single" w:sz="8" w:color="auto"/>
            </w:tcBorders>
          </w:tcPr>
          <w:p>
            <w:pPr>
              <w:spacing w:after="0"/>
              <w:rPr>
                <w:sz w:val="20"/>
                <w:szCs w:val="20"/>
                <w:color w:val="auto"/>
              </w:rPr>
            </w:pPr>
          </w:p>
        </w:tc>
        <w:tc>
          <w:tcPr>
            <w:tcW w:w="9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40" w:type="dxa"/>
            <w:vAlign w:val="bottom"/>
          </w:tcPr>
          <w:p>
            <w:pPr>
              <w:jc w:val="center"/>
              <w:spacing w:after="0" w:line="182" w:lineRule="exact"/>
              <w:rPr>
                <w:sz w:val="20"/>
                <w:szCs w:val="20"/>
                <w:color w:val="auto"/>
              </w:rPr>
            </w:pPr>
            <w:r>
              <w:rPr>
                <w:rFonts w:ascii="Arial" w:cs="Arial" w:eastAsia="Arial" w:hAnsi="Arial"/>
                <w:sz w:val="18"/>
                <w:szCs w:val="18"/>
                <w:color w:val="auto"/>
                <w:w w:val="93"/>
              </w:rPr>
              <w:t>Owned by</w:t>
            </w:r>
          </w:p>
        </w:tc>
        <w:tc>
          <w:tcPr>
            <w:tcW w:w="6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9</w:t>
            </w:r>
          </w:p>
        </w:tc>
        <w:tc>
          <w:tcPr>
            <w:tcW w:w="96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7"/>
              </w:rPr>
              <w:t>Each</w:t>
            </w:r>
          </w:p>
        </w:tc>
        <w:tc>
          <w:tcPr>
            <w:tcW w:w="600" w:type="dxa"/>
            <w:vAlign w:val="bottom"/>
          </w:tcPr>
          <w:p>
            <w:pPr>
              <w:spacing w:after="0"/>
              <w:rPr>
                <w:sz w:val="18"/>
                <w:szCs w:val="18"/>
                <w:color w:val="auto"/>
              </w:rPr>
            </w:pPr>
          </w:p>
        </w:tc>
        <w:tc>
          <w:tcPr>
            <w:tcW w:w="9680" w:type="dxa"/>
            <w:vAlign w:val="bottom"/>
          </w:tcPr>
          <w:p>
            <w:pPr>
              <w:ind w:left="740"/>
              <w:spacing w:after="0"/>
              <w:rPr>
                <w:sz w:val="20"/>
                <w:szCs w:val="20"/>
                <w:color w:val="auto"/>
              </w:rPr>
            </w:pPr>
            <w:r>
              <w:rPr>
                <w:rFonts w:ascii="Arial" w:cs="Arial" w:eastAsia="Arial" w:hAnsi="Arial"/>
                <w:sz w:val="18"/>
                <w:szCs w:val="18"/>
                <w:color w:val="auto"/>
              </w:rPr>
              <w:t>1,127,423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60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600" w:type="dxa"/>
            <w:vAlign w:val="bottom"/>
            <w:tcBorders>
              <w:bottom w:val="single" w:sz="8" w:color="auto"/>
            </w:tcBorders>
          </w:tcPr>
          <w:p>
            <w:pPr>
              <w:spacing w:after="0"/>
              <w:rPr>
                <w:sz w:val="2"/>
                <w:szCs w:val="2"/>
                <w:color w:val="auto"/>
              </w:rPr>
            </w:pPr>
          </w:p>
        </w:tc>
        <w:tc>
          <w:tcPr>
            <w:tcW w:w="96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140" w:type="dxa"/>
            <w:vAlign w:val="bottom"/>
            <w:vMerge w:val="continue"/>
          </w:tcPr>
          <w:p>
            <w:pPr>
              <w:spacing w:after="0"/>
              <w:rPr>
                <w:sz w:val="16"/>
                <w:szCs w:val="16"/>
                <w:color w:val="auto"/>
              </w:rPr>
            </w:pPr>
          </w:p>
        </w:tc>
        <w:tc>
          <w:tcPr>
            <w:tcW w:w="60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10</w:t>
            </w:r>
          </w:p>
        </w:tc>
        <w:tc>
          <w:tcPr>
            <w:tcW w:w="9680" w:type="dxa"/>
            <w:vAlign w:val="bottom"/>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80" w:type="dxa"/>
            <w:vAlign w:val="bottom"/>
          </w:tcPr>
          <w:p>
            <w:pPr>
              <w:ind w:left="740"/>
              <w:spacing w:after="0"/>
              <w:rPr>
                <w:sz w:val="20"/>
                <w:szCs w:val="20"/>
                <w:color w:val="auto"/>
              </w:rPr>
            </w:pPr>
            <w:r>
              <w:rPr>
                <w:rFonts w:ascii="Arial" w:cs="Arial" w:eastAsia="Arial" w:hAnsi="Arial"/>
                <w:sz w:val="18"/>
                <w:szCs w:val="18"/>
                <w:color w:val="auto"/>
              </w:rPr>
              <w:t>5,152,136(1)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420" w:right="5900" w:hanging="1113"/>
        <w:spacing w:after="0" w:line="277" w:lineRule="auto"/>
        <w:tabs>
          <w:tab w:leader="none" w:pos="707"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6,279,559 (1)</w:t>
      </w:r>
    </w:p>
    <w:p>
      <w:pPr>
        <w:spacing w:after="0" w:line="151" w:lineRule="exact"/>
        <w:rPr>
          <w:rFonts w:ascii="Arial" w:cs="Arial" w:eastAsia="Arial" w:hAnsi="Arial"/>
          <w:sz w:val="18"/>
          <w:szCs w:val="18"/>
          <w:color w:val="auto"/>
        </w:rPr>
      </w:pPr>
    </w:p>
    <w:p>
      <w:pPr>
        <w:ind w:left="720" w:hanging="419"/>
        <w:spacing w:after="0" w:line="207" w:lineRule="exact"/>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71" w:lineRule="exact"/>
        <w:rPr>
          <w:rFonts w:ascii="Arial" w:cs="Arial" w:eastAsia="Arial" w:hAnsi="Arial"/>
          <w:sz w:val="18"/>
          <w:szCs w:val="18"/>
          <w:color w:val="auto"/>
        </w:rPr>
      </w:pPr>
    </w:p>
    <w:p>
      <w:pPr>
        <w:ind w:left="720" w:hanging="4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 of Class Represented by Amount in Row (11)</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37.8%</w:t>
      </w:r>
    </w:p>
    <w:p>
      <w:pPr>
        <w:spacing w:after="0" w:line="224" w:lineRule="exact"/>
        <w:rPr>
          <w:sz w:val="20"/>
          <w:szCs w:val="20"/>
          <w:color w:val="auto"/>
        </w:rPr>
      </w:pPr>
    </w:p>
    <w:p>
      <w:pPr>
        <w:ind w:left="720" w:hanging="419"/>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firstLine="8"/>
        <w:spacing w:after="0" w:line="273"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2,495,416 shares of common stock that Mr. Bagley may be deemed to beneficially own because he has shared voting power and shared dispositive power as a co-trustee of the E. Dallin Bagley Irrevocable Trust and 2,252,634 shares of common stock that Mr. Bagley may be deemed to beneficially own because he has shared voting power and shared dispositive power as a co-trustee of the BLA Investment Irrevocable Trust, 400,086 shares of common stock that Mr. Bagley may be deemed to indirectly own because they are in revocable trusts for which he acts as a co-trustee with his wife, and 4,000 shares that Mr. Bagley may be deemed to beneficially own because they are held by his children. The shares held by the referenced trusts may also be deemed to be beneficially owned by the other trustees and beneficiaries of said trusts.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185060100</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0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tcBorders>
              <w:right w:val="single" w:sz="8" w:color="auto"/>
            </w:tcBorders>
            <w:gridSpan w:val="3"/>
          </w:tcPr>
          <w:p>
            <w:pPr>
              <w:ind w:left="260"/>
              <w:spacing w:after="0"/>
              <w:rPr>
                <w:sz w:val="20"/>
                <w:szCs w:val="20"/>
                <w:color w:val="auto"/>
              </w:rPr>
            </w:pPr>
            <w:r>
              <w:rPr>
                <w:rFonts w:ascii="Arial" w:cs="Arial" w:eastAsia="Arial" w:hAnsi="Arial"/>
                <w:sz w:val="18"/>
                <w:szCs w:val="18"/>
                <w:color w:val="auto"/>
              </w:rPr>
              <w:t>Lisa B. Higley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ind w:left="400"/>
              <w:spacing w:after="0" w:line="163" w:lineRule="exact"/>
              <w:rPr>
                <w:sz w:val="20"/>
                <w:szCs w:val="20"/>
                <w:color w:val="auto"/>
              </w:rPr>
            </w:pPr>
            <w:r>
              <w:rPr>
                <w:rFonts w:ascii="Arial" w:cs="Arial" w:eastAsia="Arial" w:hAnsi="Arial"/>
                <w:sz w:val="18"/>
                <w:szCs w:val="18"/>
                <w:color w:val="auto"/>
              </w:rPr>
              <w:t>2</w:t>
            </w:r>
          </w:p>
        </w:tc>
        <w:tc>
          <w:tcPr>
            <w:tcW w:w="10840" w:type="dxa"/>
            <w:vAlign w:val="bottom"/>
            <w:tcBorders>
              <w:right w:val="single" w:sz="8" w:color="auto"/>
            </w:tcBorders>
            <w:gridSpan w:val="4"/>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ind w:left="26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9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gridSpan w:val="2"/>
          </w:tcPr>
          <w:p>
            <w:pPr>
              <w:ind w:left="26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9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w w:val="94"/>
              </w:rPr>
              <w:t>SEC Use Only</w:t>
            </w:r>
          </w:p>
        </w:tc>
        <w:tc>
          <w:tcPr>
            <w:tcW w:w="9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7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w w:val="88"/>
              </w:rPr>
              <w:t>Other</w:t>
            </w:r>
          </w:p>
        </w:tc>
        <w:tc>
          <w:tcPr>
            <w:tcW w:w="9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5</w:t>
            </w:r>
          </w:p>
        </w:tc>
        <w:tc>
          <w:tcPr>
            <w:tcW w:w="1084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tcBorders>
              <w:right w:val="single" w:sz="8" w:color="auto"/>
            </w:tcBorders>
            <w:gridSpan w:val="3"/>
          </w:tcPr>
          <w:p>
            <w:pPr>
              <w:ind w:left="2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6</w:t>
            </w:r>
          </w:p>
        </w:tc>
        <w:tc>
          <w:tcPr>
            <w:tcW w:w="1084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U.S.</w:t>
            </w:r>
          </w:p>
        </w:tc>
        <w:tc>
          <w:tcPr>
            <w:tcW w:w="9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jc w:val="right"/>
              <w:ind w:right="30"/>
              <w:spacing w:after="0" w:line="199"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9600" w:type="dxa"/>
            <w:vAlign w:val="bottom"/>
          </w:tcPr>
          <w:p>
            <w:pPr>
              <w:spacing w:after="0" w:line="19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0" w:type="dxa"/>
            <w:vAlign w:val="bottom"/>
          </w:tcPr>
          <w:p>
            <w:pPr>
              <w:ind w:left="640"/>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5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160" w:type="dxa"/>
            <w:vAlign w:val="bottom"/>
            <w:tcBorders>
              <w:right w:val="single" w:sz="8" w:color="auto"/>
            </w:tcBorders>
            <w:gridSpan w:val="2"/>
            <w:vMerge w:val="continue"/>
          </w:tcPr>
          <w:p>
            <w:pPr>
              <w:spacing w:after="0"/>
              <w:rPr>
                <w:sz w:val="7"/>
                <w:szCs w:val="7"/>
                <w:color w:val="auto"/>
              </w:rPr>
            </w:pPr>
          </w:p>
        </w:tc>
        <w:tc>
          <w:tcPr>
            <w:tcW w:w="580" w:type="dxa"/>
            <w:vAlign w:val="bottom"/>
            <w:tcBorders>
              <w:right w:val="single" w:sz="8" w:color="auto"/>
            </w:tcBorders>
            <w:vMerge w:val="restart"/>
          </w:tcPr>
          <w:p>
            <w:pPr>
              <w:jc w:val="right"/>
              <w:ind w:right="30"/>
              <w:spacing w:after="0" w:line="195"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7"/>
                <w:szCs w:val="7"/>
                <w:color w:val="auto"/>
              </w:rPr>
            </w:pPr>
          </w:p>
        </w:tc>
        <w:tc>
          <w:tcPr>
            <w:tcW w:w="9600" w:type="dxa"/>
            <w:vAlign w:val="bottom"/>
            <w:vMerge w:val="restart"/>
          </w:tcPr>
          <w:p>
            <w:pPr>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9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gridSpan w:val="2"/>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600" w:type="dxa"/>
            <w:vAlign w:val="bottom"/>
            <w:vMerge w:val="restart"/>
          </w:tcPr>
          <w:p>
            <w:pPr>
              <w:ind w:left="640"/>
              <w:spacing w:after="0"/>
              <w:rPr>
                <w:sz w:val="20"/>
                <w:szCs w:val="20"/>
                <w:color w:val="auto"/>
              </w:rPr>
            </w:pPr>
            <w:r>
              <w:rPr>
                <w:rFonts w:ascii="Arial" w:cs="Arial" w:eastAsia="Arial" w:hAnsi="Arial"/>
                <w:sz w:val="18"/>
                <w:szCs w:val="18"/>
                <w:color w:val="auto"/>
              </w:rPr>
              <w:t>4,748,050 (1)</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gridSpan w:val="2"/>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5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60" w:type="dxa"/>
            <w:vAlign w:val="bottom"/>
            <w:tcBorders>
              <w:right w:val="single" w:sz="8" w:color="auto"/>
            </w:tcBorders>
            <w:gridSpan w:val="2"/>
            <w:vMerge w:val="continue"/>
          </w:tcPr>
          <w:p>
            <w:pPr>
              <w:spacing w:after="0"/>
              <w:rPr>
                <w:sz w:val="6"/>
                <w:szCs w:val="6"/>
                <w:color w:val="auto"/>
              </w:rPr>
            </w:pPr>
          </w:p>
        </w:tc>
        <w:tc>
          <w:tcPr>
            <w:tcW w:w="580" w:type="dxa"/>
            <w:vAlign w:val="bottom"/>
            <w:tcBorders>
              <w:right w:val="single" w:sz="8" w:color="auto"/>
            </w:tcBorders>
            <w:vMerge w:val="restart"/>
          </w:tcPr>
          <w:p>
            <w:pPr>
              <w:jc w:val="right"/>
              <w:ind w:right="30"/>
              <w:spacing w:after="0" w:line="195"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60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60" w:type="dxa"/>
            <w:vAlign w:val="bottom"/>
            <w:tcBorders>
              <w:right w:val="single" w:sz="8" w:color="auto"/>
            </w:tcBorders>
            <w:gridSpan w:val="2"/>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0" w:type="dxa"/>
            <w:vAlign w:val="bottom"/>
            <w:vMerge w:val="restart"/>
          </w:tcPr>
          <w:p>
            <w:pPr>
              <w:ind w:left="640"/>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136"/>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5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gridSpan w:val="2"/>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5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160" w:type="dxa"/>
            <w:vAlign w:val="bottom"/>
            <w:tcBorders>
              <w:right w:val="single" w:sz="8" w:color="auto"/>
            </w:tcBorders>
            <w:gridSpan w:val="2"/>
            <w:vMerge w:val="continue"/>
          </w:tcPr>
          <w:p>
            <w:pPr>
              <w:spacing w:after="0"/>
              <w:rPr>
                <w:sz w:val="6"/>
                <w:szCs w:val="6"/>
                <w:color w:val="auto"/>
              </w:rPr>
            </w:pPr>
          </w:p>
        </w:tc>
        <w:tc>
          <w:tcPr>
            <w:tcW w:w="580" w:type="dxa"/>
            <w:vAlign w:val="bottom"/>
            <w:tcBorders>
              <w:right w:val="single" w:sz="8" w:color="auto"/>
            </w:tcBorders>
            <w:vMerge w:val="restart"/>
          </w:tcPr>
          <w:p>
            <w:pPr>
              <w:jc w:val="right"/>
              <w:ind w:right="30"/>
              <w:spacing w:after="0" w:line="195"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6"/>
                <w:szCs w:val="6"/>
                <w:color w:val="auto"/>
              </w:rPr>
            </w:pPr>
          </w:p>
        </w:tc>
        <w:tc>
          <w:tcPr>
            <w:tcW w:w="960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6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0" w:type="dxa"/>
            <w:vAlign w:val="bottom"/>
          </w:tcPr>
          <w:p>
            <w:pPr>
              <w:ind w:left="640"/>
              <w:spacing w:after="0"/>
              <w:rPr>
                <w:sz w:val="20"/>
                <w:szCs w:val="20"/>
                <w:color w:val="auto"/>
              </w:rPr>
            </w:pPr>
            <w:r>
              <w:rPr>
                <w:rFonts w:ascii="Arial" w:cs="Arial" w:eastAsia="Arial" w:hAnsi="Arial"/>
                <w:sz w:val="18"/>
                <w:szCs w:val="18"/>
                <w:color w:val="auto"/>
              </w:rPr>
              <w:t>4,748,050 (1)</w:t>
            </w: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right w:val="single" w:sz="8" w:color="auto"/>
            </w:tcBorders>
            <w:gridSpan w:val="2"/>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40" w:type="dxa"/>
            <w:vAlign w:val="bottom"/>
            <w:gridSpan w:val="5"/>
          </w:tcPr>
          <w:p>
            <w:pPr>
              <w:ind w:left="300"/>
              <w:spacing w:after="0" w:line="195" w:lineRule="exact"/>
              <w:rPr>
                <w:sz w:val="20"/>
                <w:szCs w:val="20"/>
                <w:color w:val="auto"/>
              </w:rPr>
            </w:pPr>
            <w:r>
              <w:rPr>
                <w:rFonts w:ascii="Arial" w:cs="Arial" w:eastAsia="Arial" w:hAnsi="Arial"/>
                <w:sz w:val="18"/>
                <w:szCs w:val="18"/>
                <w:color w:val="auto"/>
              </w:rPr>
              <w:t>11   Aggregate Amount Beneficially Owned by Each Reporting Person</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4,748,050 (1)</w:t>
            </w:r>
          </w:p>
        </w:tc>
        <w:tc>
          <w:tcPr>
            <w:tcW w:w="0" w:type="dxa"/>
            <w:vAlign w:val="bottom"/>
          </w:tcPr>
          <w:p>
            <w:pPr>
              <w:spacing w:after="0"/>
              <w:rPr>
                <w:sz w:val="1"/>
                <w:szCs w:val="1"/>
                <w:color w:val="auto"/>
              </w:rPr>
            </w:pPr>
          </w:p>
        </w:tc>
      </w:tr>
      <w:tr>
        <w:trPr>
          <w:trHeight w:val="216"/>
        </w:trPr>
        <w:tc>
          <w:tcPr>
            <w:tcW w:w="1144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1440" w:type="dxa"/>
            <w:vAlign w:val="bottom"/>
            <w:gridSpan w:val="5"/>
          </w:tcPr>
          <w:p>
            <w:pPr>
              <w:ind w:left="280"/>
              <w:spacing w:after="0" w:line="207" w:lineRule="exact"/>
              <w:rPr>
                <w:sz w:val="20"/>
                <w:szCs w:val="20"/>
                <w:color w:val="auto"/>
              </w:rPr>
            </w:pPr>
            <w:r>
              <w:rPr>
                <w:rFonts w:ascii="Arial" w:cs="Arial" w:eastAsia="Arial" w:hAnsi="Arial"/>
                <w:sz w:val="18"/>
                <w:szCs w:val="18"/>
                <w:color w:val="auto"/>
              </w:rPr>
              <w:t xml:space="preserve">12   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144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440" w:type="dxa"/>
            <w:vAlign w:val="bottom"/>
            <w:gridSpan w:val="5"/>
          </w:tcPr>
          <w:p>
            <w:pPr>
              <w:ind w:left="280"/>
              <w:spacing w:after="0" w:line="195" w:lineRule="exact"/>
              <w:rPr>
                <w:sz w:val="20"/>
                <w:szCs w:val="20"/>
                <w:color w:val="auto"/>
              </w:rPr>
            </w:pPr>
            <w:r>
              <w:rPr>
                <w:rFonts w:ascii="Arial" w:cs="Arial" w:eastAsia="Arial" w:hAnsi="Arial"/>
                <w:sz w:val="18"/>
                <w:szCs w:val="18"/>
                <w:color w:val="auto"/>
              </w:rPr>
              <w:t>13   Percentage of Class Represented by Amount in Row (11)</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-2668270</wp:posOffset>
            </wp:positionV>
            <wp:extent cx="7246620" cy="3235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235325"/>
                    </a:xfrm>
                    <a:prstGeom prst="rect">
                      <a:avLst/>
                    </a:prstGeom>
                    <a:noFill/>
                  </pic:spPr>
                </pic:pic>
              </a:graphicData>
            </a:graphic>
          </wp:anchor>
        </w:drawing>
      </w:r>
    </w:p>
    <w:p>
      <w:pPr>
        <w:spacing w:after="0" w:line="195" w:lineRule="exact"/>
        <w:rPr>
          <w:sz w:val="20"/>
          <w:szCs w:val="20"/>
          <w:color w:val="auto"/>
        </w:rPr>
      </w:pPr>
    </w:p>
    <w:p>
      <w:pPr>
        <w:ind w:left="700" w:hanging="413"/>
        <w:spacing w:after="0"/>
        <w:tabs>
          <w:tab w:leader="none" w:pos="7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right="280" w:firstLine="8"/>
        <w:spacing w:after="0" w:line="259"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2,495,416 shares of common stock that Lisa B. Higley may be deemed to beneficially own because she has shared voting power and shared dispositive power as a co-trustee of the E. Dallin Bagley Irrevocable Trust and 2,252,634 shares of common stock that Lisa B. Higley may be deemed to beneficially own because she has shared voting power and shared dispositive power as a co-trustee of the BLA Investment Irrevocable Trust. These shares may also deemed to be beneficially owned by the other trustees of said trusts.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185060100</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0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tcBorders>
              <w:right w:val="single" w:sz="8" w:color="auto"/>
            </w:tcBorders>
            <w:gridSpan w:val="3"/>
          </w:tcPr>
          <w:p>
            <w:pPr>
              <w:ind w:left="260"/>
              <w:spacing w:after="0"/>
              <w:rPr>
                <w:sz w:val="20"/>
                <w:szCs w:val="20"/>
                <w:color w:val="auto"/>
              </w:rPr>
            </w:pPr>
            <w:r>
              <w:rPr>
                <w:rFonts w:ascii="Arial" w:cs="Arial" w:eastAsia="Arial" w:hAnsi="Arial"/>
                <w:sz w:val="18"/>
                <w:szCs w:val="18"/>
                <w:color w:val="auto"/>
              </w:rPr>
              <w:t>Carolyn C. Bagley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ind w:left="400"/>
              <w:spacing w:after="0" w:line="163" w:lineRule="exact"/>
              <w:rPr>
                <w:sz w:val="20"/>
                <w:szCs w:val="20"/>
                <w:color w:val="auto"/>
              </w:rPr>
            </w:pPr>
            <w:r>
              <w:rPr>
                <w:rFonts w:ascii="Arial" w:cs="Arial" w:eastAsia="Arial" w:hAnsi="Arial"/>
                <w:sz w:val="18"/>
                <w:szCs w:val="18"/>
                <w:color w:val="auto"/>
              </w:rPr>
              <w:t>2</w:t>
            </w:r>
          </w:p>
        </w:tc>
        <w:tc>
          <w:tcPr>
            <w:tcW w:w="10840" w:type="dxa"/>
            <w:vAlign w:val="bottom"/>
            <w:tcBorders>
              <w:right w:val="single" w:sz="8" w:color="auto"/>
            </w:tcBorders>
            <w:gridSpan w:val="4"/>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ind w:left="26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9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gridSpan w:val="2"/>
          </w:tcPr>
          <w:p>
            <w:pPr>
              <w:ind w:left="26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9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w w:val="94"/>
              </w:rPr>
              <w:t>SEC Use Only</w:t>
            </w:r>
          </w:p>
        </w:tc>
        <w:tc>
          <w:tcPr>
            <w:tcW w:w="9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7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w w:val="88"/>
              </w:rPr>
              <w:t>Other</w:t>
            </w:r>
          </w:p>
        </w:tc>
        <w:tc>
          <w:tcPr>
            <w:tcW w:w="9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5</w:t>
            </w:r>
          </w:p>
        </w:tc>
        <w:tc>
          <w:tcPr>
            <w:tcW w:w="1084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tcBorders>
              <w:right w:val="single" w:sz="8" w:color="auto"/>
            </w:tcBorders>
            <w:gridSpan w:val="3"/>
          </w:tcPr>
          <w:p>
            <w:pPr>
              <w:ind w:left="2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6</w:t>
            </w:r>
          </w:p>
        </w:tc>
        <w:tc>
          <w:tcPr>
            <w:tcW w:w="1084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U.S.</w:t>
            </w:r>
          </w:p>
        </w:tc>
        <w:tc>
          <w:tcPr>
            <w:tcW w:w="9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jc w:val="right"/>
              <w:ind w:right="30"/>
              <w:spacing w:after="0" w:line="199"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9600" w:type="dxa"/>
            <w:vAlign w:val="bottom"/>
          </w:tcPr>
          <w:p>
            <w:pPr>
              <w:spacing w:after="0" w:line="19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0" w:type="dxa"/>
            <w:vAlign w:val="bottom"/>
          </w:tcPr>
          <w:p>
            <w:pPr>
              <w:ind w:left="640"/>
              <w:spacing w:after="0"/>
              <w:rPr>
                <w:sz w:val="20"/>
                <w:szCs w:val="20"/>
                <w:color w:val="auto"/>
              </w:rPr>
            </w:pPr>
            <w:r>
              <w:rPr>
                <w:rFonts w:ascii="Arial" w:cs="Arial" w:eastAsia="Arial" w:hAnsi="Arial"/>
                <w:sz w:val="18"/>
                <w:szCs w:val="18"/>
                <w:color w:val="auto"/>
              </w:rPr>
              <w:t>355,257</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5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160" w:type="dxa"/>
            <w:vAlign w:val="bottom"/>
            <w:tcBorders>
              <w:right w:val="single" w:sz="8" w:color="auto"/>
            </w:tcBorders>
            <w:gridSpan w:val="2"/>
            <w:vMerge w:val="continue"/>
          </w:tcPr>
          <w:p>
            <w:pPr>
              <w:spacing w:after="0"/>
              <w:rPr>
                <w:sz w:val="7"/>
                <w:szCs w:val="7"/>
                <w:color w:val="auto"/>
              </w:rPr>
            </w:pPr>
          </w:p>
        </w:tc>
        <w:tc>
          <w:tcPr>
            <w:tcW w:w="580" w:type="dxa"/>
            <w:vAlign w:val="bottom"/>
            <w:tcBorders>
              <w:right w:val="single" w:sz="8" w:color="auto"/>
            </w:tcBorders>
            <w:vMerge w:val="restart"/>
          </w:tcPr>
          <w:p>
            <w:pPr>
              <w:jc w:val="right"/>
              <w:ind w:right="30"/>
              <w:spacing w:after="0" w:line="195"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7"/>
                <w:szCs w:val="7"/>
                <w:color w:val="auto"/>
              </w:rPr>
            </w:pPr>
          </w:p>
        </w:tc>
        <w:tc>
          <w:tcPr>
            <w:tcW w:w="9600" w:type="dxa"/>
            <w:vAlign w:val="bottom"/>
            <w:vMerge w:val="restart"/>
          </w:tcPr>
          <w:p>
            <w:pPr>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9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gridSpan w:val="2"/>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600" w:type="dxa"/>
            <w:vAlign w:val="bottom"/>
            <w:vMerge w:val="restart"/>
          </w:tcPr>
          <w:p>
            <w:pPr>
              <w:ind w:left="640"/>
              <w:spacing w:after="0"/>
              <w:rPr>
                <w:sz w:val="20"/>
                <w:szCs w:val="20"/>
                <w:color w:val="auto"/>
              </w:rPr>
            </w:pPr>
            <w:r>
              <w:rPr>
                <w:rFonts w:ascii="Arial" w:cs="Arial" w:eastAsia="Arial" w:hAnsi="Arial"/>
                <w:sz w:val="18"/>
                <w:szCs w:val="18"/>
                <w:color w:val="auto"/>
              </w:rPr>
              <w:t>2,495,416 (1)</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gridSpan w:val="2"/>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5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60" w:type="dxa"/>
            <w:vAlign w:val="bottom"/>
            <w:tcBorders>
              <w:right w:val="single" w:sz="8" w:color="auto"/>
            </w:tcBorders>
            <w:gridSpan w:val="2"/>
            <w:vMerge w:val="continue"/>
          </w:tcPr>
          <w:p>
            <w:pPr>
              <w:spacing w:after="0"/>
              <w:rPr>
                <w:sz w:val="6"/>
                <w:szCs w:val="6"/>
                <w:color w:val="auto"/>
              </w:rPr>
            </w:pPr>
          </w:p>
        </w:tc>
        <w:tc>
          <w:tcPr>
            <w:tcW w:w="580" w:type="dxa"/>
            <w:vAlign w:val="bottom"/>
            <w:tcBorders>
              <w:right w:val="single" w:sz="8" w:color="auto"/>
            </w:tcBorders>
            <w:vMerge w:val="restart"/>
          </w:tcPr>
          <w:p>
            <w:pPr>
              <w:jc w:val="right"/>
              <w:ind w:right="30"/>
              <w:spacing w:after="0" w:line="195"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60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60" w:type="dxa"/>
            <w:vAlign w:val="bottom"/>
            <w:tcBorders>
              <w:right w:val="single" w:sz="8" w:color="auto"/>
            </w:tcBorders>
            <w:gridSpan w:val="2"/>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0" w:type="dxa"/>
            <w:vAlign w:val="bottom"/>
            <w:vMerge w:val="restart"/>
          </w:tcPr>
          <w:p>
            <w:pPr>
              <w:ind w:left="640"/>
              <w:spacing w:after="0"/>
              <w:rPr>
                <w:sz w:val="20"/>
                <w:szCs w:val="20"/>
                <w:color w:val="auto"/>
              </w:rPr>
            </w:pPr>
            <w:r>
              <w:rPr>
                <w:rFonts w:ascii="Arial" w:cs="Arial" w:eastAsia="Arial" w:hAnsi="Arial"/>
                <w:sz w:val="18"/>
                <w:szCs w:val="18"/>
                <w:color w:val="auto"/>
              </w:rPr>
              <w:t>355,257</w:t>
            </w:r>
          </w:p>
        </w:tc>
        <w:tc>
          <w:tcPr>
            <w:tcW w:w="0" w:type="dxa"/>
            <w:vAlign w:val="bottom"/>
          </w:tcPr>
          <w:p>
            <w:pPr>
              <w:spacing w:after="0"/>
              <w:rPr>
                <w:sz w:val="1"/>
                <w:szCs w:val="1"/>
                <w:color w:val="auto"/>
              </w:rPr>
            </w:pPr>
          </w:p>
        </w:tc>
      </w:tr>
      <w:tr>
        <w:trPr>
          <w:trHeight w:val="136"/>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5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gridSpan w:val="2"/>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5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160" w:type="dxa"/>
            <w:vAlign w:val="bottom"/>
            <w:tcBorders>
              <w:right w:val="single" w:sz="8" w:color="auto"/>
            </w:tcBorders>
            <w:gridSpan w:val="2"/>
            <w:vMerge w:val="continue"/>
          </w:tcPr>
          <w:p>
            <w:pPr>
              <w:spacing w:after="0"/>
              <w:rPr>
                <w:sz w:val="6"/>
                <w:szCs w:val="6"/>
                <w:color w:val="auto"/>
              </w:rPr>
            </w:pPr>
          </w:p>
        </w:tc>
        <w:tc>
          <w:tcPr>
            <w:tcW w:w="580" w:type="dxa"/>
            <w:vAlign w:val="bottom"/>
            <w:tcBorders>
              <w:right w:val="single" w:sz="8" w:color="auto"/>
            </w:tcBorders>
            <w:vMerge w:val="restart"/>
          </w:tcPr>
          <w:p>
            <w:pPr>
              <w:jc w:val="right"/>
              <w:ind w:right="30"/>
              <w:spacing w:after="0" w:line="195"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6"/>
                <w:szCs w:val="6"/>
                <w:color w:val="auto"/>
              </w:rPr>
            </w:pPr>
          </w:p>
        </w:tc>
        <w:tc>
          <w:tcPr>
            <w:tcW w:w="960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6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0" w:type="dxa"/>
            <w:vAlign w:val="bottom"/>
          </w:tcPr>
          <w:p>
            <w:pPr>
              <w:ind w:left="640"/>
              <w:spacing w:after="0"/>
              <w:rPr>
                <w:sz w:val="20"/>
                <w:szCs w:val="20"/>
                <w:color w:val="auto"/>
              </w:rPr>
            </w:pPr>
            <w:r>
              <w:rPr>
                <w:rFonts w:ascii="Arial" w:cs="Arial" w:eastAsia="Arial" w:hAnsi="Arial"/>
                <w:sz w:val="18"/>
                <w:szCs w:val="18"/>
                <w:color w:val="auto"/>
              </w:rPr>
              <w:t>2,495,416 (1)</w:t>
            </w: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right w:val="single" w:sz="8" w:color="auto"/>
            </w:tcBorders>
            <w:gridSpan w:val="2"/>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40" w:type="dxa"/>
            <w:vAlign w:val="bottom"/>
            <w:gridSpan w:val="5"/>
          </w:tcPr>
          <w:p>
            <w:pPr>
              <w:ind w:left="300"/>
              <w:spacing w:after="0" w:line="195" w:lineRule="exact"/>
              <w:rPr>
                <w:sz w:val="20"/>
                <w:szCs w:val="20"/>
                <w:color w:val="auto"/>
              </w:rPr>
            </w:pPr>
            <w:r>
              <w:rPr>
                <w:rFonts w:ascii="Arial" w:cs="Arial" w:eastAsia="Arial" w:hAnsi="Arial"/>
                <w:sz w:val="18"/>
                <w:szCs w:val="18"/>
                <w:color w:val="auto"/>
              </w:rPr>
              <w:t>11   Aggregate Amount Beneficially Owned by Each Reporting Person</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2,850,673</w:t>
            </w:r>
          </w:p>
        </w:tc>
        <w:tc>
          <w:tcPr>
            <w:tcW w:w="0" w:type="dxa"/>
            <w:vAlign w:val="bottom"/>
          </w:tcPr>
          <w:p>
            <w:pPr>
              <w:spacing w:after="0"/>
              <w:rPr>
                <w:sz w:val="1"/>
                <w:szCs w:val="1"/>
                <w:color w:val="auto"/>
              </w:rPr>
            </w:pPr>
          </w:p>
        </w:tc>
      </w:tr>
      <w:tr>
        <w:trPr>
          <w:trHeight w:val="216"/>
        </w:trPr>
        <w:tc>
          <w:tcPr>
            <w:tcW w:w="1144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1440" w:type="dxa"/>
            <w:vAlign w:val="bottom"/>
            <w:gridSpan w:val="5"/>
          </w:tcPr>
          <w:p>
            <w:pPr>
              <w:ind w:left="280"/>
              <w:spacing w:after="0" w:line="207" w:lineRule="exact"/>
              <w:rPr>
                <w:sz w:val="20"/>
                <w:szCs w:val="20"/>
                <w:color w:val="auto"/>
              </w:rPr>
            </w:pPr>
            <w:r>
              <w:rPr>
                <w:rFonts w:ascii="Arial" w:cs="Arial" w:eastAsia="Arial" w:hAnsi="Arial"/>
                <w:sz w:val="18"/>
                <w:szCs w:val="18"/>
                <w:color w:val="auto"/>
              </w:rPr>
              <w:t xml:space="preserve">12   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144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440" w:type="dxa"/>
            <w:vAlign w:val="bottom"/>
            <w:gridSpan w:val="5"/>
          </w:tcPr>
          <w:p>
            <w:pPr>
              <w:ind w:left="280"/>
              <w:spacing w:after="0" w:line="195" w:lineRule="exact"/>
              <w:rPr>
                <w:sz w:val="20"/>
                <w:szCs w:val="20"/>
                <w:color w:val="auto"/>
              </w:rPr>
            </w:pPr>
            <w:r>
              <w:rPr>
                <w:rFonts w:ascii="Arial" w:cs="Arial" w:eastAsia="Arial" w:hAnsi="Arial"/>
                <w:sz w:val="18"/>
                <w:szCs w:val="18"/>
                <w:color w:val="auto"/>
              </w:rPr>
              <w:t>13   Percentage of Class Represented by Amount in Row (11)</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-2668270</wp:posOffset>
            </wp:positionV>
            <wp:extent cx="7246620" cy="3235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235325"/>
                    </a:xfrm>
                    <a:prstGeom prst="rect">
                      <a:avLst/>
                    </a:prstGeom>
                    <a:noFill/>
                  </pic:spPr>
                </pic:pic>
              </a:graphicData>
            </a:graphic>
          </wp:anchor>
        </w:drawing>
      </w:r>
    </w:p>
    <w:p>
      <w:pPr>
        <w:spacing w:after="0" w:line="195" w:lineRule="exact"/>
        <w:rPr>
          <w:sz w:val="20"/>
          <w:szCs w:val="20"/>
          <w:color w:val="auto"/>
        </w:rPr>
      </w:pPr>
    </w:p>
    <w:p>
      <w:pPr>
        <w:ind w:left="700" w:hanging="413"/>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right="160" w:firstLine="8"/>
        <w:spacing w:after="0" w:line="26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2,495,416 shares of common stock that Carolyn C. Bagley may be deemed to beneficially own because she has shared voting power and shared dispositive power as a co-trustee of the E. Dallin Bagley Irrevocable Trust. These shares may also deemed to be beneficially owned by the other trustees of said trusts.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185060100</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0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1</w:t>
            </w:r>
          </w:p>
        </w:tc>
        <w:tc>
          <w:tcPr>
            <w:tcW w:w="10840" w:type="dxa"/>
            <w:vAlign w:val="bottom"/>
            <w:tcBorders>
              <w:top w:val="single" w:sz="8" w:color="auto"/>
              <w:right w:val="single" w:sz="8" w:color="auto"/>
            </w:tcBorders>
            <w:gridSpan w:val="4"/>
          </w:tcPr>
          <w:p>
            <w:pPr>
              <w:ind w:left="12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tcBorders>
              <w:right w:val="single" w:sz="8" w:color="auto"/>
            </w:tcBorders>
            <w:gridSpan w:val="3"/>
          </w:tcPr>
          <w:p>
            <w:pPr>
              <w:ind w:left="260"/>
              <w:spacing w:after="0"/>
              <w:rPr>
                <w:sz w:val="20"/>
                <w:szCs w:val="20"/>
                <w:color w:val="auto"/>
              </w:rPr>
            </w:pPr>
            <w:r>
              <w:rPr>
                <w:rFonts w:ascii="Arial" w:cs="Arial" w:eastAsia="Arial" w:hAnsi="Arial"/>
                <w:sz w:val="18"/>
                <w:szCs w:val="18"/>
                <w:color w:val="auto"/>
              </w:rPr>
              <w:t>Amanda B. Krejci</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0" w:type="dxa"/>
            <w:vAlign w:val="bottom"/>
            <w:tcBorders>
              <w:left w:val="single" w:sz="8" w:color="auto"/>
              <w:right w:val="single" w:sz="8" w:color="auto"/>
            </w:tcBorders>
          </w:tcPr>
          <w:p>
            <w:pPr>
              <w:ind w:left="400"/>
              <w:spacing w:after="0" w:line="163" w:lineRule="exact"/>
              <w:rPr>
                <w:sz w:val="20"/>
                <w:szCs w:val="20"/>
                <w:color w:val="auto"/>
              </w:rPr>
            </w:pPr>
            <w:r>
              <w:rPr>
                <w:rFonts w:ascii="Arial" w:cs="Arial" w:eastAsia="Arial" w:hAnsi="Arial"/>
                <w:sz w:val="18"/>
                <w:szCs w:val="18"/>
                <w:color w:val="auto"/>
              </w:rPr>
              <w:t>2</w:t>
            </w:r>
          </w:p>
        </w:tc>
        <w:tc>
          <w:tcPr>
            <w:tcW w:w="10840" w:type="dxa"/>
            <w:vAlign w:val="bottom"/>
            <w:tcBorders>
              <w:right w:val="single" w:sz="8" w:color="auto"/>
            </w:tcBorders>
            <w:gridSpan w:val="4"/>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ind w:left="26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9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gridSpan w:val="2"/>
          </w:tcPr>
          <w:p>
            <w:pPr>
              <w:ind w:left="26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9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3</w:t>
            </w: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w w:val="94"/>
              </w:rPr>
              <w:t>SEC Use Only</w:t>
            </w:r>
          </w:p>
        </w:tc>
        <w:tc>
          <w:tcPr>
            <w:tcW w:w="9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700" w:type="dxa"/>
            <w:vAlign w:val="bottom"/>
            <w:tcBorders>
              <w:bottom w:val="single" w:sz="8" w:color="auto"/>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4</w:t>
            </w:r>
          </w:p>
        </w:tc>
        <w:tc>
          <w:tcPr>
            <w:tcW w:w="1084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w w:val="88"/>
              </w:rPr>
              <w:t>Other</w:t>
            </w:r>
          </w:p>
        </w:tc>
        <w:tc>
          <w:tcPr>
            <w:tcW w:w="9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5</w:t>
            </w:r>
          </w:p>
        </w:tc>
        <w:tc>
          <w:tcPr>
            <w:tcW w:w="1084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tcBorders>
              <w:right w:val="single" w:sz="8" w:color="auto"/>
            </w:tcBorders>
            <w:gridSpan w:val="3"/>
          </w:tcPr>
          <w:p>
            <w:pPr>
              <w:ind w:left="2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7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Borders>
              <w:left w:val="single" w:sz="8" w:color="auto"/>
              <w:right w:val="single" w:sz="8" w:color="auto"/>
            </w:tcBorders>
          </w:tcPr>
          <w:p>
            <w:pPr>
              <w:ind w:left="400"/>
              <w:spacing w:after="0" w:line="195" w:lineRule="exact"/>
              <w:rPr>
                <w:sz w:val="20"/>
                <w:szCs w:val="20"/>
                <w:color w:val="auto"/>
              </w:rPr>
            </w:pPr>
            <w:r>
              <w:rPr>
                <w:rFonts w:ascii="Arial" w:cs="Arial" w:eastAsia="Arial" w:hAnsi="Arial"/>
                <w:sz w:val="18"/>
                <w:szCs w:val="18"/>
                <w:color w:val="auto"/>
              </w:rPr>
              <w:t>6</w:t>
            </w:r>
          </w:p>
        </w:tc>
        <w:tc>
          <w:tcPr>
            <w:tcW w:w="10840" w:type="dxa"/>
            <w:vAlign w:val="bottom"/>
            <w:tcBorders>
              <w:right w:val="single" w:sz="8" w:color="auto"/>
            </w:tcBorders>
            <w:gridSpan w:val="4"/>
          </w:tcPr>
          <w:p>
            <w:pPr>
              <w:ind w:left="120"/>
              <w:spacing w:after="0" w:line="195"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U.S.</w:t>
            </w:r>
          </w:p>
        </w:tc>
        <w:tc>
          <w:tcPr>
            <w:tcW w:w="9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00" w:type="dxa"/>
            <w:vAlign w:val="bottom"/>
            <w:tcBorders>
              <w:left w:val="single" w:sz="8" w:color="auto"/>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jc w:val="right"/>
              <w:ind w:right="30"/>
              <w:spacing w:after="0" w:line="199"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9600" w:type="dxa"/>
            <w:vAlign w:val="bottom"/>
          </w:tcPr>
          <w:p>
            <w:pPr>
              <w:spacing w:after="0" w:line="199"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0" w:type="dxa"/>
            <w:vAlign w:val="bottom"/>
          </w:tcPr>
          <w:p>
            <w:pPr>
              <w:ind w:left="64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5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160" w:type="dxa"/>
            <w:vAlign w:val="bottom"/>
            <w:tcBorders>
              <w:right w:val="single" w:sz="8" w:color="auto"/>
            </w:tcBorders>
            <w:gridSpan w:val="2"/>
            <w:vMerge w:val="continue"/>
          </w:tcPr>
          <w:p>
            <w:pPr>
              <w:spacing w:after="0"/>
              <w:rPr>
                <w:sz w:val="7"/>
                <w:szCs w:val="7"/>
                <w:color w:val="auto"/>
              </w:rPr>
            </w:pPr>
          </w:p>
        </w:tc>
        <w:tc>
          <w:tcPr>
            <w:tcW w:w="580" w:type="dxa"/>
            <w:vAlign w:val="bottom"/>
            <w:tcBorders>
              <w:right w:val="single" w:sz="8" w:color="auto"/>
            </w:tcBorders>
            <w:vMerge w:val="restart"/>
          </w:tcPr>
          <w:p>
            <w:pPr>
              <w:jc w:val="right"/>
              <w:ind w:right="30"/>
              <w:spacing w:after="0" w:line="195"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7"/>
                <w:szCs w:val="7"/>
                <w:color w:val="auto"/>
              </w:rPr>
            </w:pPr>
          </w:p>
        </w:tc>
        <w:tc>
          <w:tcPr>
            <w:tcW w:w="9600" w:type="dxa"/>
            <w:vAlign w:val="bottom"/>
            <w:vMerge w:val="restart"/>
          </w:tcPr>
          <w:p>
            <w:pPr>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9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Borders>
              <w:right w:val="single" w:sz="8" w:color="auto"/>
            </w:tcBorders>
            <w:gridSpan w:val="2"/>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600" w:type="dxa"/>
            <w:vAlign w:val="bottom"/>
            <w:vMerge w:val="restart"/>
          </w:tcPr>
          <w:p>
            <w:pPr>
              <w:ind w:left="640"/>
              <w:spacing w:after="0"/>
              <w:rPr>
                <w:sz w:val="20"/>
                <w:szCs w:val="20"/>
                <w:color w:val="auto"/>
              </w:rPr>
            </w:pPr>
            <w:r>
              <w:rPr>
                <w:rFonts w:ascii="Arial" w:cs="Arial" w:eastAsia="Arial" w:hAnsi="Arial"/>
                <w:sz w:val="18"/>
                <w:szCs w:val="18"/>
                <w:color w:val="auto"/>
              </w:rPr>
              <w:t>4,748,050 (1)</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60" w:type="dxa"/>
            <w:vAlign w:val="bottom"/>
            <w:tcBorders>
              <w:right w:val="single" w:sz="8" w:color="auto"/>
            </w:tcBorders>
            <w:gridSpan w:val="2"/>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Owned by</w:t>
            </w:r>
          </w:p>
        </w:tc>
        <w:tc>
          <w:tcPr>
            <w:tcW w:w="5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60" w:type="dxa"/>
            <w:vAlign w:val="bottom"/>
            <w:tcBorders>
              <w:right w:val="single" w:sz="8" w:color="auto"/>
            </w:tcBorders>
            <w:gridSpan w:val="2"/>
            <w:vMerge w:val="continue"/>
          </w:tcPr>
          <w:p>
            <w:pPr>
              <w:spacing w:after="0"/>
              <w:rPr>
                <w:sz w:val="6"/>
                <w:szCs w:val="6"/>
                <w:color w:val="auto"/>
              </w:rPr>
            </w:pPr>
          </w:p>
        </w:tc>
        <w:tc>
          <w:tcPr>
            <w:tcW w:w="580" w:type="dxa"/>
            <w:vAlign w:val="bottom"/>
            <w:tcBorders>
              <w:right w:val="single" w:sz="8" w:color="auto"/>
            </w:tcBorders>
            <w:vMerge w:val="restart"/>
          </w:tcPr>
          <w:p>
            <w:pPr>
              <w:jc w:val="right"/>
              <w:ind w:right="30"/>
              <w:spacing w:after="0" w:line="195"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60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160" w:type="dxa"/>
            <w:vAlign w:val="bottom"/>
            <w:tcBorders>
              <w:right w:val="single" w:sz="8" w:color="auto"/>
            </w:tcBorders>
            <w:gridSpan w:val="2"/>
            <w:vMerge w:val="restart"/>
          </w:tcPr>
          <w:p>
            <w:pPr>
              <w:ind w:left="400"/>
              <w:spacing w:after="0"/>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60" w:type="dxa"/>
            <w:vAlign w:val="bottom"/>
            <w:tcBorders>
              <w:right w:val="single" w:sz="8" w:color="auto"/>
            </w:tcBorders>
            <w:gridSpan w:val="2"/>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0" w:type="dxa"/>
            <w:vAlign w:val="bottom"/>
            <w:vMerge w:val="restart"/>
          </w:tcPr>
          <w:p>
            <w:pPr>
              <w:ind w:left="64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136"/>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5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160" w:type="dxa"/>
            <w:vAlign w:val="bottom"/>
            <w:tcBorders>
              <w:right w:val="single" w:sz="8" w:color="auto"/>
            </w:tcBorders>
            <w:gridSpan w:val="2"/>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1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58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160" w:type="dxa"/>
            <w:vAlign w:val="bottom"/>
            <w:tcBorders>
              <w:right w:val="single" w:sz="8" w:color="auto"/>
            </w:tcBorders>
            <w:gridSpan w:val="2"/>
            <w:vMerge w:val="continue"/>
          </w:tcPr>
          <w:p>
            <w:pPr>
              <w:spacing w:after="0"/>
              <w:rPr>
                <w:sz w:val="6"/>
                <w:szCs w:val="6"/>
                <w:color w:val="auto"/>
              </w:rPr>
            </w:pPr>
          </w:p>
        </w:tc>
        <w:tc>
          <w:tcPr>
            <w:tcW w:w="580" w:type="dxa"/>
            <w:vAlign w:val="bottom"/>
            <w:tcBorders>
              <w:right w:val="single" w:sz="8" w:color="auto"/>
            </w:tcBorders>
            <w:vMerge w:val="restart"/>
          </w:tcPr>
          <w:p>
            <w:pPr>
              <w:jc w:val="right"/>
              <w:ind w:right="30"/>
              <w:spacing w:after="0" w:line="195"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6"/>
                <w:szCs w:val="6"/>
                <w:color w:val="auto"/>
              </w:rPr>
            </w:pPr>
          </w:p>
        </w:tc>
        <w:tc>
          <w:tcPr>
            <w:tcW w:w="960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6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0" w:type="dxa"/>
            <w:vAlign w:val="bottom"/>
          </w:tcPr>
          <w:p>
            <w:pPr>
              <w:ind w:left="640"/>
              <w:spacing w:after="0"/>
              <w:rPr>
                <w:sz w:val="20"/>
                <w:szCs w:val="20"/>
                <w:color w:val="auto"/>
              </w:rPr>
            </w:pPr>
            <w:r>
              <w:rPr>
                <w:rFonts w:ascii="Arial" w:cs="Arial" w:eastAsia="Arial" w:hAnsi="Arial"/>
                <w:sz w:val="18"/>
                <w:szCs w:val="18"/>
                <w:color w:val="auto"/>
              </w:rPr>
              <w:t>4,748,050 (1)</w:t>
            </w: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right w:val="single" w:sz="8" w:color="auto"/>
            </w:tcBorders>
            <w:gridSpan w:val="2"/>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970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440" w:type="dxa"/>
            <w:vAlign w:val="bottom"/>
            <w:gridSpan w:val="5"/>
          </w:tcPr>
          <w:p>
            <w:pPr>
              <w:ind w:left="300"/>
              <w:spacing w:after="0" w:line="195" w:lineRule="exact"/>
              <w:rPr>
                <w:sz w:val="20"/>
                <w:szCs w:val="20"/>
                <w:color w:val="auto"/>
              </w:rPr>
            </w:pPr>
            <w:r>
              <w:rPr>
                <w:rFonts w:ascii="Arial" w:cs="Arial" w:eastAsia="Arial" w:hAnsi="Arial"/>
                <w:sz w:val="18"/>
                <w:szCs w:val="18"/>
                <w:color w:val="auto"/>
              </w:rPr>
              <w:t>11   Aggregate Amount Beneficially Owned by Each Reporting Person</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4,752,486 (1)</w:t>
            </w:r>
          </w:p>
        </w:tc>
        <w:tc>
          <w:tcPr>
            <w:tcW w:w="0" w:type="dxa"/>
            <w:vAlign w:val="bottom"/>
          </w:tcPr>
          <w:p>
            <w:pPr>
              <w:spacing w:after="0"/>
              <w:rPr>
                <w:sz w:val="1"/>
                <w:szCs w:val="1"/>
                <w:color w:val="auto"/>
              </w:rPr>
            </w:pPr>
          </w:p>
        </w:tc>
      </w:tr>
      <w:tr>
        <w:trPr>
          <w:trHeight w:val="216"/>
        </w:trPr>
        <w:tc>
          <w:tcPr>
            <w:tcW w:w="1144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1440" w:type="dxa"/>
            <w:vAlign w:val="bottom"/>
            <w:gridSpan w:val="5"/>
          </w:tcPr>
          <w:p>
            <w:pPr>
              <w:ind w:left="280"/>
              <w:spacing w:after="0" w:line="207" w:lineRule="exact"/>
              <w:rPr>
                <w:sz w:val="20"/>
                <w:szCs w:val="20"/>
                <w:color w:val="auto"/>
              </w:rPr>
            </w:pPr>
            <w:r>
              <w:rPr>
                <w:rFonts w:ascii="Arial" w:cs="Arial" w:eastAsia="Arial" w:hAnsi="Arial"/>
                <w:sz w:val="18"/>
                <w:szCs w:val="18"/>
                <w:color w:val="auto"/>
              </w:rPr>
              <w:t xml:space="preserve">12   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11440" w:type="dxa"/>
            <w:vAlign w:val="bottom"/>
            <w:tcBorders>
              <w:bottom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440" w:type="dxa"/>
            <w:vAlign w:val="bottom"/>
            <w:gridSpan w:val="5"/>
          </w:tcPr>
          <w:p>
            <w:pPr>
              <w:ind w:left="280"/>
              <w:spacing w:after="0" w:line="195" w:lineRule="exact"/>
              <w:rPr>
                <w:sz w:val="20"/>
                <w:szCs w:val="20"/>
                <w:color w:val="auto"/>
              </w:rPr>
            </w:pPr>
            <w:r>
              <w:rPr>
                <w:rFonts w:ascii="Arial" w:cs="Arial" w:eastAsia="Arial" w:hAnsi="Arial"/>
                <w:sz w:val="18"/>
                <w:szCs w:val="18"/>
                <w:color w:val="auto"/>
              </w:rPr>
              <w:t>13   Percentage of Class Represented by Amount in Row (11)</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-2668270</wp:posOffset>
            </wp:positionV>
            <wp:extent cx="7246620" cy="3235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235325"/>
                    </a:xfrm>
                    <a:prstGeom prst="rect">
                      <a:avLst/>
                    </a:prstGeom>
                    <a:noFill/>
                  </pic:spPr>
                </pic:pic>
              </a:graphicData>
            </a:graphic>
          </wp:anchor>
        </w:drawing>
      </w:r>
    </w:p>
    <w:p>
      <w:pPr>
        <w:spacing w:after="0" w:line="195" w:lineRule="exact"/>
        <w:rPr>
          <w:sz w:val="20"/>
          <w:szCs w:val="20"/>
          <w:color w:val="auto"/>
        </w:rPr>
      </w:pPr>
    </w:p>
    <w:p>
      <w:pPr>
        <w:ind w:left="700" w:hanging="413"/>
        <w:spacing w:after="0"/>
        <w:tabs>
          <w:tab w:leader="none" w:pos="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right="280" w:firstLine="8"/>
        <w:spacing w:after="0" w:line="259"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2,495,416 shares of common stock that Lisa B. Higley may be deemed to beneficially own because she has shared voting power and shared dispositive power as a co-trustee of the E. Dallin Bagley Irrevocable Trust and 2,252,634 shares of common stock that Lisa B. Higley may be deemed to beneficially own because she has shared voting power and shared dispositive power as a co-trustee of the BLA Investment Irrevocable Trust. These shares may also deemed to be beneficially owned by the other trustees of said trusts.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This statement on Schedule 13D relates to the shares of common stock, par value $.001 per share (the “Common Stock”), of ClearOne Inc., a Utah corporation (the “Company”). The Company’s principal executive offices are located at 5225 Wiley Post Way, Suite 500, Salt Lake City, Utah 84116.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Name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being jointly filed by E. Bryan Bagley, Lisa B. Higley, Carolyn C. Bagley and Amanda B. Krejci.</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Residence or business address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Bryan Bagley’s address is 1470 Arlington Drive, Salt Lake City, Utah 84103.</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Lisa B. Higley’s address is 2224 Dallin Street, Salt Lake City, Utah 84109.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Carolyn C. Bagley’s address is 2350 Oakhill Drive, Salt Lake City, Utah 84121.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Amanda B. Krejci’s address is 1847 Charleston Lane, Salt Lake City, Utah 84121.</w:t>
      </w:r>
    </w:p>
    <w:p>
      <w:pPr>
        <w:spacing w:after="0" w:line="207" w:lineRule="exact"/>
        <w:rPr>
          <w:sz w:val="20"/>
          <w:szCs w:val="20"/>
          <w:color w:val="auto"/>
        </w:rPr>
      </w:pPr>
    </w:p>
    <w:p>
      <w:pPr>
        <w:ind w:right="200" w:firstLine="656"/>
        <w:spacing w:after="0" w:line="282" w:lineRule="auto"/>
        <w:tabs>
          <w:tab w:leader="none" w:pos="89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Present principal occupation or employment and the name, principal business and address of any corporation or other organization in which such employment is conducted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Bryan Bagley is principally self-employed as an investor at the address listed in Item 2(b) above.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Lisa B. Higley is principally self-employed as a CPA at the address listed in Item 2(b) above.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Carolyn C. Bagley is retired.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Amanda B. Krejci is principally self-employed as an investor at the address listed in Item 2(b) above.</w:t>
      </w:r>
    </w:p>
    <w:p>
      <w:pPr>
        <w:spacing w:after="0" w:line="207" w:lineRule="exact"/>
        <w:rPr>
          <w:sz w:val="20"/>
          <w:szCs w:val="20"/>
          <w:color w:val="auto"/>
        </w:rPr>
      </w:pPr>
    </w:p>
    <w:p>
      <w:pPr>
        <w:ind w:firstLine="656"/>
        <w:spacing w:after="0" w:line="266" w:lineRule="auto"/>
        <w:tabs>
          <w:tab w:leader="none" w:pos="91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firstLine="656"/>
        <w:spacing w:after="0" w:line="281" w:lineRule="auto"/>
        <w:tabs>
          <w:tab w:leader="none" w:pos="893"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 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reporting person is a citizen of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auto"/>
        </w:rPr>
        <w:t>The Common Stock was acquired, in part, by gift, and, in part, with borrowed funds. The information in Item 5 is hereby incorporated by reference.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 w:name="page7"/>
    <w:bookmarkEnd w:id="6"/>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acquired the Common Stock for investment purposes.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pursuing such investment purposes, the reporting persons may further purchase, hold, vote, trade, dispose or otherwise deal in the Common Stock at such times, and in such manner, as each reporting person deems advisable to benefit from changes in market prices of the Common Stock, changes in the Issuer's operations, business strategy or prospects, or from sale or merger of the Issuer. To evaluate such alternatives, each reporting person may routinely monitor the Issuer's operations, prospects, business development, management, competitive and strategic matters, capital structure, and prevailing market conditions, as well as alternative investment opportunities, liquidity requirements of each such reporting person and other investment considerations. The reporting persons may discuss such matters with management or directors of the Issuer, other shareholders, industry analysts, investment and financing professionals, sources of credit and other investors. Such factors and discussions may materially affect, and result in, one or more reporting persons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reporting person reserves the right to formulate other plans and/or make other proposals, and take such actions with respect to the investment in the Issuer, including any or all of the actions set forth in paragraphs (a) through (j) of Item 4 of Schedule 13D, or acquire additional Common Stock or dispose of all the Common Stock beneficially owned by the reporting person, in the public market or privately negotiated transactions. Each reporting person may at any time reconsider and change his plans or proposals relating to the foregoing.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right="260" w:firstLine="8"/>
        <w:spacing w:after="0" w:line="31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the date hereof, Carolyn C. Bagley, E. Bryan Bagley, Amanda B. Krejci and Lisa B. Higley act as Trustees of the E. Dallin Bagley Irrevocable Trust (the “EDBIT”). 2,495,416 shares of Common Stock are owned in the EDBIT. As of the date hereof, E. Bryan Bagley, Lisa B. Higley and Amanda B. Krejci act as Trustees of the BLA Investment Irrevocable Trust (“BLAIIT”). 2,252,634 shares of Common Stock are owned in the BLAIIT.</w:t>
      </w:r>
    </w:p>
    <w:p>
      <w:pPr>
        <w:spacing w:after="0" w:line="146" w:lineRule="exact"/>
        <w:rPr>
          <w:rFonts w:ascii="Arial" w:cs="Arial" w:eastAsia="Arial" w:hAnsi="Arial"/>
          <w:sz w:val="16"/>
          <w:szCs w:val="16"/>
          <w:color w:val="auto"/>
        </w:rPr>
      </w:pPr>
    </w:p>
    <w:p>
      <w:pPr>
        <w:ind w:right="60" w:firstLine="656"/>
        <w:spacing w:after="0" w:line="279" w:lineRule="auto"/>
        <w:tabs>
          <w:tab w:leader="none" w:pos="8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Bryan Bagley may be the beneficial owner of 6,279,559 shares of Common Stock, representing approximately 37.8% of the Issuer’s outstanding Common Stock based on the 16,613,070 shares of Common Stock as of December 4, 2018. This number includes (i) 4,748,050 shares of Common Stock as a result of his position of Trustee in the EDBIT and the BLAIIT, (ii) 400,086 additional shares of Common Stock as a result of his position of Trustee of two additional revocable trusts and (iii) 4,000 shares of Common Stock that are held by Mr. Bagley’s children.</w:t>
      </w:r>
    </w:p>
    <w:p>
      <w:pPr>
        <w:spacing w:after="0" w:line="17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Lisa B. Higley may be the beneficial owner of 4,748,050 shares of Common Stock, representing approximately 28.6% of the Issuer’s outstanding Common Stock based on the 16,613,070 shares of Common Stock as of December 4, 2018. This number includes 4,748,050 shares of Common Stock as a result of her position of Trustee in the EDBIT and the BLAIIT.</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Carolyn C. Bagley may be the beneficial owner of 2,850,673 shares of Common Stock, representing approximately 17.2% of the Issuer’s outstanding Common Stock based on the 16,613,070 shares of Common Stock as of December 4, 2018. This number includes 2,495,416 shares of Common Stock as a result of her position of Trustee in the EDBIT.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Amanda B. Krejci may be the beneficial owner of 4,752,486 shares of Common Stock, representing approximately 28.6% of the Issuer’s outstanding Common Stock based on the 16,613,070 shares of Common Stock as of December 4, 2018. This number includes 4,748,050 shares of Common Stock as a result of her position of Trustee in the EDBIT and the BLAIIT.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of Common Stock as to which E. Bryan Bagley has: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direct the vote: 1,127,423</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vote or direct the vote: 5,152,136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dispose or direct the disposition: 1,127,423</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5,152,136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as to which Lisa B. Higley has:</w:t>
      </w:r>
    </w:p>
    <w:p>
      <w:pPr>
        <w:spacing w:after="0" w:line="225" w:lineRule="exact"/>
        <w:rPr>
          <w:sz w:val="20"/>
          <w:szCs w:val="20"/>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power to vote or direct the vote: 7,475</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vote or direct the vote: 4,748,050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power to dispose or direct the disposition: 7,475</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4,748,050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as to which Carolyn C. Bagley has:</w:t>
      </w:r>
    </w:p>
    <w:p>
      <w:pPr>
        <w:spacing w:after="0" w:line="225"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 power to vote or direct the vote: 355,257</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vote or direct the vote: 2,495,416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 power to dispose or direct the disposition: 355,257</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2,495,416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as to which Amanda B. Krejci has:</w:t>
      </w:r>
    </w:p>
    <w:p>
      <w:pPr>
        <w:spacing w:after="0" w:line="225" w:lineRule="exact"/>
        <w:rPr>
          <w:sz w:val="20"/>
          <w:szCs w:val="20"/>
          <w:color w:val="auto"/>
        </w:rPr>
      </w:pPr>
    </w:p>
    <w:p>
      <w:pPr>
        <w:ind w:left="880" w:hanging="224"/>
        <w:spacing w:after="0"/>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vote or direct the vote: 4,436</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vote or direct the vote: 4,748,050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dispose or direct the disposition: 4,436</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4,748,050</w:t>
      </w:r>
    </w:p>
    <w:p>
      <w:pPr>
        <w:spacing w:after="0" w:line="210" w:lineRule="exact"/>
        <w:rPr>
          <w:rFonts w:ascii="Arial" w:cs="Arial" w:eastAsia="Arial" w:hAnsi="Arial"/>
          <w:sz w:val="18"/>
          <w:szCs w:val="18"/>
          <w:color w:val="auto"/>
        </w:rPr>
      </w:pPr>
    </w:p>
    <w:p>
      <w:pPr>
        <w:jc w:val="both"/>
        <w:ind w:left="660" w:hanging="652"/>
        <w:spacing w:after="0" w:line="288"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sixty (60) days immediately prior to the date of this Report, the reporting persons have engaged in the following transactions with respect to the Common Stock: (i) on December 4, 2018 E. Bryan Bagley, Lisa B. Higley, and Amanda B. Krejci as Trustees of the BLAIIT acquired beneficial ownership of 1,452,634 shares of Common Stock in a registered rights offering sponsored by the Company at a price of $1.20 per share;</w:t>
      </w:r>
    </w:p>
    <w:p>
      <w:pPr>
        <w:jc w:val="both"/>
        <w:ind w:left="660" w:hanging="4"/>
        <w:spacing w:after="0" w:line="253" w:lineRule="auto"/>
        <w:tabs>
          <w:tab w:leader="none" w:pos="931" w:val="left"/>
        </w:tabs>
        <w:numPr>
          <w:ilvl w:val="1"/>
          <w:numId w:val="24"/>
        </w:numPr>
        <w:rPr>
          <w:rFonts w:ascii="Arial" w:cs="Arial" w:eastAsia="Arial" w:hAnsi="Arial"/>
          <w:sz w:val="18"/>
          <w:szCs w:val="18"/>
          <w:color w:val="auto"/>
        </w:rPr>
      </w:pPr>
      <w:r>
        <w:rPr>
          <w:rFonts w:ascii="Arial" w:cs="Arial" w:eastAsia="Arial" w:hAnsi="Arial"/>
          <w:sz w:val="18"/>
          <w:szCs w:val="18"/>
          <w:color w:val="auto"/>
        </w:rPr>
        <w:t>on December 4, 2018 E. Bryan Bagley, Lisa B. Higley, Carolyn C. Bagley and Amanda B. Krejci, as Trustees of the EDBIT acquired 2,495,416 shares of Common Stock in a registered rights offering sponsored by the Company at a price of $1.20 per share; (iii) on December 4, 2018 Carolyn C. Bagley acquired 229,091 shares of Common Stock in a registered rights offering sponsored by the Company at a price of $1.20 per share; and (iv) on December 4, 2018 E. Bryan Bagley acquired 684,564 shares of Common Stock in a registered rights offering sponsored by the Company at a price of $1.20 per share.</w:t>
      </w:r>
    </w:p>
    <w:p>
      <w:pPr>
        <w:spacing w:after="0" w:line="191" w:lineRule="exact"/>
        <w:rPr>
          <w:rFonts w:ascii="Arial" w:cs="Arial" w:eastAsia="Arial" w:hAnsi="Arial"/>
          <w:sz w:val="18"/>
          <w:szCs w:val="18"/>
          <w:color w:val="auto"/>
        </w:rPr>
      </w:pPr>
    </w:p>
    <w:p>
      <w:pPr>
        <w:ind w:right="180" w:firstLine="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person, other than the identified reporting persons, has the power to direct the receipt of dividends on and the proceeds of sales on the shares of Common Stock beneficially owned by the respective reporting persons.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Except for the trusts referenced above, the reporting persons do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December 5, 2018</w:t>
            </w:r>
          </w:p>
        </w:tc>
        <w:tc>
          <w:tcPr>
            <w:tcW w:w="206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Bryan Bagley</w:t>
            </w:r>
          </w:p>
        </w:tc>
        <w:tc>
          <w:tcPr>
            <w:tcW w:w="900" w:type="dxa"/>
            <w:vAlign w:val="bottom"/>
          </w:tcPr>
          <w:p>
            <w:pPr>
              <w:spacing w:after="0"/>
              <w:rPr>
                <w:sz w:val="20"/>
                <w:szCs w:val="20"/>
                <w:color w:val="auto"/>
              </w:rPr>
            </w:pPr>
          </w:p>
        </w:tc>
      </w:tr>
      <w:tr>
        <w:trPr>
          <w:trHeight w:val="224"/>
        </w:trPr>
        <w:tc>
          <w:tcPr>
            <w:tcW w:w="3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 Bryan Bagley</w:t>
            </w:r>
          </w:p>
        </w:tc>
        <w:tc>
          <w:tcPr>
            <w:tcW w:w="900" w:type="dxa"/>
            <w:vAlign w:val="bottom"/>
          </w:tcPr>
          <w:p>
            <w:pPr>
              <w:spacing w:after="0"/>
              <w:rPr>
                <w:sz w:val="19"/>
                <w:szCs w:val="19"/>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Dated: December 5, 2018</w:t>
            </w:r>
          </w:p>
        </w:tc>
        <w:tc>
          <w:tcPr>
            <w:tcW w:w="206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B. Higley</w:t>
            </w:r>
          </w:p>
        </w:tc>
        <w:tc>
          <w:tcPr>
            <w:tcW w:w="90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Lisa B. Higley</w:t>
            </w:r>
          </w:p>
        </w:tc>
        <w:tc>
          <w:tcPr>
            <w:tcW w:w="900" w:type="dxa"/>
            <w:vAlign w:val="bottom"/>
          </w:tcPr>
          <w:p>
            <w:pPr>
              <w:spacing w:after="0"/>
              <w:rPr>
                <w:sz w:val="19"/>
                <w:szCs w:val="19"/>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Dated: December 5, 2018</w:t>
            </w:r>
          </w:p>
        </w:tc>
        <w:tc>
          <w:tcPr>
            <w:tcW w:w="206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C. Bagley</w:t>
            </w:r>
          </w:p>
        </w:tc>
        <w:tc>
          <w:tcPr>
            <w:tcW w:w="90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Carolyn C. Bagley</w:t>
            </w:r>
          </w:p>
        </w:tc>
        <w:tc>
          <w:tcPr>
            <w:tcW w:w="900" w:type="dxa"/>
            <w:vAlign w:val="bottom"/>
          </w:tcPr>
          <w:p>
            <w:pPr>
              <w:spacing w:after="0"/>
              <w:rPr>
                <w:sz w:val="19"/>
                <w:szCs w:val="19"/>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Dated: December 5, 2018</w:t>
            </w:r>
          </w:p>
        </w:tc>
        <w:tc>
          <w:tcPr>
            <w:tcW w:w="206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Amanda B. Krejci</w:t>
            </w:r>
          </w:p>
        </w:tc>
        <w:tc>
          <w:tcPr>
            <w:tcW w:w="900" w:type="dxa"/>
            <w:vAlign w:val="bottom"/>
          </w:tcPr>
          <w:p>
            <w:pPr>
              <w:spacing w:after="0"/>
              <w:rPr>
                <w:sz w:val="24"/>
                <w:szCs w:val="24"/>
                <w:color w:val="auto"/>
              </w:rPr>
            </w:pPr>
          </w:p>
        </w:tc>
      </w:tr>
      <w:tr>
        <w:trPr>
          <w:trHeight w:val="224"/>
        </w:trPr>
        <w:tc>
          <w:tcPr>
            <w:tcW w:w="3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Amanda B. Krejci</w:t>
            </w:r>
          </w:p>
        </w:tc>
        <w:tc>
          <w:tcPr>
            <w:tcW w:w="900" w:type="dxa"/>
            <w:vAlign w:val="bottom"/>
          </w:tcPr>
          <w:p>
            <w:pPr>
              <w:spacing w:after="0"/>
              <w:rPr>
                <w:sz w:val="19"/>
                <w:szCs w:val="19"/>
                <w:color w:val="auto"/>
              </w:rPr>
            </w:pPr>
          </w:p>
        </w:tc>
      </w:tr>
      <w:tr>
        <w:trPr>
          <w:trHeight w:val="418"/>
        </w:trPr>
        <w:tc>
          <w:tcPr>
            <w:tcW w:w="37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c>
          <w:tcPr>
            <w:tcW w:w="4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37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Joint Filing Agreement, dated as of December 5, 2018, is by and among E. Bryan Bagley, Lisa B. Higley, Carolyn C. Bagley and Amanda B. Krejci (collectively, the “Filers”).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13D with respect to shares of Common Stock, par value $.001 per share, of ClearOne Inc. beneficially owned by them from time to time.</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13D (and any amendments thereto) on behalf of each of the Filers, and hereby further agree to file this Joint Filing Agreement as an exhibit to such statement, as required by such rule.</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seven days prior written notice or such lesser period of notice as the Filers may mutually agree.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Executed and delivered as of the date first above written.</w:t>
            </w:r>
          </w:p>
        </w:tc>
        <w:tc>
          <w:tcPr>
            <w:tcW w:w="5640" w:type="dxa"/>
            <w:vAlign w:val="bottom"/>
          </w:tcPr>
          <w:p>
            <w:pPr>
              <w:spacing w:after="0"/>
              <w:rPr>
                <w:sz w:val="20"/>
                <w:szCs w:val="20"/>
                <w:color w:val="auto"/>
              </w:rPr>
            </w:pPr>
          </w:p>
        </w:tc>
      </w:tr>
      <w:tr>
        <w:trPr>
          <w:trHeight w:val="432"/>
        </w:trPr>
        <w:tc>
          <w:tcPr>
            <w:tcW w:w="5780" w:type="dxa"/>
            <w:vAlign w:val="bottom"/>
          </w:tcPr>
          <w:p>
            <w:pPr>
              <w:spacing w:after="0"/>
              <w:rPr>
                <w:sz w:val="20"/>
                <w:szCs w:val="20"/>
                <w:color w:val="auto"/>
              </w:rPr>
            </w:pPr>
            <w:r>
              <w:rPr>
                <w:rFonts w:ascii="Arial" w:cs="Arial" w:eastAsia="Arial" w:hAnsi="Arial"/>
                <w:sz w:val="18"/>
                <w:szCs w:val="18"/>
                <w:color w:val="auto"/>
              </w:rPr>
              <w:t>Dated: December 5, 2018</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Bryan Bagley</w:t>
            </w:r>
          </w:p>
        </w:tc>
      </w:tr>
      <w:tr>
        <w:trPr>
          <w:trHeight w:val="224"/>
        </w:trPr>
        <w:tc>
          <w:tcPr>
            <w:tcW w:w="57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 Bryan Bagley</w:t>
            </w:r>
          </w:p>
        </w:tc>
      </w:tr>
      <w:tr>
        <w:trPr>
          <w:trHeight w:val="418"/>
        </w:trPr>
        <w:tc>
          <w:tcPr>
            <w:tcW w:w="5780" w:type="dxa"/>
            <w:vAlign w:val="bottom"/>
          </w:tcPr>
          <w:p>
            <w:pPr>
              <w:spacing w:after="0"/>
              <w:rPr>
                <w:sz w:val="20"/>
                <w:szCs w:val="20"/>
                <w:color w:val="auto"/>
              </w:rPr>
            </w:pPr>
            <w:r>
              <w:rPr>
                <w:rFonts w:ascii="Arial" w:cs="Arial" w:eastAsia="Arial" w:hAnsi="Arial"/>
                <w:sz w:val="18"/>
                <w:szCs w:val="18"/>
                <w:color w:val="auto"/>
              </w:rPr>
              <w:t>Dated: December 5, 2018</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B. Higley</w:t>
            </w:r>
          </w:p>
        </w:tc>
      </w:tr>
      <w:tr>
        <w:trPr>
          <w:trHeight w:val="224"/>
        </w:trPr>
        <w:tc>
          <w:tcPr>
            <w:tcW w:w="57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Lisa B. Higley</w:t>
            </w:r>
          </w:p>
        </w:tc>
      </w:tr>
      <w:tr>
        <w:trPr>
          <w:trHeight w:val="418"/>
        </w:trPr>
        <w:tc>
          <w:tcPr>
            <w:tcW w:w="5780" w:type="dxa"/>
            <w:vAlign w:val="bottom"/>
          </w:tcPr>
          <w:p>
            <w:pPr>
              <w:spacing w:after="0"/>
              <w:rPr>
                <w:sz w:val="20"/>
                <w:szCs w:val="20"/>
                <w:color w:val="auto"/>
              </w:rPr>
            </w:pPr>
            <w:r>
              <w:rPr>
                <w:rFonts w:ascii="Arial" w:cs="Arial" w:eastAsia="Arial" w:hAnsi="Arial"/>
                <w:sz w:val="18"/>
                <w:szCs w:val="18"/>
                <w:color w:val="auto"/>
              </w:rPr>
              <w:t>Dated: December 5, 2018</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C. Bagley</w:t>
            </w:r>
          </w:p>
        </w:tc>
      </w:tr>
      <w:tr>
        <w:trPr>
          <w:trHeight w:val="224"/>
        </w:trPr>
        <w:tc>
          <w:tcPr>
            <w:tcW w:w="57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Carolyn C. Bagley</w:t>
            </w:r>
          </w:p>
        </w:tc>
      </w:tr>
      <w:tr>
        <w:trPr>
          <w:trHeight w:val="418"/>
        </w:trPr>
        <w:tc>
          <w:tcPr>
            <w:tcW w:w="5780" w:type="dxa"/>
            <w:vAlign w:val="bottom"/>
          </w:tcPr>
          <w:p>
            <w:pPr>
              <w:spacing w:after="0"/>
              <w:rPr>
                <w:sz w:val="20"/>
                <w:szCs w:val="20"/>
                <w:color w:val="auto"/>
              </w:rPr>
            </w:pPr>
            <w:r>
              <w:rPr>
                <w:rFonts w:ascii="Arial" w:cs="Arial" w:eastAsia="Arial" w:hAnsi="Arial"/>
                <w:sz w:val="18"/>
                <w:szCs w:val="18"/>
                <w:color w:val="auto"/>
              </w:rPr>
              <w:t>Dated: December 5, 2018</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Amanda B. Krejci</w:t>
            </w:r>
          </w:p>
        </w:tc>
      </w:tr>
      <w:tr>
        <w:trPr>
          <w:trHeight w:val="224"/>
        </w:trPr>
        <w:tc>
          <w:tcPr>
            <w:tcW w:w="57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Amanda B. Krejci</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bullet"/>
      <w:start w:val="1"/>
    </w:lvl>
    <w:lvl w:ilvl="1">
      <w:lvlJc w:val="left"/>
      <w:lvlText w:val="%2"/>
      <w:numFmt w:val="upperLetter"/>
      <w:start w:val="1"/>
    </w:lvl>
  </w:abstractNum>
  <w:abstractNum w:abstractNumId="1">
    <w:nsid w:val="3352255A"/>
    <w:multiLevelType w:val="hybridMultilevel"/>
    <w:lvl w:ilvl="0">
      <w:lvlJc w:val="left"/>
      <w:lvlText w:val="2"/>
      <w:numFmt w:val="bullet"/>
      <w:start w:val="1"/>
    </w:lvl>
    <w:lvl w:ilvl="1">
      <w:lvlJc w:val="left"/>
      <w:lvlText w:val="(%2)"/>
      <w:numFmt w:val="lowerLetter"/>
      <w:start w:val="1"/>
    </w:lvl>
  </w:abstractNum>
  <w:abstractNum w:abstractNumId="2">
    <w:nsid w:val="109CF92E"/>
    <w:multiLevelType w:val="hybridMultilevel"/>
    <w:lvl w:ilvl="0">
      <w:lvlJc w:val="left"/>
      <w:lvlText w:val="3"/>
      <w:numFmt w:val="bullet"/>
      <w:start w:val="1"/>
    </w:lvl>
  </w:abstractNum>
  <w:abstractNum w:abstractNumId="3">
    <w:nsid w:val="DED7263"/>
    <w:multiLevelType w:val="hybridMultilevel"/>
    <w:lvl w:ilvl="0">
      <w:lvlJc w:val="left"/>
      <w:lvlText w:val="4"/>
      <w:numFmt w:val="bullet"/>
      <w:start w:val="1"/>
    </w:lvl>
  </w:abstractNum>
  <w:abstractNum w:abstractNumId="4">
    <w:nsid w:val="7FDCC233"/>
    <w:multiLevelType w:val="hybridMultilevel"/>
    <w:lvl w:ilvl="0">
      <w:lvlJc w:val="left"/>
      <w:lvlText w:val="5"/>
      <w:numFmt w:val="bullet"/>
      <w:start w:val="1"/>
    </w:lvl>
  </w:abstractNum>
  <w:abstractNum w:abstractNumId="5">
    <w:nsid w:val="1BEFD79F"/>
    <w:multiLevelType w:val="hybridMultilevel"/>
    <w:lvl w:ilvl="0">
      <w:lvlJc w:val="left"/>
      <w:lvlText w:val="6"/>
      <w:numFmt w:val="bullet"/>
      <w:start w:val="1"/>
    </w:lvl>
  </w:abstractNum>
  <w:abstractNum w:abstractNumId="6">
    <w:nsid w:val="41A7C4C9"/>
    <w:multiLevelType w:val="hybridMultilevel"/>
    <w:lvl w:ilvl="0">
      <w:lvlJc w:val="left"/>
      <w:lvlText w:val="%1"/>
      <w:numFmt w:val="decimal"/>
      <w:start w:val="11"/>
    </w:lvl>
  </w:abstractNum>
  <w:abstractNum w:abstractNumId="7">
    <w:nsid w:val="6B68079A"/>
    <w:multiLevelType w:val="hybridMultilevel"/>
    <w:lvl w:ilvl="0">
      <w:lvlJc w:val="left"/>
      <w:lvlText w:val="%1"/>
      <w:numFmt w:val="decimal"/>
      <w:start w:val="1"/>
    </w:lvl>
    <w:lvl w:ilvl="1">
      <w:lvlJc w:val="left"/>
      <w:lvlText w:val="%2"/>
      <w:numFmt w:val="decimal"/>
      <w:start w:val="14"/>
    </w:lvl>
  </w:abstractNum>
  <w:abstractNum w:abstractNumId="8">
    <w:nsid w:val="4E6AFB66"/>
    <w:multiLevelType w:val="hybridMultilevel"/>
    <w:lvl w:ilvl="0">
      <w:lvlJc w:val="left"/>
      <w:lvlText w:val="(%1)"/>
      <w:numFmt w:val="decimal"/>
      <w:start w:val="1"/>
    </w:lvl>
    <w:lvl w:ilvl="1">
      <w:lvlJc w:val="left"/>
      <w:lvlText w:val="%2"/>
      <w:numFmt w:val="decimal"/>
      <w:start w:val="1"/>
    </w:lvl>
  </w:abstractNum>
  <w:abstractNum w:abstractNumId="9">
    <w:nsid w:val="25E45D32"/>
    <w:multiLevelType w:val="hybridMultilevel"/>
    <w:lvl w:ilvl="0">
      <w:lvlJc w:val="left"/>
      <w:lvlText w:val="%1"/>
      <w:numFmt w:val="decimal"/>
      <w:start w:val="1"/>
    </w:lvl>
    <w:lvl w:ilvl="1">
      <w:lvlJc w:val="left"/>
      <w:lvlText w:val="%2"/>
      <w:numFmt w:val="decimal"/>
      <w:start w:val="14"/>
    </w:lvl>
  </w:abstractNum>
  <w:abstractNum w:abstractNumId="10">
    <w:nsid w:val="519B500D"/>
    <w:multiLevelType w:val="hybridMultilevel"/>
    <w:lvl w:ilvl="0">
      <w:lvlJc w:val="left"/>
      <w:lvlText w:val="(%1)"/>
      <w:numFmt w:val="decimal"/>
      <w:start w:val="1"/>
    </w:lvl>
    <w:lvl w:ilvl="1">
      <w:lvlJc w:val="left"/>
      <w:lvlText w:val="%2"/>
      <w:numFmt w:val="decimal"/>
      <w:start w:val="1"/>
    </w:lvl>
  </w:abstractNum>
  <w:abstractNum w:abstractNumId="11">
    <w:nsid w:val="431BD7B7"/>
    <w:multiLevelType w:val="hybridMultilevel"/>
    <w:lvl w:ilvl="0">
      <w:lvlJc w:val="left"/>
      <w:lvlText w:val="%1"/>
      <w:numFmt w:val="decimal"/>
      <w:start w:val="1"/>
    </w:lvl>
    <w:lvl w:ilvl="1">
      <w:lvlJc w:val="left"/>
      <w:lvlText w:val="%2"/>
      <w:numFmt w:val="decimal"/>
      <w:start w:val="14"/>
    </w:lvl>
  </w:abstractNum>
  <w:abstractNum w:abstractNumId="12">
    <w:nsid w:val="3F2DBA31"/>
    <w:multiLevelType w:val="hybridMultilevel"/>
    <w:lvl w:ilvl="0">
      <w:lvlJc w:val="left"/>
      <w:lvlText w:val="(%1)"/>
      <w:numFmt w:val="decimal"/>
      <w:start w:val="1"/>
    </w:lvl>
    <w:lvl w:ilvl="1">
      <w:lvlJc w:val="left"/>
      <w:lvlText w:val="%2"/>
      <w:numFmt w:val="decimal"/>
      <w:start w:val="1"/>
    </w:lvl>
  </w:abstractNum>
  <w:abstractNum w:abstractNumId="13">
    <w:nsid w:val="7C83E458"/>
    <w:multiLevelType w:val="hybridMultilevel"/>
    <w:lvl w:ilvl="0">
      <w:lvlJc w:val="left"/>
      <w:lvlText w:val="%1"/>
      <w:numFmt w:val="decimal"/>
      <w:start w:val="1"/>
    </w:lvl>
    <w:lvl w:ilvl="1">
      <w:lvlJc w:val="left"/>
      <w:lvlText w:val="%2"/>
      <w:numFmt w:val="decimal"/>
      <w:start w:val="14"/>
    </w:lvl>
  </w:abstractNum>
  <w:abstractNum w:abstractNumId="14">
    <w:nsid w:val="257130A3"/>
    <w:multiLevelType w:val="hybridMultilevel"/>
    <w:lvl w:ilvl="0">
      <w:lvlJc w:val="left"/>
      <w:lvlText w:val="(%1)"/>
      <w:numFmt w:val="decimal"/>
      <w:start w:val="1"/>
    </w:lvl>
    <w:lvl w:ilvl="1">
      <w:lvlJc w:val="left"/>
      <w:lvlText w:val="%2"/>
      <w:numFmt w:val="decimal"/>
      <w:start w:val="1"/>
    </w:lvl>
  </w:abstractNum>
  <w:abstractNum w:abstractNumId="15">
    <w:nsid w:val="62BBD95A"/>
    <w:multiLevelType w:val="hybridMultilevel"/>
    <w:lvl w:ilvl="0">
      <w:lvlJc w:val="left"/>
      <w:lvlText w:val="(%1)"/>
      <w:numFmt w:val="lowerLetter"/>
      <w:start w:val="3"/>
    </w:lvl>
  </w:abstractNum>
  <w:abstractNum w:abstractNumId="16">
    <w:nsid w:val="436C6125"/>
    <w:multiLevelType w:val="hybridMultilevel"/>
    <w:lvl w:ilvl="0">
      <w:lvlJc w:val="left"/>
      <w:lvlText w:val="(%1)"/>
      <w:numFmt w:val="lowerLetter"/>
      <w:start w:val="4"/>
    </w:lvl>
  </w:abstractNum>
  <w:abstractNum w:abstractNumId="17">
    <w:nsid w:val="628C895D"/>
    <w:multiLevelType w:val="hybridMultilevel"/>
    <w:lvl w:ilvl="0">
      <w:lvlJc w:val="left"/>
      <w:lvlText w:val="(%1)"/>
      <w:numFmt w:val="lowerLetter"/>
      <w:start w:val="5"/>
    </w:lvl>
  </w:abstractNum>
  <w:abstractNum w:abstractNumId="18">
    <w:nsid w:val="333AB105"/>
    <w:multiLevelType w:val="hybridMultilevel"/>
    <w:lvl w:ilvl="0">
      <w:lvlJc w:val="left"/>
      <w:lvlText w:val="(%1)"/>
      <w:numFmt w:val="lowerLetter"/>
      <w:start w:val="1"/>
    </w:lvl>
    <w:lvl w:ilvl="1">
      <w:lvlJc w:val="left"/>
      <w:lvlText w:val="%2."/>
      <w:numFmt w:val="upperLetter"/>
      <w:start w:val="5"/>
    </w:lvl>
  </w:abstractNum>
  <w:abstractNum w:abstractNumId="19">
    <w:nsid w:val="721DA317"/>
    <w:multiLevelType w:val="hybridMultilevel"/>
    <w:lvl w:ilvl="0">
      <w:lvlJc w:val="left"/>
      <w:lvlText w:val="(%1)"/>
      <w:numFmt w:val="lowerLetter"/>
      <w:start w:val="2"/>
    </w:lvl>
    <w:lvl w:ilvl="1">
      <w:lvlJc w:val="left"/>
      <w:lvlText w:val="(%2)"/>
      <w:numFmt w:val="lowerRoman"/>
      <w:start w:val="1"/>
    </w:lvl>
  </w:abstractNum>
  <w:abstractNum w:abstractNumId="20">
    <w:nsid w:val="2443A858"/>
    <w:multiLevelType w:val="hybridMultilevel"/>
    <w:lvl w:ilvl="0">
      <w:lvlJc w:val="left"/>
      <w:lvlText w:val="(%1)"/>
      <w:numFmt w:val="lowerRoman"/>
      <w:start w:val="1"/>
    </w:lvl>
  </w:abstractNum>
  <w:abstractNum w:abstractNumId="21">
    <w:nsid w:val="2D1D5AE9"/>
    <w:multiLevelType w:val="hybridMultilevel"/>
    <w:lvl w:ilvl="0">
      <w:lvlJc w:val="left"/>
      <w:lvlText w:val="(%1)"/>
      <w:numFmt w:val="lowerRoman"/>
      <w:start w:val="1"/>
    </w:lvl>
  </w:abstractNum>
  <w:abstractNum w:abstractNumId="22">
    <w:nsid w:val="6763845E"/>
    <w:multiLevelType w:val="hybridMultilevel"/>
    <w:lvl w:ilvl="0">
      <w:lvlJc w:val="left"/>
      <w:lvlText w:val="%1"/>
      <w:numFmt w:val="lowerLetter"/>
      <w:start w:val="1"/>
    </w:lvl>
    <w:lvl w:ilvl="1">
      <w:lvlJc w:val="left"/>
      <w:lvlText w:val="(%2)"/>
      <w:numFmt w:val="lowerRoman"/>
      <w:start w:val="1"/>
    </w:lvl>
  </w:abstractNum>
  <w:abstractNum w:abstractNumId="23">
    <w:nsid w:val="75A2A8D4"/>
    <w:multiLevelType w:val="hybridMultilevel"/>
    <w:lvl w:ilvl="0">
      <w:lvlJc w:val="left"/>
      <w:lvlText w:val="(%1)"/>
      <w:numFmt w:val="lowerLetter"/>
      <w:start w:val="3"/>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2019-12-05T20:01:39Z</dcterms:created>
  <dcterms:modified xsi:type="dcterms:W3CDTF">2019-12-05T20:01:39Z</dcterms:modified>
</cp:coreProperties>
</file>