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70"/>
        <w:spacing w:after="0"/>
        <w:rPr>
          <w:sz w:val="20"/>
          <w:szCs w:val="20"/>
          <w:color w:val="auto"/>
        </w:rPr>
      </w:pPr>
      <w:r>
        <w:rPr>
          <w:rFonts w:ascii="Courier New" w:cs="Courier New" w:eastAsia="Courier New" w:hAnsi="Courier New"/>
          <w:sz w:val="15"/>
          <w:szCs w:val="15"/>
          <w:color w:val="auto"/>
        </w:rPr>
        <w:t>Washington, D.C. 20549</w:t>
      </w:r>
    </w:p>
    <w:p>
      <w:pPr>
        <w:spacing w:after="0" w:line="338"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FORM 8-K/A</w:t>
      </w:r>
    </w:p>
    <w:p>
      <w:pPr>
        <w:spacing w:after="0" w:line="339" w:lineRule="exact"/>
        <w:rPr>
          <w:sz w:val="24"/>
          <w:szCs w:val="24"/>
          <w:color w:val="auto"/>
        </w:rPr>
      </w:pPr>
    </w:p>
    <w:p>
      <w:pPr>
        <w:ind w:left="2910"/>
        <w:spacing w:after="0"/>
        <w:rPr>
          <w:sz w:val="20"/>
          <w:szCs w:val="20"/>
          <w:color w:val="auto"/>
        </w:rPr>
      </w:pPr>
      <w:r>
        <w:rPr>
          <w:rFonts w:ascii="Courier New" w:cs="Courier New" w:eastAsia="Courier New" w:hAnsi="Courier New"/>
          <w:sz w:val="15"/>
          <w:szCs w:val="15"/>
          <w:color w:val="auto"/>
        </w:rPr>
        <w:t>CURRENT REPORT</w:t>
      </w:r>
    </w:p>
    <w:p>
      <w:pPr>
        <w:ind w:left="2030"/>
        <w:spacing w:after="0"/>
        <w:rPr>
          <w:sz w:val="20"/>
          <w:szCs w:val="20"/>
          <w:color w:val="auto"/>
        </w:rPr>
      </w:pPr>
      <w:r>
        <w:rPr>
          <w:rFonts w:ascii="Courier New" w:cs="Courier New" w:eastAsia="Courier New" w:hAnsi="Courier New"/>
          <w:sz w:val="15"/>
          <w:szCs w:val="15"/>
          <w:color w:val="auto"/>
        </w:rPr>
        <w:t>PURSUANT TO SECTION 13 OR 15(d) OF</w:t>
      </w:r>
    </w:p>
    <w:p>
      <w:pPr>
        <w:ind w:left="2030"/>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338"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Date of Report (Date of earliest event reported): July 5, 2000</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Gentner Communications Corporation</w:t>
      </w:r>
    </w:p>
    <w:p>
      <w:pPr>
        <w:ind w:left="610"/>
        <w:spacing w:after="0"/>
        <w:rPr>
          <w:sz w:val="20"/>
          <w:szCs w:val="20"/>
          <w:color w:val="auto"/>
        </w:rPr>
      </w:pPr>
      <w:r>
        <w:rPr>
          <w:rFonts w:ascii="Courier New" w:cs="Courier New" w:eastAsia="Courier New" w:hAnsi="Courier New"/>
          <w:sz w:val="15"/>
          <w:szCs w:val="15"/>
          <w:color w:val="auto"/>
        </w:rPr>
        <w:t>------------------------------------------------------------------</w:t>
      </w:r>
    </w:p>
    <w:p>
      <w:pPr>
        <w:ind w:left="115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338"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UTAH</w:t>
      </w:r>
    </w:p>
    <w:p>
      <w:pPr>
        <w:ind w:left="610"/>
        <w:spacing w:after="0"/>
        <w:rPr>
          <w:sz w:val="20"/>
          <w:szCs w:val="20"/>
          <w:color w:val="auto"/>
        </w:rPr>
      </w:pPr>
      <w:r>
        <w:rPr>
          <w:rFonts w:ascii="Courier New" w:cs="Courier New" w:eastAsia="Courier New" w:hAnsi="Courier New"/>
          <w:sz w:val="15"/>
          <w:szCs w:val="15"/>
          <w:color w:val="auto"/>
        </w:rPr>
        <w:t>------------------------------------------------------------------</w:t>
      </w:r>
    </w:p>
    <w:p>
      <w:pPr>
        <w:ind w:left="1490"/>
        <w:spacing w:after="0"/>
        <w:rPr>
          <w:sz w:val="20"/>
          <w:szCs w:val="20"/>
          <w:color w:val="auto"/>
        </w:rPr>
      </w:pPr>
      <w:r>
        <w:rPr>
          <w:rFonts w:ascii="Courier New" w:cs="Courier New" w:eastAsia="Courier New" w:hAnsi="Courier New"/>
          <w:sz w:val="15"/>
          <w:szCs w:val="15"/>
          <w:color w:val="auto"/>
        </w:rPr>
        <w:t>(State or Other Jurisdiction of Incorporation)</w:t>
      </w:r>
    </w:p>
    <w:p>
      <w:pPr>
        <w:spacing w:after="0" w:line="338" w:lineRule="exact"/>
        <w:rPr>
          <w:sz w:val="24"/>
          <w:szCs w:val="24"/>
          <w:color w:val="auto"/>
        </w:rPr>
      </w:pPr>
    </w:p>
    <w:tbl>
      <w:tblPr>
        <w:tblLayout w:type="fixed"/>
        <w:tblInd w:w="90" w:type="dxa"/>
        <w:tblCellMar>
          <w:top w:w="0" w:type="dxa"/>
          <w:left w:w="0" w:type="dxa"/>
          <w:bottom w:w="0" w:type="dxa"/>
          <w:right w:w="0" w:type="dxa"/>
        </w:tblCellMar>
      </w:tblPr>
      <w:tr>
        <w:trPr>
          <w:trHeight w:val="170"/>
        </w:trPr>
        <w:tc>
          <w:tcPr>
            <w:tcW w:w="278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17219</w:t>
            </w:r>
          </w:p>
        </w:tc>
        <w:tc>
          <w:tcPr>
            <w:tcW w:w="3820" w:type="dxa"/>
            <w:vAlign w:val="bottom"/>
          </w:tcPr>
          <w:p>
            <w:pPr>
              <w:jc w:val="center"/>
              <w:ind w:left="587"/>
              <w:spacing w:after="0"/>
              <w:rPr>
                <w:sz w:val="20"/>
                <w:szCs w:val="20"/>
                <w:color w:val="auto"/>
              </w:rPr>
            </w:pPr>
            <w:r>
              <w:rPr>
                <w:rFonts w:ascii="Courier New" w:cs="Courier New" w:eastAsia="Courier New" w:hAnsi="Courier New"/>
                <w:sz w:val="15"/>
                <w:szCs w:val="15"/>
                <w:color w:val="auto"/>
                <w:w w:val="97"/>
              </w:rPr>
              <w:t>87-0398877</w:t>
            </w:r>
          </w:p>
        </w:tc>
      </w:tr>
      <w:tr>
        <w:trPr>
          <w:trHeight w:val="170"/>
        </w:trPr>
        <w:tc>
          <w:tcPr>
            <w:tcW w:w="278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w:t>
            </w:r>
          </w:p>
        </w:tc>
        <w:tc>
          <w:tcPr>
            <w:tcW w:w="3820" w:type="dxa"/>
            <w:vAlign w:val="bottom"/>
          </w:tcPr>
          <w:p>
            <w:pPr>
              <w:jc w:val="center"/>
              <w:ind w:left="58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78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7"/>
              </w:rPr>
              <w:t>(Commission File Number)</w:t>
            </w:r>
          </w:p>
        </w:tc>
        <w:tc>
          <w:tcPr>
            <w:tcW w:w="3820" w:type="dxa"/>
            <w:vAlign w:val="bottom"/>
          </w:tcPr>
          <w:p>
            <w:pPr>
              <w:jc w:val="center"/>
              <w:ind w:left="587"/>
              <w:spacing w:after="0"/>
              <w:rPr>
                <w:sz w:val="20"/>
                <w:szCs w:val="20"/>
                <w:color w:val="auto"/>
              </w:rPr>
            </w:pPr>
            <w:r>
              <w:rPr>
                <w:rFonts w:ascii="Courier New" w:cs="Courier New" w:eastAsia="Courier New" w:hAnsi="Courier New"/>
                <w:sz w:val="15"/>
                <w:szCs w:val="15"/>
                <w:color w:val="auto"/>
                <w:w w:val="97"/>
              </w:rPr>
              <w:t>(I.R.S. Employer Identification No.)</w:t>
            </w:r>
          </w:p>
        </w:tc>
      </w:tr>
    </w:tbl>
    <w:p>
      <w:pPr>
        <w:spacing w:after="0" w:line="200" w:lineRule="exact"/>
        <w:rPr>
          <w:sz w:val="24"/>
          <w:szCs w:val="24"/>
          <w:color w:val="auto"/>
        </w:rPr>
      </w:pPr>
    </w:p>
    <w:p>
      <w:pPr>
        <w:spacing w:after="0" w:line="308" w:lineRule="exact"/>
        <w:rPr>
          <w:sz w:val="24"/>
          <w:szCs w:val="24"/>
          <w:color w:val="auto"/>
        </w:rPr>
      </w:pPr>
    </w:p>
    <w:p>
      <w:pPr>
        <w:jc w:val="center"/>
        <w:ind w:right="3090"/>
        <w:spacing w:after="0"/>
        <w:rPr>
          <w:sz w:val="20"/>
          <w:szCs w:val="20"/>
          <w:color w:val="auto"/>
        </w:rPr>
      </w:pPr>
      <w:r>
        <w:rPr>
          <w:rFonts w:ascii="Courier New" w:cs="Courier New" w:eastAsia="Courier New" w:hAnsi="Courier New"/>
          <w:sz w:val="15"/>
          <w:szCs w:val="15"/>
          <w:color w:val="auto"/>
        </w:rPr>
        <w:t>1825 Research Way, Salt Lake City, Utah 84119</w:t>
      </w:r>
    </w:p>
    <w:p>
      <w:pPr>
        <w:ind w:left="610"/>
        <w:spacing w:after="0"/>
        <w:rPr>
          <w:sz w:val="20"/>
          <w:szCs w:val="20"/>
          <w:color w:val="auto"/>
        </w:rPr>
      </w:pPr>
      <w:r>
        <w:rPr>
          <w:rFonts w:ascii="Courier New" w:cs="Courier New" w:eastAsia="Courier New" w:hAnsi="Courier New"/>
          <w:sz w:val="15"/>
          <w:szCs w:val="15"/>
          <w:color w:val="auto"/>
        </w:rPr>
        <w:t>------------------------------------------------------------------</w:t>
      </w:r>
    </w:p>
    <w:p>
      <w:pPr>
        <w:ind w:left="1330"/>
        <w:spacing w:after="0"/>
        <w:rPr>
          <w:sz w:val="20"/>
          <w:szCs w:val="20"/>
          <w:color w:val="auto"/>
        </w:rPr>
      </w:pPr>
      <w:r>
        <w:rPr>
          <w:rFonts w:ascii="Courier New" w:cs="Courier New" w:eastAsia="Courier New" w:hAnsi="Courier New"/>
          <w:sz w:val="15"/>
          <w:szCs w:val="15"/>
          <w:color w:val="auto"/>
        </w:rPr>
        <w:t>(Address of Principal Executive Offices) (Zip Code)</w:t>
      </w:r>
    </w:p>
    <w:p>
      <w:pPr>
        <w:spacing w:after="0" w:line="338" w:lineRule="exact"/>
        <w:rPr>
          <w:sz w:val="24"/>
          <w:szCs w:val="24"/>
          <w:color w:val="auto"/>
        </w:rPr>
      </w:pPr>
    </w:p>
    <w:p>
      <w:pPr>
        <w:ind w:left="3430" w:hanging="521"/>
        <w:spacing w:after="0"/>
        <w:tabs>
          <w:tab w:leader="none" w:pos="343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975-7200</w:t>
      </w: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2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(Registrant's Telephone Number, Including Area Code)</w:t>
      </w:r>
    </w:p>
    <w:p>
      <w:pPr>
        <w:spacing w:after="0" w:line="338"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Not Applicable</w:t>
      </w:r>
    </w:p>
    <w:p>
      <w:pPr>
        <w:ind w:left="610"/>
        <w:spacing w:after="0"/>
        <w:rPr>
          <w:sz w:val="20"/>
          <w:szCs w:val="20"/>
          <w:color w:val="auto"/>
        </w:rPr>
      </w:pPr>
      <w:r>
        <w:rPr>
          <w:rFonts w:ascii="Courier New" w:cs="Courier New" w:eastAsia="Courier New" w:hAnsi="Courier New"/>
          <w:sz w:val="15"/>
          <w:szCs w:val="15"/>
          <w:color w:val="auto"/>
        </w:rPr>
        <w:t>------------------------------------------------------------------</w:t>
      </w:r>
    </w:p>
    <w:p>
      <w:pPr>
        <w:ind w:left="890"/>
        <w:spacing w:after="0"/>
        <w:rPr>
          <w:sz w:val="20"/>
          <w:szCs w:val="20"/>
          <w:color w:val="auto"/>
        </w:rPr>
      </w:pPr>
      <w:r>
        <w:rPr>
          <w:rFonts w:ascii="Courier New" w:cs="Courier New" w:eastAsia="Courier New" w:hAnsi="Courier New"/>
          <w:sz w:val="15"/>
          <w:szCs w:val="15"/>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both"/>
        <w:ind w:left="10" w:right="3179" w:firstLine="441"/>
        <w:spacing w:after="0" w:line="237" w:lineRule="auto"/>
        <w:rPr>
          <w:sz w:val="20"/>
          <w:szCs w:val="20"/>
          <w:color w:val="auto"/>
        </w:rPr>
      </w:pPr>
      <w:r>
        <w:rPr>
          <w:rFonts w:ascii="Courier New" w:cs="Courier New" w:eastAsia="Courier New" w:hAnsi="Courier New"/>
          <w:sz w:val="15"/>
          <w:szCs w:val="15"/>
          <w:color w:val="auto"/>
        </w:rPr>
        <w:t>The undersigned Registrant hereby amends and restates its Current Report on Form 8-K filed with the Securities and Exchange Commission on July 20, 2000, which excluded certain financial statements and pro forma financial information not available at the time of filing.</w:t>
      </w:r>
    </w:p>
    <w:p>
      <w:pPr>
        <w:spacing w:after="0" w:line="171" w:lineRule="exact"/>
        <w:rPr>
          <w:sz w:val="24"/>
          <w:szCs w:val="24"/>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Acquisition or Disposition of Assets.</w:t>
      </w:r>
    </w:p>
    <w:p>
      <w:pPr>
        <w:spacing w:after="0" w:line="175" w:lineRule="exact"/>
        <w:rPr>
          <w:sz w:val="24"/>
          <w:szCs w:val="24"/>
          <w:color w:val="auto"/>
        </w:rPr>
      </w:pPr>
    </w:p>
    <w:p>
      <w:pPr>
        <w:jc w:val="both"/>
        <w:ind w:left="10" w:right="3179" w:firstLine="441"/>
        <w:spacing w:after="0" w:line="237" w:lineRule="auto"/>
        <w:rPr>
          <w:sz w:val="20"/>
          <w:szCs w:val="20"/>
          <w:color w:val="auto"/>
        </w:rPr>
      </w:pPr>
      <w:r>
        <w:rPr>
          <w:rFonts w:ascii="Courier New" w:cs="Courier New" w:eastAsia="Courier New" w:hAnsi="Courier New"/>
          <w:sz w:val="15"/>
          <w:szCs w:val="15"/>
          <w:color w:val="auto"/>
        </w:rPr>
        <w:t>On July 5, 2000, pursuant to the "Asset Purchase Agreement" dated July 5, 2000, Gentner Communications Corporation, (the "Registrant"), purchased substantially all of the assets of ClearOne, Inc. (Woburn, Mass.), a privately-held developer and manufacturer of multi-media group communications products.</w:t>
      </w:r>
    </w:p>
    <w:p>
      <w:pPr>
        <w:spacing w:after="0" w:line="178" w:lineRule="exact"/>
        <w:rPr>
          <w:sz w:val="24"/>
          <w:szCs w:val="24"/>
          <w:color w:val="auto"/>
        </w:rPr>
      </w:pPr>
    </w:p>
    <w:p>
      <w:pPr>
        <w:jc w:val="both"/>
        <w:ind w:left="10" w:right="3179" w:firstLine="441"/>
        <w:spacing w:after="0" w:line="238" w:lineRule="auto"/>
        <w:rPr>
          <w:sz w:val="20"/>
          <w:szCs w:val="20"/>
          <w:color w:val="auto"/>
        </w:rPr>
      </w:pPr>
      <w:r>
        <w:rPr>
          <w:rFonts w:ascii="Courier New" w:cs="Courier New" w:eastAsia="Courier New" w:hAnsi="Courier New"/>
          <w:sz w:val="15"/>
          <w:szCs w:val="15"/>
          <w:color w:val="auto"/>
        </w:rPr>
        <w:t>The Registrant will account for the acquisition of these assets under the purchase method of accounting. The assets were acquired with $1.76 million in cash and 129,871 shares of the Registrant's restricted stock. The cash purchase price was paid from the Registrant's general working capital. The total value of consideration paid for the assets was determined based on arm's length negotiations between the Registrant and ClearOne, which took into account ClearOne's financial position, operating history, products, intellectual property and other factors relating to ClearOne's business. There are no material relationships between ClearOne and the Registrant prior to completion of this transaction.</w:t>
      </w:r>
    </w:p>
    <w:p>
      <w:pPr>
        <w:spacing w:after="0" w:line="180" w:lineRule="exact"/>
        <w:rPr>
          <w:sz w:val="24"/>
          <w:szCs w:val="24"/>
          <w:color w:val="auto"/>
        </w:rPr>
      </w:pPr>
    </w:p>
    <w:p>
      <w:pPr>
        <w:jc w:val="both"/>
        <w:ind w:left="10" w:right="3179" w:firstLine="441"/>
        <w:spacing w:after="0" w:line="237" w:lineRule="auto"/>
        <w:rPr>
          <w:sz w:val="20"/>
          <w:szCs w:val="20"/>
          <w:color w:val="auto"/>
        </w:rPr>
      </w:pPr>
      <w:r>
        <w:rPr>
          <w:rFonts w:ascii="Courier New" w:cs="Courier New" w:eastAsia="Courier New" w:hAnsi="Courier New"/>
          <w:sz w:val="15"/>
          <w:szCs w:val="15"/>
          <w:color w:val="auto"/>
        </w:rPr>
        <w:t>The assets purchased were used in the development and support of ClearOne's component technology products for both audio and video teleconferencing applications. The Registrant currently intends to use such assets in substantially the same manner. The Registrant will retain ClearOne's facilities in Woburn, MA.</w:t>
      </w:r>
    </w:p>
    <w:p>
      <w:pPr>
        <w:spacing w:after="0" w:line="173" w:lineRule="exact"/>
        <w:rPr>
          <w:sz w:val="24"/>
          <w:szCs w:val="24"/>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Financial Statements, Pro Forma Financial Information and Exhibits.</w:t>
      </w:r>
    </w:p>
    <w:p>
      <w:pPr>
        <w:spacing w:after="0" w:line="344" w:lineRule="exact"/>
        <w:rPr>
          <w:sz w:val="24"/>
          <w:szCs w:val="24"/>
          <w:color w:val="auto"/>
        </w:rPr>
      </w:pPr>
    </w:p>
    <w:p>
      <w:pPr>
        <w:ind w:left="610" w:right="3179" w:hanging="610"/>
        <w:spacing w:after="0" w:line="235" w:lineRule="auto"/>
        <w:tabs>
          <w:tab w:leader="none" w:pos="61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of Business Acquired. Audited financial statements of ClearOne, Inc.</w:t>
      </w:r>
    </w:p>
    <w:p>
      <w:pPr>
        <w:spacing w:after="0" w:line="170" w:lineRule="exact"/>
        <w:rPr>
          <w:sz w:val="24"/>
          <w:szCs w:val="24"/>
          <w:color w:val="auto"/>
        </w:rPr>
      </w:pPr>
    </w:p>
    <w:tbl>
      <w:tblPr>
        <w:tblLayout w:type="fixed"/>
        <w:tblInd w:w="61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Page No.</w:t>
            </w:r>
          </w:p>
        </w:tc>
      </w:tr>
      <w:tr>
        <w:trPr>
          <w:trHeight w:val="170"/>
        </w:trPr>
        <w:tc>
          <w:tcPr>
            <w:tcW w:w="8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Report of</w:t>
            </w:r>
          </w:p>
        </w:tc>
        <w:tc>
          <w:tcPr>
            <w:tcW w:w="4900" w:type="dxa"/>
            <w:vAlign w:val="bottom"/>
          </w:tcPr>
          <w:p>
            <w:pPr>
              <w:ind w:left="40"/>
              <w:spacing w:after="0"/>
              <w:rPr>
                <w:sz w:val="20"/>
                <w:szCs w:val="20"/>
                <w:color w:val="auto"/>
              </w:rPr>
            </w:pPr>
            <w:r>
              <w:rPr>
                <w:rFonts w:ascii="Courier New" w:cs="Courier New" w:eastAsia="Courier New" w:hAnsi="Courier New"/>
                <w:sz w:val="15"/>
                <w:szCs w:val="15"/>
                <w:color w:val="auto"/>
                <w:w w:val="97"/>
              </w:rPr>
              <w:t>Independent Auditors...................................</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F-1</w:t>
            </w:r>
          </w:p>
        </w:tc>
      </w:tr>
      <w:tr>
        <w:trPr>
          <w:trHeight w:val="170"/>
        </w:trPr>
        <w:tc>
          <w:tcPr>
            <w:tcW w:w="5740" w:type="dxa"/>
            <w:vAlign w:val="bottom"/>
            <w:gridSpan w:val="2"/>
          </w:tcPr>
          <w:p>
            <w:pPr>
              <w:spacing w:after="0"/>
              <w:rPr>
                <w:sz w:val="20"/>
                <w:szCs w:val="20"/>
                <w:color w:val="auto"/>
              </w:rPr>
            </w:pPr>
            <w:r>
              <w:rPr>
                <w:rFonts w:ascii="Courier New" w:cs="Courier New" w:eastAsia="Courier New" w:hAnsi="Courier New"/>
                <w:sz w:val="15"/>
                <w:szCs w:val="15"/>
                <w:color w:val="auto"/>
                <w:w w:val="97"/>
              </w:rPr>
              <w:t>Balance Sheet as of April 30, 2000...............................</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F-2</w:t>
            </w:r>
          </w:p>
        </w:tc>
      </w:t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Statement</w:t>
            </w:r>
          </w:p>
        </w:tc>
        <w:tc>
          <w:tcPr>
            <w:tcW w:w="4900" w:type="dxa"/>
            <w:vAlign w:val="bottom"/>
          </w:tcPr>
          <w:p>
            <w:pPr>
              <w:ind w:left="40"/>
              <w:spacing w:after="0"/>
              <w:rPr>
                <w:sz w:val="20"/>
                <w:szCs w:val="20"/>
                <w:color w:val="auto"/>
              </w:rPr>
            </w:pPr>
            <w:r>
              <w:rPr>
                <w:rFonts w:ascii="Courier New" w:cs="Courier New" w:eastAsia="Courier New" w:hAnsi="Courier New"/>
                <w:sz w:val="15"/>
                <w:szCs w:val="15"/>
                <w:color w:val="auto"/>
                <w:w w:val="97"/>
              </w:rPr>
              <w:t>of Operations for the year ended April 30, 2000........</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F-3</w:t>
            </w:r>
          </w:p>
        </w:tc>
      </w:t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Statement</w:t>
            </w:r>
          </w:p>
        </w:tc>
        <w:tc>
          <w:tcPr>
            <w:tcW w:w="4900" w:type="dxa"/>
            <w:vAlign w:val="bottom"/>
          </w:tcPr>
          <w:p>
            <w:pPr>
              <w:ind w:left="40"/>
              <w:spacing w:after="0"/>
              <w:rPr>
                <w:sz w:val="20"/>
                <w:szCs w:val="20"/>
                <w:color w:val="auto"/>
              </w:rPr>
            </w:pPr>
            <w:r>
              <w:rPr>
                <w:rFonts w:ascii="Courier New" w:cs="Courier New" w:eastAsia="Courier New" w:hAnsi="Courier New"/>
                <w:sz w:val="15"/>
                <w:szCs w:val="15"/>
                <w:color w:val="auto"/>
              </w:rPr>
              <w:t>of Stockholders' Equity (Deficiency)</w:t>
            </w:r>
          </w:p>
        </w:tc>
        <w:tc>
          <w:tcPr>
            <w:tcW w:w="700" w:type="dxa"/>
            <w:vAlign w:val="bottom"/>
          </w:tcPr>
          <w:p>
            <w:pPr>
              <w:spacing w:after="0"/>
              <w:rPr>
                <w:sz w:val="14"/>
                <w:szCs w:val="14"/>
                <w:color w:val="auto"/>
              </w:rPr>
            </w:pPr>
          </w:p>
        </w:tc>
      </w:tr>
    </w:tbl>
    <w:p>
      <w:pPr>
        <w:sectPr>
          <w:pgSz w:w="11900" w:h="16847" w:orient="portrait"/>
          <w:cols w:equalWidth="0" w:num="1">
            <w:col w:w="10229"/>
          </w:cols>
          <w:pgMar w:left="230" w:top="1074" w:right="1440" w:bottom="0" w:gutter="0" w:footer="0" w:header="0"/>
        </w:sectPr>
      </w:pPr>
    </w:p>
    <w:bookmarkStart w:id="1" w:name="page2"/>
    <w:bookmarkEnd w:id="1"/>
    <w:p>
      <w:pPr>
        <w:spacing w:after="0" w:line="1"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for the year</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ended</w:t>
            </w:r>
          </w:p>
        </w:tc>
        <w:tc>
          <w:tcPr>
            <w:tcW w:w="37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April 30, 2000...........................</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w w:val="88"/>
              </w:rPr>
              <w:t>F-4</w:t>
            </w:r>
          </w:p>
        </w:tc>
      </w:tr>
      <w:tr>
        <w:trPr>
          <w:trHeight w:val="170"/>
        </w:trPr>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w w:val="96"/>
              </w:rPr>
              <w:t>Statement of Cash</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Flows</w:t>
            </w:r>
          </w:p>
        </w:tc>
        <w:tc>
          <w:tcPr>
            <w:tcW w:w="37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for the year ended April 30, 2000........</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w w:val="88"/>
              </w:rPr>
              <w:t>F-5</w:t>
            </w:r>
          </w:p>
        </w:tc>
      </w:tr>
      <w:tr>
        <w:trPr>
          <w:trHeight w:val="170"/>
        </w:trPr>
        <w:tc>
          <w:tcPr>
            <w:tcW w:w="582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7"/>
              </w:rPr>
              <w:t>Notes to Financial Statements....................................</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w w:val="88"/>
              </w:rPr>
              <w:t>F-7</w:t>
            </w:r>
          </w:p>
        </w:tc>
      </w:tr>
    </w:tbl>
    <w:p>
      <w:pPr>
        <w:spacing w:after="0" w:line="344" w:lineRule="exact"/>
        <w:rPr>
          <w:sz w:val="20"/>
          <w:szCs w:val="20"/>
          <w:color w:val="auto"/>
        </w:rPr>
      </w:pPr>
    </w:p>
    <w:p>
      <w:pPr>
        <w:jc w:val="both"/>
        <w:ind w:left="610" w:right="3179" w:hanging="610"/>
        <w:spacing w:after="0" w:line="237" w:lineRule="auto"/>
        <w:tabs>
          <w:tab w:leader="none" w:pos="61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Unaudited Pro Forma Financial Information. Unaudited Pro Forma Condensed Combined Financial Statements of Gentner Communications Corporation and ClearOne, Inc.</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97"/>
              </w:rPr>
              <w:t>Page No.</w:t>
            </w:r>
          </w:p>
        </w:tc>
      </w:tr>
      <w:tr>
        <w:trPr>
          <w:trHeight w:val="170"/>
        </w:trPr>
        <w:tc>
          <w:tcPr>
            <w:tcW w:w="4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40" w:type="dxa"/>
            <w:vAlign w:val="bottom"/>
          </w:tcPr>
          <w:p>
            <w:pPr>
              <w:spacing w:after="0"/>
              <w:rPr>
                <w:sz w:val="14"/>
                <w:szCs w:val="14"/>
                <w:color w:val="auto"/>
              </w:rPr>
            </w:pPr>
          </w:p>
        </w:tc>
        <w:tc>
          <w:tcPr>
            <w:tcW w:w="5900" w:type="dxa"/>
            <w:vAlign w:val="bottom"/>
          </w:tcPr>
          <w:p>
            <w:pPr>
              <w:ind w:left="160"/>
              <w:spacing w:after="0"/>
              <w:rPr>
                <w:sz w:val="20"/>
                <w:szCs w:val="20"/>
                <w:color w:val="auto"/>
              </w:rPr>
            </w:pPr>
            <w:r>
              <w:rPr>
                <w:rFonts w:ascii="Courier New" w:cs="Courier New" w:eastAsia="Courier New" w:hAnsi="Courier New"/>
                <w:sz w:val="15"/>
                <w:szCs w:val="15"/>
                <w:color w:val="auto"/>
                <w:w w:val="97"/>
              </w:rPr>
              <w:t>Pro Forma Condensed Combined Financial Information (unaudited)...</w:t>
            </w: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94"/>
              </w:rPr>
              <w:t>F-19</w:t>
            </w:r>
          </w:p>
        </w:tc>
      </w:tr>
      <w:tr>
        <w:trPr>
          <w:trHeight w:val="170"/>
        </w:trPr>
        <w:tc>
          <w:tcPr>
            <w:tcW w:w="440" w:type="dxa"/>
            <w:vAlign w:val="bottom"/>
          </w:tcPr>
          <w:p>
            <w:pPr>
              <w:spacing w:after="0"/>
              <w:rPr>
                <w:sz w:val="14"/>
                <w:szCs w:val="14"/>
                <w:color w:val="auto"/>
              </w:rPr>
            </w:pPr>
          </w:p>
        </w:tc>
        <w:tc>
          <w:tcPr>
            <w:tcW w:w="5900" w:type="dxa"/>
            <w:vAlign w:val="bottom"/>
          </w:tcPr>
          <w:p>
            <w:pPr>
              <w:ind w:left="160"/>
              <w:spacing w:after="0"/>
              <w:rPr>
                <w:sz w:val="20"/>
                <w:szCs w:val="20"/>
                <w:color w:val="auto"/>
              </w:rPr>
            </w:pPr>
            <w:r>
              <w:rPr>
                <w:rFonts w:ascii="Courier New" w:cs="Courier New" w:eastAsia="Courier New" w:hAnsi="Courier New"/>
                <w:sz w:val="15"/>
                <w:szCs w:val="15"/>
                <w:color w:val="auto"/>
              </w:rPr>
              <w:t>Pro Forma Condensed Combined Balance Sheet</w:t>
            </w:r>
          </w:p>
        </w:tc>
        <w:tc>
          <w:tcPr>
            <w:tcW w:w="700" w:type="dxa"/>
            <w:vAlign w:val="bottom"/>
          </w:tcPr>
          <w:p>
            <w:pPr>
              <w:spacing w:after="0"/>
              <w:rPr>
                <w:sz w:val="14"/>
                <w:szCs w:val="14"/>
                <w:color w:val="auto"/>
              </w:rPr>
            </w:pPr>
          </w:p>
        </w:tc>
      </w:tr>
      <w:tr>
        <w:trPr>
          <w:trHeight w:val="170"/>
        </w:trPr>
        <w:tc>
          <w:tcPr>
            <w:tcW w:w="440" w:type="dxa"/>
            <w:vAlign w:val="bottom"/>
          </w:tcPr>
          <w:p>
            <w:pPr>
              <w:spacing w:after="0"/>
              <w:rPr>
                <w:sz w:val="14"/>
                <w:szCs w:val="14"/>
                <w:color w:val="auto"/>
              </w:rPr>
            </w:pPr>
          </w:p>
        </w:tc>
        <w:tc>
          <w:tcPr>
            <w:tcW w:w="5900" w:type="dxa"/>
            <w:vAlign w:val="bottom"/>
          </w:tcPr>
          <w:p>
            <w:pPr>
              <w:ind w:left="600"/>
              <w:spacing w:after="0"/>
              <w:rPr>
                <w:sz w:val="20"/>
                <w:szCs w:val="20"/>
                <w:color w:val="auto"/>
              </w:rPr>
            </w:pPr>
            <w:r>
              <w:rPr>
                <w:rFonts w:ascii="Courier New" w:cs="Courier New" w:eastAsia="Courier New" w:hAnsi="Courier New"/>
                <w:sz w:val="15"/>
                <w:szCs w:val="15"/>
                <w:color w:val="auto"/>
                <w:w w:val="97"/>
              </w:rPr>
              <w:t>as of June 30, 2000 (unaudited).............................</w:t>
            </w: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94"/>
              </w:rPr>
              <w:t>F-19</w:t>
            </w:r>
          </w:p>
        </w:tc>
      </w:tr>
      <w:tr>
        <w:trPr>
          <w:trHeight w:val="170"/>
        </w:trPr>
        <w:tc>
          <w:tcPr>
            <w:tcW w:w="440" w:type="dxa"/>
            <w:vAlign w:val="bottom"/>
          </w:tcPr>
          <w:p>
            <w:pPr>
              <w:spacing w:after="0"/>
              <w:rPr>
                <w:sz w:val="14"/>
                <w:szCs w:val="14"/>
                <w:color w:val="auto"/>
              </w:rPr>
            </w:pPr>
          </w:p>
        </w:tc>
        <w:tc>
          <w:tcPr>
            <w:tcW w:w="5900" w:type="dxa"/>
            <w:vAlign w:val="bottom"/>
          </w:tcPr>
          <w:p>
            <w:pPr>
              <w:ind w:left="160"/>
              <w:spacing w:after="0"/>
              <w:rPr>
                <w:sz w:val="20"/>
                <w:szCs w:val="20"/>
                <w:color w:val="auto"/>
              </w:rPr>
            </w:pPr>
            <w:r>
              <w:rPr>
                <w:rFonts w:ascii="Courier New" w:cs="Courier New" w:eastAsia="Courier New" w:hAnsi="Courier New"/>
                <w:sz w:val="15"/>
                <w:szCs w:val="15"/>
                <w:color w:val="auto"/>
              </w:rPr>
              <w:t>Pro Forma Condensed Combined Statement of Operations</w:t>
            </w:r>
          </w:p>
        </w:tc>
        <w:tc>
          <w:tcPr>
            <w:tcW w:w="700" w:type="dxa"/>
            <w:vAlign w:val="bottom"/>
          </w:tcPr>
          <w:p>
            <w:pPr>
              <w:spacing w:after="0"/>
              <w:rPr>
                <w:sz w:val="14"/>
                <w:szCs w:val="14"/>
                <w:color w:val="auto"/>
              </w:rPr>
            </w:pPr>
          </w:p>
        </w:tc>
      </w:tr>
      <w:tr>
        <w:trPr>
          <w:trHeight w:val="170"/>
        </w:trPr>
        <w:tc>
          <w:tcPr>
            <w:tcW w:w="440" w:type="dxa"/>
            <w:vAlign w:val="bottom"/>
          </w:tcPr>
          <w:p>
            <w:pPr>
              <w:spacing w:after="0"/>
              <w:rPr>
                <w:sz w:val="14"/>
                <w:szCs w:val="14"/>
                <w:color w:val="auto"/>
              </w:rPr>
            </w:pPr>
          </w:p>
        </w:tc>
        <w:tc>
          <w:tcPr>
            <w:tcW w:w="5900" w:type="dxa"/>
            <w:vAlign w:val="bottom"/>
          </w:tcPr>
          <w:p>
            <w:pPr>
              <w:ind w:left="600"/>
              <w:spacing w:after="0"/>
              <w:rPr>
                <w:sz w:val="20"/>
                <w:szCs w:val="20"/>
                <w:color w:val="auto"/>
              </w:rPr>
            </w:pPr>
            <w:r>
              <w:rPr>
                <w:rFonts w:ascii="Courier New" w:cs="Courier New" w:eastAsia="Courier New" w:hAnsi="Courier New"/>
                <w:sz w:val="15"/>
                <w:szCs w:val="15"/>
                <w:color w:val="auto"/>
                <w:w w:val="97"/>
              </w:rPr>
              <w:t>for the year ended June 30, 2000 (unaudited)................</w:t>
            </w: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94"/>
              </w:rPr>
              <w:t>F-21</w:t>
            </w:r>
          </w:p>
        </w:tc>
      </w:tr>
      <w:tr>
        <w:trPr>
          <w:trHeight w:val="170"/>
        </w:trPr>
        <w:tc>
          <w:tcPr>
            <w:tcW w:w="440" w:type="dxa"/>
            <w:vAlign w:val="bottom"/>
          </w:tcPr>
          <w:p>
            <w:pPr>
              <w:spacing w:after="0"/>
              <w:rPr>
                <w:sz w:val="14"/>
                <w:szCs w:val="14"/>
                <w:color w:val="auto"/>
              </w:rPr>
            </w:pPr>
          </w:p>
        </w:tc>
        <w:tc>
          <w:tcPr>
            <w:tcW w:w="5900" w:type="dxa"/>
            <w:vAlign w:val="bottom"/>
          </w:tcPr>
          <w:p>
            <w:pPr>
              <w:ind w:left="160"/>
              <w:spacing w:after="0"/>
              <w:rPr>
                <w:sz w:val="20"/>
                <w:szCs w:val="20"/>
                <w:color w:val="auto"/>
              </w:rPr>
            </w:pPr>
            <w:r>
              <w:rPr>
                <w:rFonts w:ascii="Courier New" w:cs="Courier New" w:eastAsia="Courier New" w:hAnsi="Courier New"/>
                <w:sz w:val="15"/>
                <w:szCs w:val="15"/>
                <w:color w:val="auto"/>
                <w:w w:val="97"/>
              </w:rPr>
              <w:t>Notes to Pro Forma Condensed Financial Information (unaudited)...</w:t>
            </w: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94"/>
              </w:rPr>
              <w:t>F-22</w:t>
            </w:r>
          </w:p>
        </w:tc>
      </w:tr>
      <w:tr>
        <w:trPr>
          <w:trHeight w:val="509"/>
        </w:trPr>
        <w:tc>
          <w:tcPr>
            <w:tcW w:w="440" w:type="dxa"/>
            <w:vAlign w:val="bottom"/>
          </w:tcPr>
          <w:p>
            <w:pPr>
              <w:spacing w:after="0"/>
              <w:rPr>
                <w:sz w:val="20"/>
                <w:szCs w:val="20"/>
                <w:color w:val="auto"/>
              </w:rPr>
            </w:pPr>
            <w:r>
              <w:rPr>
                <w:rFonts w:ascii="Courier New" w:cs="Courier New" w:eastAsia="Courier New" w:hAnsi="Courier New"/>
                <w:sz w:val="15"/>
                <w:szCs w:val="15"/>
                <w:color w:val="auto"/>
              </w:rPr>
              <w:t>(c)</w:t>
            </w:r>
          </w:p>
        </w:tc>
        <w:tc>
          <w:tcPr>
            <w:tcW w:w="5900" w:type="dxa"/>
            <w:vAlign w:val="bottom"/>
          </w:tcPr>
          <w:p>
            <w:pPr>
              <w:ind w:left="160"/>
              <w:spacing w:after="0"/>
              <w:rPr>
                <w:sz w:val="20"/>
                <w:szCs w:val="20"/>
                <w:color w:val="auto"/>
              </w:rPr>
            </w:pPr>
            <w:r>
              <w:rPr>
                <w:rFonts w:ascii="Courier New" w:cs="Courier New" w:eastAsia="Courier New" w:hAnsi="Courier New"/>
                <w:sz w:val="15"/>
                <w:szCs w:val="15"/>
                <w:color w:val="auto"/>
              </w:rPr>
              <w:t>Exhibits</w:t>
            </w:r>
          </w:p>
        </w:tc>
        <w:tc>
          <w:tcPr>
            <w:tcW w:w="700" w:type="dxa"/>
            <w:vAlign w:val="bottom"/>
          </w:tcPr>
          <w:p>
            <w:pPr>
              <w:spacing w:after="0"/>
              <w:rPr>
                <w:sz w:val="24"/>
                <w:szCs w:val="24"/>
                <w:color w:val="auto"/>
              </w:rPr>
            </w:pPr>
          </w:p>
        </w:tc>
      </w:tr>
      <w:tr>
        <w:trPr>
          <w:trHeight w:val="339"/>
        </w:trPr>
        <w:tc>
          <w:tcPr>
            <w:tcW w:w="44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97"/>
              </w:rPr>
              <w:t>Page No.</w:t>
            </w:r>
          </w:p>
        </w:tc>
      </w:tr>
      <w:tr>
        <w:trPr>
          <w:trHeight w:val="170"/>
        </w:trPr>
        <w:tc>
          <w:tcPr>
            <w:tcW w:w="4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40" w:type="dxa"/>
            <w:vAlign w:val="bottom"/>
          </w:tcPr>
          <w:p>
            <w:pPr>
              <w:spacing w:after="0"/>
              <w:rPr>
                <w:sz w:val="14"/>
                <w:szCs w:val="14"/>
                <w:color w:val="auto"/>
              </w:rPr>
            </w:pPr>
          </w:p>
        </w:tc>
        <w:tc>
          <w:tcPr>
            <w:tcW w:w="5900" w:type="dxa"/>
            <w:vAlign w:val="bottom"/>
          </w:tcPr>
          <w:p>
            <w:pPr>
              <w:ind w:left="160"/>
              <w:spacing w:after="0"/>
              <w:rPr>
                <w:sz w:val="20"/>
                <w:szCs w:val="20"/>
                <w:color w:val="auto"/>
              </w:rPr>
            </w:pPr>
            <w:r>
              <w:rPr>
                <w:rFonts w:ascii="Courier New" w:cs="Courier New" w:eastAsia="Courier New" w:hAnsi="Courier New"/>
                <w:sz w:val="15"/>
                <w:szCs w:val="15"/>
                <w:color w:val="auto"/>
              </w:rPr>
              <w:t>Exhibit 10.8 - Asset Purchase Agreement between</w:t>
            </w:r>
          </w:p>
        </w:tc>
        <w:tc>
          <w:tcPr>
            <w:tcW w:w="700" w:type="dxa"/>
            <w:vAlign w:val="bottom"/>
          </w:tcPr>
          <w:p>
            <w:pPr>
              <w:spacing w:after="0"/>
              <w:rPr>
                <w:sz w:val="14"/>
                <w:szCs w:val="14"/>
                <w:color w:val="auto"/>
              </w:rPr>
            </w:pPr>
          </w:p>
        </w:tc>
      </w:tr>
      <w:tr>
        <w:trPr>
          <w:trHeight w:val="170"/>
        </w:trPr>
        <w:tc>
          <w:tcPr>
            <w:tcW w:w="440" w:type="dxa"/>
            <w:vAlign w:val="bottom"/>
          </w:tcPr>
          <w:p>
            <w:pPr>
              <w:spacing w:after="0"/>
              <w:rPr>
                <w:sz w:val="14"/>
                <w:szCs w:val="14"/>
                <w:color w:val="auto"/>
              </w:rPr>
            </w:pPr>
          </w:p>
        </w:tc>
        <w:tc>
          <w:tcPr>
            <w:tcW w:w="5900" w:type="dxa"/>
            <w:vAlign w:val="bottom"/>
          </w:tcPr>
          <w:p>
            <w:pPr>
              <w:ind w:left="600"/>
              <w:spacing w:after="0"/>
              <w:rPr>
                <w:sz w:val="20"/>
                <w:szCs w:val="20"/>
                <w:color w:val="auto"/>
              </w:rPr>
            </w:pPr>
            <w:r>
              <w:rPr>
                <w:rFonts w:ascii="Courier New" w:cs="Courier New" w:eastAsia="Courier New" w:hAnsi="Courier New"/>
                <w:sz w:val="15"/>
                <w:szCs w:val="15"/>
                <w:color w:val="auto"/>
              </w:rPr>
              <w:t>Gentner Communications Corp., a Utah Corporation</w:t>
            </w:r>
          </w:p>
        </w:tc>
        <w:tc>
          <w:tcPr>
            <w:tcW w:w="700" w:type="dxa"/>
            <w:vAlign w:val="bottom"/>
          </w:tcPr>
          <w:p>
            <w:pPr>
              <w:spacing w:after="0"/>
              <w:rPr>
                <w:sz w:val="14"/>
                <w:szCs w:val="14"/>
                <w:color w:val="auto"/>
              </w:rPr>
            </w:pPr>
          </w:p>
        </w:tc>
      </w:tr>
      <w:tr>
        <w:trPr>
          <w:trHeight w:val="170"/>
        </w:trPr>
        <w:tc>
          <w:tcPr>
            <w:tcW w:w="440" w:type="dxa"/>
            <w:vAlign w:val="bottom"/>
          </w:tcPr>
          <w:p>
            <w:pPr>
              <w:spacing w:after="0"/>
              <w:rPr>
                <w:sz w:val="14"/>
                <w:szCs w:val="14"/>
                <w:color w:val="auto"/>
              </w:rPr>
            </w:pPr>
          </w:p>
        </w:tc>
        <w:tc>
          <w:tcPr>
            <w:tcW w:w="5900" w:type="dxa"/>
            <w:vAlign w:val="bottom"/>
          </w:tcPr>
          <w:p>
            <w:pPr>
              <w:ind w:left="600"/>
              <w:spacing w:after="0"/>
              <w:rPr>
                <w:sz w:val="20"/>
                <w:szCs w:val="20"/>
                <w:color w:val="auto"/>
              </w:rPr>
            </w:pPr>
            <w:r>
              <w:rPr>
                <w:rFonts w:ascii="Courier New" w:cs="Courier New" w:eastAsia="Courier New" w:hAnsi="Courier New"/>
                <w:sz w:val="15"/>
                <w:szCs w:val="15"/>
                <w:color w:val="auto"/>
                <w:w w:val="97"/>
              </w:rPr>
              <w:t>and ClearOne, Inc., a Massachusetts Corporation ............</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E-1</w:t>
            </w:r>
          </w:p>
        </w:tc>
      </w:tr>
      <w:tr>
        <w:trPr>
          <w:trHeight w:val="339"/>
        </w:trPr>
        <w:tc>
          <w:tcPr>
            <w:tcW w:w="440" w:type="dxa"/>
            <w:vAlign w:val="bottom"/>
          </w:tcPr>
          <w:p>
            <w:pPr>
              <w:spacing w:after="0"/>
              <w:rPr>
                <w:sz w:val="24"/>
                <w:szCs w:val="24"/>
                <w:color w:val="auto"/>
              </w:rPr>
            </w:pPr>
          </w:p>
        </w:tc>
        <w:tc>
          <w:tcPr>
            <w:tcW w:w="5900" w:type="dxa"/>
            <w:vAlign w:val="bottom"/>
          </w:tcPr>
          <w:p>
            <w:pPr>
              <w:ind w:left="160"/>
              <w:spacing w:after="0"/>
              <w:rPr>
                <w:sz w:val="20"/>
                <w:szCs w:val="20"/>
                <w:color w:val="auto"/>
              </w:rPr>
            </w:pPr>
            <w:r>
              <w:rPr>
                <w:rFonts w:ascii="Courier New" w:cs="Courier New" w:eastAsia="Courier New" w:hAnsi="Courier New"/>
                <w:sz w:val="15"/>
                <w:szCs w:val="15"/>
                <w:color w:val="auto"/>
                <w:w w:val="97"/>
              </w:rPr>
              <w:t>Exhibit 23.1 - Consent of Edward A. Scribner, CPA ...............</w:t>
            </w: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94"/>
              </w:rPr>
              <w:t>E-46</w:t>
            </w:r>
          </w:p>
        </w:tc>
      </w:tr>
    </w:tbl>
    <w:p>
      <w:pPr>
        <w:sectPr>
          <w:pgSz w:w="11900" w:h="16838" w:orient="portrait"/>
          <w:cols w:equalWidth="0" w:num="1">
            <w:col w:w="10229"/>
          </w:cols>
          <w:pgMar w:left="230" w:top="136" w:right="1440" w:bottom="1440" w:gutter="0" w:footer="0" w:header="0"/>
        </w:sectPr>
      </w:pPr>
    </w:p>
    <w:bookmarkStart w:id="2" w:name="page3"/>
    <w:bookmarkEnd w:id="2"/>
    <w:p>
      <w:pPr>
        <w:spacing w:after="0" w:line="1" w:lineRule="exact"/>
        <w:rPr>
          <w:sz w:val="20"/>
          <w:szCs w:val="20"/>
          <w:color w:val="auto"/>
        </w:rPr>
      </w:pPr>
    </w:p>
    <w:tbl>
      <w:tblPr>
        <w:tblLayout w:type="fixed"/>
        <w:tblInd w:w="2200" w:type="dxa"/>
        <w:tblCellMar>
          <w:top w:w="0" w:type="dxa"/>
          <w:left w:w="0" w:type="dxa"/>
          <w:bottom w:w="0" w:type="dxa"/>
          <w:right w:w="0" w:type="dxa"/>
        </w:tblCellMar>
      </w:tblPr>
      <w:tr>
        <w:trPr>
          <w:trHeight w:val="170"/>
        </w:trPr>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EDWARD A.</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SCRIBNER, CPA</w:t>
            </w:r>
          </w:p>
        </w:tc>
      </w:tr>
      <w:tr>
        <w:trPr>
          <w:trHeight w:val="170"/>
        </w:trPr>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5"/>
              </w:rPr>
              <w:t>170 WORCESTER</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w w:val="96"/>
              </w:rPr>
              <w:t>STREET, SUITE 208</w:t>
            </w:r>
          </w:p>
        </w:tc>
      </w:tr>
      <w:tr>
        <w:trPr>
          <w:trHeight w:val="170"/>
        </w:trPr>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WELLESLEY,</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MA 02481-5508</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INDEPENDENT AUDITOR'S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 ClearOne, Inc.</w:t>
      </w:r>
    </w:p>
    <w:p>
      <w:pPr>
        <w:spacing w:after="0" w:line="200" w:lineRule="exact"/>
        <w:rPr>
          <w:sz w:val="20"/>
          <w:szCs w:val="20"/>
          <w:color w:val="auto"/>
        </w:rPr>
      </w:pPr>
    </w:p>
    <w:p>
      <w:pPr>
        <w:spacing w:after="0" w:line="314"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 have audited the accompanying balance sheet of ClearOne, Inc. a Massachusetts corporation as of April 30, 2000, and the related statements of operations, changes in stockholders' equity and cash flows for the year then ended. These financial statements are the responsibility of the Company's management. My responsibility is to express an opinion on these financial statements based on my audit.</w:t>
      </w:r>
    </w:p>
    <w:p>
      <w:pPr>
        <w:spacing w:after="0" w:line="200" w:lineRule="exact"/>
        <w:rPr>
          <w:sz w:val="20"/>
          <w:szCs w:val="20"/>
          <w:color w:val="auto"/>
        </w:rPr>
      </w:pPr>
    </w:p>
    <w:p>
      <w:pPr>
        <w:spacing w:after="0" w:line="315"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I conducted my audit in accordance with generally accepted auditing standards. Those standards require that I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I believe that my audit provides a reasonable basis for my opinion.</w:t>
      </w:r>
    </w:p>
    <w:p>
      <w:pPr>
        <w:spacing w:after="0" w:line="200" w:lineRule="exact"/>
        <w:rPr>
          <w:sz w:val="20"/>
          <w:szCs w:val="20"/>
          <w:color w:val="auto"/>
        </w:rPr>
      </w:pPr>
    </w:p>
    <w:p>
      <w:pPr>
        <w:spacing w:after="0" w:line="306"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In my opinion, the financial statements referred to above present fairly, in all material respects, the financial position of ClearOne, Inc. as of April 30, 2000, and the results of its operations and its cash flows for the year then ended in conformity with generally accepted accounting principles.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Edward A. Scribner, CPA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Wellesley, MA</w:t>
      </w:r>
    </w:p>
    <w:p>
      <w:pPr>
        <w:spacing w:after="0" w:line="200" w:lineRule="exact"/>
        <w:rPr>
          <w:sz w:val="20"/>
          <w:szCs w:val="20"/>
          <w:color w:val="auto"/>
        </w:rPr>
      </w:pPr>
    </w:p>
    <w:p>
      <w:pPr>
        <w:spacing w:after="0" w:line="308"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July</w:t>
      </w:r>
      <w:r>
        <w:rPr>
          <w:sz w:val="20"/>
          <w:szCs w:val="20"/>
          <w:color w:val="auto"/>
        </w:rPr>
        <w:tab/>
      </w:r>
      <w:r>
        <w:rPr>
          <w:rFonts w:ascii="Courier New" w:cs="Courier New" w:eastAsia="Courier New" w:hAnsi="Courier New"/>
          <w:sz w:val="14"/>
          <w:szCs w:val="14"/>
          <w:color w:val="auto"/>
        </w:rPr>
        <w:t>15, 2000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19"/>
          </w:cols>
          <w:pgMar w:left="240" w:top="961" w:right="1440" w:bottom="1440" w:gutter="0" w:footer="0" w:header="0"/>
        </w:sectPr>
      </w:pPr>
    </w:p>
    <w:bookmarkStart w:id="3" w:name="page4"/>
    <w:bookmarkEnd w:id="3"/>
    <w:p>
      <w:pPr>
        <w:jc w:val="center"/>
        <w:ind w:right="3099"/>
        <w:spacing w:after="0"/>
        <w:rPr>
          <w:sz w:val="20"/>
          <w:szCs w:val="20"/>
          <w:color w:val="auto"/>
        </w:rPr>
      </w:pPr>
      <w:r>
        <w:rPr>
          <w:rFonts w:ascii="Courier New" w:cs="Courier New" w:eastAsia="Courier New" w:hAnsi="Courier New"/>
          <w:sz w:val="15"/>
          <w:szCs w:val="15"/>
          <w:color w:val="auto"/>
        </w:rPr>
        <w:t>Financial Statements of Business Acquired</w:t>
      </w:r>
    </w:p>
    <w:p>
      <w:pPr>
        <w:jc w:val="center"/>
        <w:ind w:right="3099"/>
        <w:spacing w:after="0"/>
        <w:rPr>
          <w:sz w:val="20"/>
          <w:szCs w:val="20"/>
          <w:color w:val="auto"/>
        </w:rPr>
      </w:pPr>
      <w:r>
        <w:rPr>
          <w:rFonts w:ascii="Courier New" w:cs="Courier New" w:eastAsia="Courier New" w:hAnsi="Courier New"/>
          <w:sz w:val="15"/>
          <w:szCs w:val="15"/>
          <w:color w:val="auto"/>
        </w:rPr>
        <w:t>ClearOne Inc.</w:t>
      </w:r>
    </w:p>
    <w:p>
      <w:pPr>
        <w:jc w:val="center"/>
        <w:ind w:right="3099"/>
        <w:spacing w:after="0"/>
        <w:rPr>
          <w:sz w:val="20"/>
          <w:szCs w:val="20"/>
          <w:color w:val="auto"/>
        </w:rPr>
      </w:pPr>
      <w:r>
        <w:rPr>
          <w:rFonts w:ascii="Courier New" w:cs="Courier New" w:eastAsia="Courier New" w:hAnsi="Courier New"/>
          <w:sz w:val="15"/>
          <w:szCs w:val="15"/>
          <w:color w:val="auto"/>
        </w:rPr>
        <w:t>Balance Sheet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4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April 30, 2000</w:t>
            </w:r>
          </w:p>
        </w:tc>
      </w:t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9"/>
        </w:trPr>
        <w:tc>
          <w:tcPr>
            <w:tcW w:w="59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9"/>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Cash and cash equivalents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71,391</w:t>
            </w:r>
          </w:p>
        </w:tc>
      </w:tr>
      <w:tr>
        <w:trPr>
          <w:trHeight w:val="170"/>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Accounts receivable</w:t>
            </w:r>
          </w:p>
        </w:tc>
        <w:tc>
          <w:tcPr>
            <w:tcW w:w="4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64,193</w:t>
            </w:r>
          </w:p>
        </w:tc>
      </w:tr>
      <w:tr>
        <w:trPr>
          <w:trHeight w:val="170"/>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Less: Allowance for bad debt</w:t>
            </w:r>
          </w:p>
        </w:tc>
        <w:tc>
          <w:tcPr>
            <w:tcW w:w="4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(9,358)</w:t>
            </w:r>
          </w:p>
        </w:tc>
      </w:tr>
      <w:tr>
        <w:trPr>
          <w:trHeight w:val="170"/>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Inventory</w:t>
            </w:r>
          </w:p>
        </w:tc>
        <w:tc>
          <w:tcPr>
            <w:tcW w:w="4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650,351</w:t>
            </w:r>
          </w:p>
        </w:tc>
      </w:tr>
      <w:tr>
        <w:trPr>
          <w:trHeight w:val="170"/>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Prepaid expenses</w:t>
            </w:r>
          </w:p>
        </w:tc>
        <w:tc>
          <w:tcPr>
            <w:tcW w:w="4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5,752</w:t>
            </w:r>
          </w:p>
        </w:tc>
      </w:tr>
      <w:tr>
        <w:trPr>
          <w:trHeight w:val="170"/>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Other current assets</w:t>
            </w:r>
          </w:p>
        </w:tc>
        <w:tc>
          <w:tcPr>
            <w:tcW w:w="4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2,190</w:t>
            </w:r>
          </w:p>
        </w:tc>
      </w:tr>
      <w:tr>
        <w:trPr>
          <w:trHeight w:val="170"/>
        </w:trPr>
        <w:tc>
          <w:tcPr>
            <w:tcW w:w="5940" w:type="dxa"/>
            <w:vAlign w:val="bottom"/>
          </w:tcPr>
          <w:p>
            <w:pPr>
              <w:spacing w:after="0"/>
              <w:rPr>
                <w:sz w:val="14"/>
                <w:szCs w:val="14"/>
                <w:color w:val="auto"/>
              </w:rPr>
            </w:pP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40" w:type="dxa"/>
            <w:vAlign w:val="bottom"/>
          </w:tcPr>
          <w:p>
            <w:pPr>
              <w:ind w:left="700"/>
              <w:spacing w:after="0"/>
              <w:rPr>
                <w:sz w:val="20"/>
                <w:szCs w:val="20"/>
                <w:color w:val="auto"/>
              </w:rPr>
            </w:pPr>
            <w:r>
              <w:rPr>
                <w:rFonts w:ascii="Courier New" w:cs="Courier New" w:eastAsia="Courier New" w:hAnsi="Courier New"/>
                <w:sz w:val="15"/>
                <w:szCs w:val="15"/>
                <w:color w:val="auto"/>
              </w:rPr>
              <w:t>Total Current Assets</w:t>
            </w:r>
          </w:p>
        </w:tc>
        <w:tc>
          <w:tcPr>
            <w:tcW w:w="4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784,519</w:t>
            </w:r>
          </w:p>
        </w:tc>
      </w:tr>
      <w:tr>
        <w:trPr>
          <w:trHeight w:val="339"/>
        </w:trPr>
        <w:tc>
          <w:tcPr>
            <w:tcW w:w="594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Equipment</w:t>
            </w:r>
          </w:p>
        </w:tc>
        <w:tc>
          <w:tcPr>
            <w:tcW w:w="4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619,932</w:t>
            </w:r>
          </w:p>
        </w:tc>
      </w:tr>
      <w:tr>
        <w:trPr>
          <w:trHeight w:val="170"/>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Furniture and fixtures</w:t>
            </w:r>
          </w:p>
        </w:tc>
        <w:tc>
          <w:tcPr>
            <w:tcW w:w="4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18,857</w:t>
            </w:r>
          </w:p>
        </w:tc>
      </w:tr>
      <w:tr>
        <w:trPr>
          <w:trHeight w:val="170"/>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Leasehold improvements</w:t>
            </w:r>
          </w:p>
        </w:tc>
        <w:tc>
          <w:tcPr>
            <w:tcW w:w="4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21,203</w:t>
            </w:r>
          </w:p>
        </w:tc>
      </w:tr>
      <w:tr>
        <w:trPr>
          <w:trHeight w:val="170"/>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Less accumulated depreciation</w:t>
            </w:r>
          </w:p>
        </w:tc>
        <w:tc>
          <w:tcPr>
            <w:tcW w:w="4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(343,708)</w:t>
            </w:r>
          </w:p>
        </w:tc>
      </w:tr>
      <w:tr>
        <w:trPr>
          <w:trHeight w:val="170"/>
        </w:trPr>
        <w:tc>
          <w:tcPr>
            <w:tcW w:w="5940" w:type="dxa"/>
            <w:vAlign w:val="bottom"/>
          </w:tcPr>
          <w:p>
            <w:pPr>
              <w:spacing w:after="0"/>
              <w:rPr>
                <w:sz w:val="14"/>
                <w:szCs w:val="14"/>
                <w:color w:val="auto"/>
              </w:rPr>
            </w:pP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316,284</w:t>
            </w:r>
          </w:p>
        </w:tc>
      </w:t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Deposits</w:t>
            </w:r>
          </w:p>
        </w:tc>
        <w:tc>
          <w:tcPr>
            <w:tcW w:w="4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62,250</w:t>
            </w:r>
          </w:p>
        </w:tc>
      </w:tr>
      <w:tr>
        <w:trPr>
          <w:trHeight w:val="170"/>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Organizational costs net of amortization</w:t>
            </w:r>
          </w:p>
        </w:tc>
        <w:tc>
          <w:tcPr>
            <w:tcW w:w="4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12,556</w:t>
            </w:r>
          </w:p>
        </w:tc>
      </w:tr>
      <w:tr>
        <w:trPr>
          <w:trHeight w:val="170"/>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Intangible assets</w:t>
            </w:r>
          </w:p>
        </w:tc>
        <w:tc>
          <w:tcPr>
            <w:tcW w:w="4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21,624</w:t>
            </w:r>
          </w:p>
        </w:tc>
      </w:tr>
      <w:tr>
        <w:trPr>
          <w:trHeight w:val="170"/>
        </w:trPr>
        <w:tc>
          <w:tcPr>
            <w:tcW w:w="5940" w:type="dxa"/>
            <w:vAlign w:val="bottom"/>
          </w:tcPr>
          <w:p>
            <w:pPr>
              <w:spacing w:after="0"/>
              <w:rPr>
                <w:sz w:val="14"/>
                <w:szCs w:val="14"/>
                <w:color w:val="auto"/>
              </w:rPr>
            </w:pP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96,430</w:t>
            </w:r>
          </w:p>
        </w:tc>
      </w:tr>
      <w:tr>
        <w:trPr>
          <w:trHeight w:val="170"/>
        </w:trPr>
        <w:tc>
          <w:tcPr>
            <w:tcW w:w="5940" w:type="dxa"/>
            <w:vAlign w:val="bottom"/>
          </w:tcPr>
          <w:p>
            <w:pPr>
              <w:spacing w:after="0"/>
              <w:rPr>
                <w:sz w:val="14"/>
                <w:szCs w:val="14"/>
                <w:color w:val="auto"/>
              </w:rPr>
            </w:pP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40" w:type="dxa"/>
            <w:vAlign w:val="bottom"/>
          </w:tcPr>
          <w:p>
            <w:pPr>
              <w:spacing w:after="0"/>
              <w:rPr>
                <w:sz w:val="14"/>
                <w:szCs w:val="14"/>
                <w:color w:val="auto"/>
              </w:rPr>
            </w:pP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$ 1,197,233</w:t>
            </w:r>
          </w:p>
        </w:tc>
      </w:tr>
      <w:tr>
        <w:trPr>
          <w:trHeight w:val="170"/>
        </w:trPr>
        <w:tc>
          <w:tcPr>
            <w:tcW w:w="5940" w:type="dxa"/>
            <w:vAlign w:val="bottom"/>
          </w:tcPr>
          <w:p>
            <w:pPr>
              <w:spacing w:after="0"/>
              <w:rPr>
                <w:sz w:val="14"/>
                <w:szCs w:val="14"/>
                <w:color w:val="auto"/>
              </w:rPr>
            </w:pP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9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9"/>
        </w:trPr>
        <w:tc>
          <w:tcPr>
            <w:tcW w:w="59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Accounts payable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27,362</w:t>
            </w:r>
          </w:p>
        </w:tc>
      </w:tr>
      <w:tr>
        <w:trPr>
          <w:trHeight w:val="170"/>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Accrued expenses</w:t>
            </w:r>
          </w:p>
        </w:tc>
        <w:tc>
          <w:tcPr>
            <w:tcW w:w="4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32,585</w:t>
            </w:r>
          </w:p>
        </w:tc>
      </w:tr>
      <w:tr>
        <w:trPr>
          <w:trHeight w:val="170"/>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Accrued wages and other payroll liabilities</w:t>
            </w:r>
          </w:p>
        </w:tc>
        <w:tc>
          <w:tcPr>
            <w:tcW w:w="4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8,821</w:t>
            </w:r>
          </w:p>
        </w:tc>
      </w:tr>
      <w:tr>
        <w:trPr>
          <w:trHeight w:val="170"/>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Accrued interest</w:t>
            </w:r>
          </w:p>
        </w:tc>
        <w:tc>
          <w:tcPr>
            <w:tcW w:w="4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20,485</w:t>
            </w:r>
          </w:p>
        </w:tc>
      </w:tr>
      <w:tr>
        <w:trPr>
          <w:trHeight w:val="170"/>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Accrued warranty costs</w:t>
            </w:r>
          </w:p>
        </w:tc>
        <w:tc>
          <w:tcPr>
            <w:tcW w:w="4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3,949</w:t>
            </w:r>
          </w:p>
        </w:tc>
      </w:tr>
      <w:tr>
        <w:trPr>
          <w:trHeight w:val="170"/>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Accrued advertising costs</w:t>
            </w:r>
          </w:p>
        </w:tc>
        <w:tc>
          <w:tcPr>
            <w:tcW w:w="4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16,563</w:t>
            </w:r>
          </w:p>
        </w:tc>
      </w:tr>
      <w:tr>
        <w:trPr>
          <w:trHeight w:val="170"/>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Pension plan payable</w:t>
            </w:r>
          </w:p>
        </w:tc>
        <w:tc>
          <w:tcPr>
            <w:tcW w:w="4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3,274</w:t>
            </w:r>
          </w:p>
        </w:tc>
      </w:tr>
      <w:tr>
        <w:trPr>
          <w:trHeight w:val="170"/>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State and local taxes payable</w:t>
            </w:r>
          </w:p>
        </w:tc>
        <w:tc>
          <w:tcPr>
            <w:tcW w:w="4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456</w:t>
            </w:r>
          </w:p>
        </w:tc>
      </w:tr>
      <w:tr>
        <w:trPr>
          <w:trHeight w:val="170"/>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Short-term portion of stockholder loan</w:t>
            </w:r>
          </w:p>
        </w:tc>
        <w:tc>
          <w:tcPr>
            <w:tcW w:w="4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2,892,000</w:t>
            </w:r>
          </w:p>
        </w:tc>
      </w:tr>
      <w:tr>
        <w:trPr>
          <w:trHeight w:val="170"/>
        </w:trPr>
        <w:tc>
          <w:tcPr>
            <w:tcW w:w="5940" w:type="dxa"/>
            <w:vAlign w:val="bottom"/>
          </w:tcPr>
          <w:p>
            <w:pPr>
              <w:spacing w:after="0"/>
              <w:rPr>
                <w:sz w:val="14"/>
                <w:szCs w:val="14"/>
                <w:color w:val="auto"/>
              </w:rPr>
            </w:pP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40" w:type="dxa"/>
            <w:vAlign w:val="bottom"/>
          </w:tcPr>
          <w:p>
            <w:pPr>
              <w:ind w:left="700"/>
              <w:spacing w:after="0"/>
              <w:rPr>
                <w:sz w:val="20"/>
                <w:szCs w:val="20"/>
                <w:color w:val="auto"/>
              </w:rPr>
            </w:pPr>
            <w:r>
              <w:rPr>
                <w:rFonts w:ascii="Courier New" w:cs="Courier New" w:eastAsia="Courier New" w:hAnsi="Courier New"/>
                <w:sz w:val="15"/>
                <w:szCs w:val="15"/>
                <w:color w:val="auto"/>
              </w:rPr>
              <w:t>Total Current Liabilities</w:t>
            </w:r>
          </w:p>
        </w:tc>
        <w:tc>
          <w:tcPr>
            <w:tcW w:w="4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3,005,495</w:t>
            </w:r>
          </w:p>
        </w:tc>
      </w:tr>
      <w:tr>
        <w:trPr>
          <w:trHeight w:val="339"/>
        </w:trPr>
        <w:tc>
          <w:tcPr>
            <w:tcW w:w="59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Series B Preferred Stock, $.01 par value;</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940" w:type="dxa"/>
            <w:vAlign w:val="bottom"/>
          </w:tcPr>
          <w:p>
            <w:pPr>
              <w:ind w:left="700"/>
              <w:spacing w:after="0"/>
              <w:rPr>
                <w:sz w:val="20"/>
                <w:szCs w:val="20"/>
                <w:color w:val="auto"/>
              </w:rPr>
            </w:pPr>
            <w:r>
              <w:rPr>
                <w:rFonts w:ascii="Courier New" w:cs="Courier New" w:eastAsia="Courier New" w:hAnsi="Courier New"/>
                <w:sz w:val="15"/>
                <w:szCs w:val="15"/>
                <w:color w:val="auto"/>
              </w:rPr>
              <w:t>2,000,000 shares authorized, issued and outstanding</w:t>
            </w:r>
          </w:p>
        </w:tc>
        <w:tc>
          <w:tcPr>
            <w:tcW w:w="4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20,000</w:t>
            </w:r>
          </w:p>
        </w:tc>
      </w:tr>
      <w:tr>
        <w:trPr>
          <w:trHeight w:val="339"/>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Series A Preferred Stock, $.01 par value;</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5940" w:type="dxa"/>
            <w:vAlign w:val="bottom"/>
          </w:tcPr>
          <w:p>
            <w:pPr>
              <w:ind w:left="700"/>
              <w:spacing w:after="0"/>
              <w:rPr>
                <w:sz w:val="20"/>
                <w:szCs w:val="20"/>
                <w:color w:val="auto"/>
              </w:rPr>
            </w:pPr>
            <w:r>
              <w:rPr>
                <w:rFonts w:ascii="Courier New" w:cs="Courier New" w:eastAsia="Courier New" w:hAnsi="Courier New"/>
                <w:sz w:val="15"/>
                <w:szCs w:val="15"/>
                <w:color w:val="auto"/>
              </w:rPr>
              <w:t>1,000,000 shares authorized,</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940" w:type="dxa"/>
            <w:vAlign w:val="bottom"/>
          </w:tcPr>
          <w:p>
            <w:pPr>
              <w:ind w:left="700"/>
              <w:spacing w:after="0"/>
              <w:rPr>
                <w:sz w:val="20"/>
                <w:szCs w:val="20"/>
                <w:color w:val="auto"/>
              </w:rPr>
            </w:pPr>
            <w:r>
              <w:rPr>
                <w:rFonts w:ascii="Courier New" w:cs="Courier New" w:eastAsia="Courier New" w:hAnsi="Courier New"/>
                <w:sz w:val="15"/>
                <w:szCs w:val="15"/>
                <w:color w:val="auto"/>
              </w:rPr>
              <w:t>627,050 shares issued and outstanding</w:t>
            </w:r>
          </w:p>
        </w:tc>
        <w:tc>
          <w:tcPr>
            <w:tcW w:w="4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6,271</w:t>
            </w:r>
          </w:p>
        </w:tc>
      </w:tr>
      <w:tr>
        <w:trPr>
          <w:trHeight w:val="339"/>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Common Stock, $.01 par value;</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5940" w:type="dxa"/>
            <w:vAlign w:val="bottom"/>
          </w:tcPr>
          <w:p>
            <w:pPr>
              <w:ind w:left="700"/>
              <w:spacing w:after="0"/>
              <w:rPr>
                <w:sz w:val="20"/>
                <w:szCs w:val="20"/>
                <w:color w:val="auto"/>
              </w:rPr>
            </w:pPr>
            <w:r>
              <w:rPr>
                <w:rFonts w:ascii="Courier New" w:cs="Courier New" w:eastAsia="Courier New" w:hAnsi="Courier New"/>
                <w:sz w:val="15"/>
                <w:szCs w:val="15"/>
                <w:color w:val="auto"/>
              </w:rPr>
              <w:t>11,000,000 shares authorized,</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940" w:type="dxa"/>
            <w:vAlign w:val="bottom"/>
          </w:tcPr>
          <w:p>
            <w:pPr>
              <w:ind w:left="700"/>
              <w:spacing w:after="0"/>
              <w:rPr>
                <w:sz w:val="20"/>
                <w:szCs w:val="20"/>
                <w:color w:val="auto"/>
              </w:rPr>
            </w:pPr>
            <w:r>
              <w:rPr>
                <w:rFonts w:ascii="Courier New" w:cs="Courier New" w:eastAsia="Courier New" w:hAnsi="Courier New"/>
                <w:sz w:val="15"/>
                <w:szCs w:val="15"/>
                <w:color w:val="auto"/>
              </w:rPr>
              <w:t>3,200,000 shares issued and outstanding at April 30, 2000</w:t>
            </w:r>
          </w:p>
        </w:tc>
        <w:tc>
          <w:tcPr>
            <w:tcW w:w="4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32,000</w:t>
            </w:r>
          </w:p>
        </w:tc>
      </w:tr>
      <w:tr>
        <w:trPr>
          <w:trHeight w:val="339"/>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Paid-in capital</w:t>
            </w:r>
          </w:p>
        </w:tc>
        <w:tc>
          <w:tcPr>
            <w:tcW w:w="40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5,626,060</w:t>
            </w:r>
          </w:p>
        </w:tc>
      </w:tr>
      <w:tr>
        <w:trPr>
          <w:trHeight w:val="170"/>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Less: Stock subscription receivable</w:t>
            </w:r>
          </w:p>
        </w:tc>
        <w:tc>
          <w:tcPr>
            <w:tcW w:w="4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(330)</w:t>
            </w:r>
          </w:p>
        </w:tc>
      </w:tr>
      <w:tr>
        <w:trPr>
          <w:trHeight w:val="170"/>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Accumulated deficit</w:t>
            </w:r>
          </w:p>
        </w:tc>
        <w:tc>
          <w:tcPr>
            <w:tcW w:w="4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(7,470,263)</w:t>
            </w:r>
          </w:p>
        </w:tc>
      </w:tr>
      <w:tr>
        <w:trPr>
          <w:trHeight w:val="170"/>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w w:val="99"/>
              </w:rPr>
              <w:t>Less: Donated treasury stock, 2,200,000 common shares at cost</w:t>
            </w:r>
          </w:p>
        </w:tc>
        <w:tc>
          <w:tcPr>
            <w:tcW w:w="4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(22,000)</w:t>
            </w:r>
          </w:p>
        </w:tc>
      </w:tr>
      <w:tr>
        <w:trPr>
          <w:trHeight w:val="170"/>
        </w:trPr>
        <w:tc>
          <w:tcPr>
            <w:tcW w:w="5940" w:type="dxa"/>
            <w:vAlign w:val="bottom"/>
          </w:tcPr>
          <w:p>
            <w:pPr>
              <w:spacing w:after="0"/>
              <w:rPr>
                <w:sz w:val="14"/>
                <w:szCs w:val="14"/>
                <w:color w:val="auto"/>
              </w:rPr>
            </w:pP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(1,808,262)</w:t>
            </w:r>
          </w:p>
        </w:tc>
      </w:tr>
      <w:tr>
        <w:trPr>
          <w:trHeight w:val="170"/>
        </w:trPr>
        <w:tc>
          <w:tcPr>
            <w:tcW w:w="5940" w:type="dxa"/>
            <w:vAlign w:val="bottom"/>
          </w:tcPr>
          <w:p>
            <w:pPr>
              <w:spacing w:after="0"/>
              <w:rPr>
                <w:sz w:val="14"/>
                <w:szCs w:val="14"/>
                <w:color w:val="auto"/>
              </w:rPr>
            </w:pP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ind w:left="6240"/>
        <w:spacing w:after="0"/>
        <w:rPr>
          <w:sz w:val="20"/>
          <w:szCs w:val="20"/>
          <w:color w:val="auto"/>
        </w:rPr>
      </w:pPr>
      <w:r>
        <w:rPr>
          <w:rFonts w:ascii="Courier New" w:cs="Courier New" w:eastAsia="Courier New" w:hAnsi="Courier New"/>
          <w:sz w:val="15"/>
          <w:szCs w:val="15"/>
          <w:color w:val="auto"/>
        </w:rPr>
        <w:t>$ 1,197,233</w:t>
      </w:r>
    </w:p>
    <w:p>
      <w:pPr>
        <w:ind w:left="62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69" w:lineRule="exact"/>
        <w:rPr>
          <w:sz w:val="20"/>
          <w:szCs w:val="20"/>
          <w:color w:val="auto"/>
        </w:rPr>
      </w:pPr>
    </w:p>
    <w:p>
      <w:pPr>
        <w:ind w:left="678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791" w:right="1440" w:bottom="1440" w:gutter="0" w:footer="0" w:header="0"/>
        </w:sectPr>
      </w:pPr>
    </w:p>
    <w:bookmarkStart w:id="4" w:name="page5"/>
    <w:bookmarkEnd w:id="4"/>
    <w:p>
      <w:pPr>
        <w:jc w:val="center"/>
        <w:ind w:right="3099"/>
        <w:spacing w:after="0"/>
        <w:rPr>
          <w:sz w:val="20"/>
          <w:szCs w:val="20"/>
          <w:color w:val="auto"/>
        </w:rPr>
      </w:pPr>
      <w:r>
        <w:rPr>
          <w:rFonts w:ascii="Courier New" w:cs="Courier New" w:eastAsia="Courier New" w:hAnsi="Courier New"/>
          <w:sz w:val="15"/>
          <w:szCs w:val="15"/>
          <w:color w:val="auto"/>
        </w:rPr>
        <w:t>Financial Statements of Business Acquired</w:t>
      </w:r>
    </w:p>
    <w:p>
      <w:pPr>
        <w:jc w:val="center"/>
        <w:ind w:right="3099"/>
        <w:spacing w:after="0"/>
        <w:rPr>
          <w:sz w:val="20"/>
          <w:szCs w:val="20"/>
          <w:color w:val="auto"/>
        </w:rPr>
      </w:pPr>
      <w:r>
        <w:rPr>
          <w:rFonts w:ascii="Courier New" w:cs="Courier New" w:eastAsia="Courier New" w:hAnsi="Courier New"/>
          <w:sz w:val="15"/>
          <w:szCs w:val="15"/>
          <w:color w:val="auto"/>
        </w:rPr>
        <w:t>ClearOne Inc.</w:t>
      </w:r>
    </w:p>
    <w:p>
      <w:pPr>
        <w:jc w:val="center"/>
        <w:ind w:right="3099"/>
        <w:spacing w:after="0"/>
        <w:rPr>
          <w:sz w:val="20"/>
          <w:szCs w:val="20"/>
          <w:color w:val="auto"/>
        </w:rPr>
      </w:pPr>
      <w:r>
        <w:rPr>
          <w:rFonts w:ascii="Courier New" w:cs="Courier New" w:eastAsia="Courier New" w:hAnsi="Courier New"/>
          <w:sz w:val="15"/>
          <w:szCs w:val="15"/>
          <w:color w:val="auto"/>
        </w:rPr>
        <w:t>Statement of Operations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20" w:type="dxa"/>
            <w:vAlign w:val="bottom"/>
          </w:tcPr>
          <w:p>
            <w:pPr>
              <w:spacing w:after="0"/>
              <w:rPr>
                <w:sz w:val="14"/>
                <w:szCs w:val="14"/>
                <w:color w:val="auto"/>
              </w:rPr>
            </w:pPr>
          </w:p>
        </w:tc>
        <w:tc>
          <w:tcPr>
            <w:tcW w:w="15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April 30, 2000</w:t>
            </w:r>
          </w:p>
        </w:tc>
      </w:tr>
      <w:tr>
        <w:trPr>
          <w:trHeight w:val="678"/>
        </w:trPr>
        <w:tc>
          <w:tcPr>
            <w:tcW w:w="50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98,588</w:t>
            </w: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52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77,994</w:t>
            </w:r>
          </w:p>
        </w:tc>
      </w:tr>
      <w:tr>
        <w:trPr>
          <w:trHeight w:val="170"/>
        </w:trPr>
        <w:tc>
          <w:tcPr>
            <w:tcW w:w="5020" w:type="dxa"/>
            <w:vAlign w:val="bottom"/>
          </w:tcPr>
          <w:p>
            <w:pPr>
              <w:spacing w:after="0"/>
              <w:rPr>
                <w:sz w:val="14"/>
                <w:szCs w:val="14"/>
                <w:color w:val="auto"/>
              </w:rPr>
            </w:pPr>
          </w:p>
        </w:tc>
        <w:tc>
          <w:tcPr>
            <w:tcW w:w="15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020" w:type="dxa"/>
            <w:vAlign w:val="bottom"/>
          </w:tcPr>
          <w:p>
            <w:pPr>
              <w:ind w:left="880"/>
              <w:spacing w:after="0"/>
              <w:rPr>
                <w:sz w:val="20"/>
                <w:szCs w:val="20"/>
                <w:color w:val="auto"/>
              </w:rPr>
            </w:pPr>
            <w:r>
              <w:rPr>
                <w:rFonts w:ascii="Courier New" w:cs="Courier New" w:eastAsia="Courier New" w:hAnsi="Courier New"/>
                <w:sz w:val="15"/>
                <w:szCs w:val="15"/>
                <w:color w:val="auto"/>
              </w:rPr>
              <w:t>Gross Profit</w:t>
            </w:r>
          </w:p>
        </w:tc>
        <w:tc>
          <w:tcPr>
            <w:tcW w:w="52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20,594</w:t>
            </w:r>
          </w:p>
        </w:tc>
      </w:tr>
      <w:tr>
        <w:trPr>
          <w:trHeight w:val="509"/>
        </w:trPr>
        <w:tc>
          <w:tcPr>
            <w:tcW w:w="50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5020" w:type="dxa"/>
            <w:vAlign w:val="bottom"/>
          </w:tcPr>
          <w:p>
            <w:pPr>
              <w:ind w:left="520"/>
              <w:spacing w:after="0"/>
              <w:rPr>
                <w:sz w:val="20"/>
                <w:szCs w:val="20"/>
                <w:color w:val="auto"/>
              </w:rPr>
            </w:pPr>
            <w:r>
              <w:rPr>
                <w:rFonts w:ascii="Courier New" w:cs="Courier New" w:eastAsia="Courier New" w:hAnsi="Courier New"/>
                <w:sz w:val="15"/>
                <w:szCs w:val="15"/>
                <w:color w:val="auto"/>
              </w:rPr>
              <w:t>General and administrative</w:t>
            </w:r>
          </w:p>
        </w:tc>
        <w:tc>
          <w:tcPr>
            <w:tcW w:w="5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304,604</w:t>
            </w:r>
          </w:p>
        </w:tc>
      </w:tr>
      <w:tr>
        <w:trPr>
          <w:trHeight w:val="170"/>
        </w:trPr>
        <w:tc>
          <w:tcPr>
            <w:tcW w:w="5020" w:type="dxa"/>
            <w:vAlign w:val="bottom"/>
          </w:tcPr>
          <w:p>
            <w:pPr>
              <w:ind w:left="520"/>
              <w:spacing w:after="0"/>
              <w:rPr>
                <w:sz w:val="20"/>
                <w:szCs w:val="20"/>
                <w:color w:val="auto"/>
              </w:rPr>
            </w:pPr>
            <w:r>
              <w:rPr>
                <w:rFonts w:ascii="Courier New" w:cs="Courier New" w:eastAsia="Courier New" w:hAnsi="Courier New"/>
                <w:sz w:val="15"/>
                <w:szCs w:val="15"/>
                <w:color w:val="auto"/>
              </w:rPr>
              <w:t>Engineering</w:t>
            </w:r>
          </w:p>
        </w:tc>
        <w:tc>
          <w:tcPr>
            <w:tcW w:w="5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50,939</w:t>
            </w:r>
          </w:p>
        </w:tc>
      </w:tr>
      <w:tr>
        <w:trPr>
          <w:trHeight w:val="170"/>
        </w:trPr>
        <w:tc>
          <w:tcPr>
            <w:tcW w:w="5020" w:type="dxa"/>
            <w:vAlign w:val="bottom"/>
          </w:tcPr>
          <w:p>
            <w:pPr>
              <w:ind w:left="520"/>
              <w:spacing w:after="0"/>
              <w:rPr>
                <w:sz w:val="20"/>
                <w:szCs w:val="20"/>
                <w:color w:val="auto"/>
              </w:rPr>
            </w:pPr>
            <w:r>
              <w:rPr>
                <w:rFonts w:ascii="Courier New" w:cs="Courier New" w:eastAsia="Courier New" w:hAnsi="Courier New"/>
                <w:sz w:val="15"/>
                <w:szCs w:val="15"/>
                <w:color w:val="auto"/>
              </w:rPr>
              <w:t>Marketing and selling</w:t>
            </w:r>
          </w:p>
        </w:tc>
        <w:tc>
          <w:tcPr>
            <w:tcW w:w="5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299,832</w:t>
            </w:r>
          </w:p>
        </w:tc>
      </w:tr>
      <w:tr>
        <w:trPr>
          <w:trHeight w:val="170"/>
        </w:trPr>
        <w:tc>
          <w:tcPr>
            <w:tcW w:w="5020" w:type="dxa"/>
            <w:vAlign w:val="bottom"/>
          </w:tcPr>
          <w:p>
            <w:pPr>
              <w:ind w:left="520"/>
              <w:spacing w:after="0"/>
              <w:rPr>
                <w:sz w:val="20"/>
                <w:szCs w:val="20"/>
                <w:color w:val="auto"/>
              </w:rPr>
            </w:pPr>
            <w:r>
              <w:rPr>
                <w:rFonts w:ascii="Courier New" w:cs="Courier New" w:eastAsia="Courier New" w:hAnsi="Courier New"/>
                <w:sz w:val="15"/>
                <w:szCs w:val="15"/>
                <w:color w:val="auto"/>
              </w:rPr>
              <w:t>Operations</w:t>
            </w:r>
          </w:p>
        </w:tc>
        <w:tc>
          <w:tcPr>
            <w:tcW w:w="5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96,771</w:t>
            </w:r>
          </w:p>
        </w:tc>
      </w:tr>
      <w:tr>
        <w:trPr>
          <w:trHeight w:val="170"/>
        </w:trPr>
        <w:tc>
          <w:tcPr>
            <w:tcW w:w="5020" w:type="dxa"/>
            <w:vAlign w:val="bottom"/>
          </w:tcPr>
          <w:p>
            <w:pPr>
              <w:ind w:left="520"/>
              <w:spacing w:after="0"/>
              <w:rPr>
                <w:sz w:val="20"/>
                <w:szCs w:val="20"/>
                <w:color w:val="auto"/>
              </w:rPr>
            </w:pPr>
            <w:r>
              <w:rPr>
                <w:rFonts w:ascii="Courier New" w:cs="Courier New" w:eastAsia="Courier New" w:hAnsi="Courier New"/>
                <w:sz w:val="15"/>
                <w:szCs w:val="15"/>
                <w:color w:val="auto"/>
              </w:rPr>
              <w:t>Research and development</w:t>
            </w:r>
          </w:p>
        </w:tc>
        <w:tc>
          <w:tcPr>
            <w:tcW w:w="5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243,187</w:t>
            </w:r>
          </w:p>
        </w:tc>
      </w:tr>
      <w:tr>
        <w:trPr>
          <w:trHeight w:val="170"/>
        </w:trPr>
        <w:tc>
          <w:tcPr>
            <w:tcW w:w="5020" w:type="dxa"/>
            <w:vAlign w:val="bottom"/>
          </w:tcPr>
          <w:p>
            <w:pPr>
              <w:ind w:left="520"/>
              <w:spacing w:after="0"/>
              <w:rPr>
                <w:sz w:val="20"/>
                <w:szCs w:val="20"/>
                <w:color w:val="auto"/>
              </w:rPr>
            </w:pPr>
            <w:r>
              <w:rPr>
                <w:rFonts w:ascii="Courier New" w:cs="Courier New" w:eastAsia="Courier New" w:hAnsi="Courier New"/>
                <w:sz w:val="15"/>
                <w:szCs w:val="15"/>
                <w:color w:val="auto"/>
              </w:rPr>
              <w:t>Depreciation</w:t>
            </w:r>
          </w:p>
        </w:tc>
        <w:tc>
          <w:tcPr>
            <w:tcW w:w="5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178,351</w:t>
            </w:r>
          </w:p>
        </w:tc>
      </w:tr>
      <w:tr>
        <w:trPr>
          <w:trHeight w:val="170"/>
        </w:trPr>
        <w:tc>
          <w:tcPr>
            <w:tcW w:w="5020" w:type="dxa"/>
            <w:vAlign w:val="bottom"/>
          </w:tcPr>
          <w:p>
            <w:pPr>
              <w:ind w:left="520"/>
              <w:spacing w:after="0"/>
              <w:rPr>
                <w:sz w:val="20"/>
                <w:szCs w:val="20"/>
                <w:color w:val="auto"/>
              </w:rPr>
            </w:pPr>
            <w:r>
              <w:rPr>
                <w:rFonts w:ascii="Courier New" w:cs="Courier New" w:eastAsia="Courier New" w:hAnsi="Courier New"/>
                <w:sz w:val="15"/>
                <w:szCs w:val="15"/>
                <w:color w:val="auto"/>
              </w:rPr>
              <w:t>Amortization</w:t>
            </w:r>
          </w:p>
        </w:tc>
        <w:tc>
          <w:tcPr>
            <w:tcW w:w="5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57,002</w:t>
            </w:r>
          </w:p>
        </w:tc>
      </w:tr>
      <w:tr>
        <w:trPr>
          <w:trHeight w:val="170"/>
        </w:trPr>
        <w:tc>
          <w:tcPr>
            <w:tcW w:w="5020" w:type="dxa"/>
            <w:vAlign w:val="bottom"/>
          </w:tcPr>
          <w:p>
            <w:pPr>
              <w:spacing w:after="0"/>
              <w:rPr>
                <w:sz w:val="14"/>
                <w:szCs w:val="14"/>
                <w:color w:val="auto"/>
              </w:rPr>
            </w:pPr>
          </w:p>
        </w:tc>
        <w:tc>
          <w:tcPr>
            <w:tcW w:w="15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1,230,686</w:t>
            </w:r>
          </w:p>
        </w:tc>
      </w:tr>
      <w:tr>
        <w:trPr>
          <w:trHeight w:val="170"/>
        </w:trPr>
        <w:tc>
          <w:tcPr>
            <w:tcW w:w="5020" w:type="dxa"/>
            <w:vAlign w:val="bottom"/>
          </w:tcPr>
          <w:p>
            <w:pPr>
              <w:spacing w:after="0"/>
              <w:rPr>
                <w:sz w:val="14"/>
                <w:szCs w:val="14"/>
                <w:color w:val="auto"/>
              </w:rPr>
            </w:pPr>
          </w:p>
        </w:tc>
        <w:tc>
          <w:tcPr>
            <w:tcW w:w="15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020" w:type="dxa"/>
            <w:vAlign w:val="bottom"/>
          </w:tcPr>
          <w:p>
            <w:pPr>
              <w:ind w:left="880"/>
              <w:spacing w:after="0"/>
              <w:rPr>
                <w:sz w:val="20"/>
                <w:szCs w:val="20"/>
                <w:color w:val="auto"/>
              </w:rPr>
            </w:pPr>
            <w:r>
              <w:rPr>
                <w:rFonts w:ascii="Courier New" w:cs="Courier New" w:eastAsia="Courier New" w:hAnsi="Courier New"/>
                <w:sz w:val="15"/>
                <w:szCs w:val="15"/>
                <w:color w:val="auto"/>
              </w:rPr>
              <w:t>Net Loss From Operations</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(1,210,092)</w:t>
            </w:r>
          </w:p>
        </w:tc>
      </w:tr>
      <w:tr>
        <w:trPr>
          <w:trHeight w:val="170"/>
        </w:trPr>
        <w:tc>
          <w:tcPr>
            <w:tcW w:w="5020" w:type="dxa"/>
            <w:vAlign w:val="bottom"/>
          </w:tcPr>
          <w:p>
            <w:pPr>
              <w:spacing w:after="0"/>
              <w:rPr>
                <w:sz w:val="14"/>
                <w:szCs w:val="14"/>
                <w:color w:val="auto"/>
              </w:rPr>
            </w:pPr>
          </w:p>
        </w:tc>
        <w:tc>
          <w:tcPr>
            <w:tcW w:w="15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rPr>
              <w:t>Other Income and (Expenses)</w:t>
            </w: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5020" w:type="dxa"/>
            <w:vAlign w:val="bottom"/>
          </w:tcPr>
          <w:p>
            <w:pPr>
              <w:ind w:left="520"/>
              <w:spacing w:after="0"/>
              <w:rPr>
                <w:sz w:val="20"/>
                <w:szCs w:val="20"/>
                <w:color w:val="auto"/>
              </w:rPr>
            </w:pPr>
            <w:r>
              <w:rPr>
                <w:rFonts w:ascii="Courier New" w:cs="Courier New" w:eastAsia="Courier New" w:hAnsi="Courier New"/>
                <w:sz w:val="15"/>
                <w:szCs w:val="15"/>
                <w:color w:val="auto"/>
              </w:rPr>
              <w:t>License agreement revenue</w:t>
            </w:r>
          </w:p>
        </w:tc>
        <w:tc>
          <w:tcPr>
            <w:tcW w:w="5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400,000</w:t>
            </w:r>
          </w:p>
        </w:tc>
      </w:tr>
      <w:tr>
        <w:trPr>
          <w:trHeight w:val="170"/>
        </w:trPr>
        <w:tc>
          <w:tcPr>
            <w:tcW w:w="5020" w:type="dxa"/>
            <w:vAlign w:val="bottom"/>
          </w:tcPr>
          <w:p>
            <w:pPr>
              <w:ind w:left="520"/>
              <w:spacing w:after="0"/>
              <w:rPr>
                <w:sz w:val="20"/>
                <w:szCs w:val="20"/>
                <w:color w:val="auto"/>
              </w:rPr>
            </w:pPr>
            <w:r>
              <w:rPr>
                <w:rFonts w:ascii="Courier New" w:cs="Courier New" w:eastAsia="Courier New" w:hAnsi="Courier New"/>
                <w:sz w:val="15"/>
                <w:szCs w:val="15"/>
                <w:color w:val="auto"/>
              </w:rPr>
              <w:t>Interest expense</w:t>
            </w:r>
          </w:p>
        </w:tc>
        <w:tc>
          <w:tcPr>
            <w:tcW w:w="5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(199,145)</w:t>
            </w:r>
          </w:p>
        </w:tc>
      </w:tr>
      <w:tr>
        <w:trPr>
          <w:trHeight w:val="170"/>
        </w:trPr>
        <w:tc>
          <w:tcPr>
            <w:tcW w:w="5020" w:type="dxa"/>
            <w:vAlign w:val="bottom"/>
          </w:tcPr>
          <w:p>
            <w:pPr>
              <w:ind w:left="520"/>
              <w:spacing w:after="0"/>
              <w:rPr>
                <w:sz w:val="20"/>
                <w:szCs w:val="20"/>
                <w:color w:val="auto"/>
              </w:rPr>
            </w:pPr>
            <w:r>
              <w:rPr>
                <w:rFonts w:ascii="Courier New" w:cs="Courier New" w:eastAsia="Courier New" w:hAnsi="Courier New"/>
                <w:sz w:val="15"/>
                <w:szCs w:val="15"/>
                <w:color w:val="auto"/>
              </w:rPr>
              <w:t>Impairment of license agreements</w:t>
            </w:r>
          </w:p>
        </w:tc>
        <w:tc>
          <w:tcPr>
            <w:tcW w:w="5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(156,751)</w:t>
            </w:r>
          </w:p>
        </w:tc>
      </w:tr>
      <w:tr>
        <w:trPr>
          <w:trHeight w:val="170"/>
        </w:trPr>
        <w:tc>
          <w:tcPr>
            <w:tcW w:w="5020" w:type="dxa"/>
            <w:vAlign w:val="bottom"/>
          </w:tcPr>
          <w:p>
            <w:pPr>
              <w:ind w:left="520"/>
              <w:spacing w:after="0"/>
              <w:rPr>
                <w:sz w:val="20"/>
                <w:szCs w:val="20"/>
                <w:color w:val="auto"/>
              </w:rPr>
            </w:pPr>
            <w:r>
              <w:rPr>
                <w:rFonts w:ascii="Courier New" w:cs="Courier New" w:eastAsia="Courier New" w:hAnsi="Courier New"/>
                <w:sz w:val="15"/>
                <w:szCs w:val="15"/>
                <w:color w:val="auto"/>
              </w:rPr>
              <w:t>Inventory write down to net realizable value</w:t>
            </w:r>
          </w:p>
        </w:tc>
        <w:tc>
          <w:tcPr>
            <w:tcW w:w="5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(91,180)</w:t>
            </w:r>
          </w:p>
        </w:tc>
      </w:tr>
      <w:tr>
        <w:trPr>
          <w:trHeight w:val="170"/>
        </w:trPr>
        <w:tc>
          <w:tcPr>
            <w:tcW w:w="5020" w:type="dxa"/>
            <w:vAlign w:val="bottom"/>
          </w:tcPr>
          <w:p>
            <w:pPr>
              <w:ind w:left="520"/>
              <w:spacing w:after="0"/>
              <w:rPr>
                <w:sz w:val="20"/>
                <w:szCs w:val="20"/>
                <w:color w:val="auto"/>
              </w:rPr>
            </w:pPr>
            <w:r>
              <w:rPr>
                <w:rFonts w:ascii="Courier New" w:cs="Courier New" w:eastAsia="Courier New" w:hAnsi="Courier New"/>
                <w:sz w:val="15"/>
                <w:szCs w:val="15"/>
                <w:color w:val="auto"/>
              </w:rPr>
              <w:t>Realized loss on asset dispositions</w:t>
            </w:r>
          </w:p>
        </w:tc>
        <w:tc>
          <w:tcPr>
            <w:tcW w:w="5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(36,929)</w:t>
            </w:r>
          </w:p>
        </w:tc>
      </w:tr>
      <w:tr>
        <w:trPr>
          <w:trHeight w:val="170"/>
        </w:trPr>
        <w:tc>
          <w:tcPr>
            <w:tcW w:w="5020" w:type="dxa"/>
            <w:vAlign w:val="bottom"/>
          </w:tcPr>
          <w:p>
            <w:pPr>
              <w:ind w:left="520"/>
              <w:spacing w:after="0"/>
              <w:rPr>
                <w:sz w:val="20"/>
                <w:szCs w:val="20"/>
                <w:color w:val="auto"/>
              </w:rPr>
            </w:pPr>
            <w:r>
              <w:rPr>
                <w:rFonts w:ascii="Courier New" w:cs="Courier New" w:eastAsia="Courier New" w:hAnsi="Courier New"/>
                <w:sz w:val="15"/>
                <w:szCs w:val="15"/>
                <w:color w:val="auto"/>
              </w:rPr>
              <w:t>Realized loss on abandoned leasehold improvements</w:t>
            </w:r>
          </w:p>
        </w:tc>
        <w:tc>
          <w:tcPr>
            <w:tcW w:w="5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(14,170)</w:t>
            </w:r>
          </w:p>
        </w:tc>
      </w:tr>
      <w:tr>
        <w:trPr>
          <w:trHeight w:val="170"/>
        </w:trPr>
        <w:tc>
          <w:tcPr>
            <w:tcW w:w="5020" w:type="dxa"/>
            <w:vAlign w:val="bottom"/>
          </w:tcPr>
          <w:p>
            <w:pPr>
              <w:ind w:left="520"/>
              <w:spacing w:after="0"/>
              <w:rPr>
                <w:sz w:val="20"/>
                <w:szCs w:val="20"/>
                <w:color w:val="auto"/>
              </w:rPr>
            </w:pPr>
            <w:r>
              <w:rPr>
                <w:rFonts w:ascii="Courier New" w:cs="Courier New" w:eastAsia="Courier New" w:hAnsi="Courier New"/>
                <w:sz w:val="15"/>
                <w:szCs w:val="15"/>
                <w:color w:val="auto"/>
              </w:rPr>
              <w:t>Other Income</w:t>
            </w:r>
          </w:p>
        </w:tc>
        <w:tc>
          <w:tcPr>
            <w:tcW w:w="5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642</w:t>
            </w:r>
          </w:p>
        </w:tc>
      </w:tr>
      <w:tr>
        <w:trPr>
          <w:trHeight w:val="170"/>
        </w:trPr>
        <w:tc>
          <w:tcPr>
            <w:tcW w:w="5020" w:type="dxa"/>
            <w:vAlign w:val="bottom"/>
          </w:tcPr>
          <w:p>
            <w:pPr>
              <w:spacing w:after="0"/>
              <w:rPr>
                <w:sz w:val="14"/>
                <w:szCs w:val="14"/>
                <w:color w:val="auto"/>
              </w:rPr>
            </w:pPr>
          </w:p>
        </w:tc>
        <w:tc>
          <w:tcPr>
            <w:tcW w:w="15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(97,533)</w:t>
            </w:r>
          </w:p>
        </w:tc>
      </w:tr>
      <w:tr>
        <w:trPr>
          <w:trHeight w:val="170"/>
        </w:trPr>
        <w:tc>
          <w:tcPr>
            <w:tcW w:w="5020" w:type="dxa"/>
            <w:vAlign w:val="bottom"/>
          </w:tcPr>
          <w:p>
            <w:pPr>
              <w:spacing w:after="0"/>
              <w:rPr>
                <w:sz w:val="14"/>
                <w:szCs w:val="14"/>
                <w:color w:val="auto"/>
              </w:rPr>
            </w:pPr>
          </w:p>
        </w:tc>
        <w:tc>
          <w:tcPr>
            <w:tcW w:w="15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020" w:type="dxa"/>
            <w:vAlign w:val="bottom"/>
          </w:tcPr>
          <w:p>
            <w:pPr>
              <w:ind w:left="880"/>
              <w:spacing w:after="0"/>
              <w:rPr>
                <w:sz w:val="20"/>
                <w:szCs w:val="20"/>
                <w:color w:val="auto"/>
              </w:rPr>
            </w:pPr>
            <w:r>
              <w:rPr>
                <w:rFonts w:ascii="Courier New" w:cs="Courier New" w:eastAsia="Courier New" w:hAnsi="Courier New"/>
                <w:sz w:val="15"/>
                <w:szCs w:val="15"/>
                <w:color w:val="auto"/>
              </w:rPr>
              <w:t>Net Loss Before Taxes</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(1,307,625)</w:t>
            </w:r>
          </w:p>
        </w:tc>
      </w:tr>
      <w:tr>
        <w:trPr>
          <w:trHeight w:val="170"/>
        </w:trPr>
        <w:tc>
          <w:tcPr>
            <w:tcW w:w="5020" w:type="dxa"/>
            <w:vAlign w:val="bottom"/>
          </w:tcPr>
          <w:p>
            <w:pPr>
              <w:spacing w:after="0"/>
              <w:rPr>
                <w:sz w:val="14"/>
                <w:szCs w:val="14"/>
                <w:color w:val="auto"/>
              </w:rPr>
            </w:pPr>
          </w:p>
        </w:tc>
        <w:tc>
          <w:tcPr>
            <w:tcW w:w="15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rPr>
              <w:t>State and Local Taxes</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(456)</w:t>
            </w:r>
          </w:p>
        </w:tc>
      </w:tr>
      <w:tr>
        <w:trPr>
          <w:trHeight w:val="339"/>
        </w:trPr>
        <w:tc>
          <w:tcPr>
            <w:tcW w:w="5020" w:type="dxa"/>
            <w:vAlign w:val="bottom"/>
          </w:tcPr>
          <w:p>
            <w:pPr>
              <w:ind w:left="880"/>
              <w:spacing w:after="0"/>
              <w:rPr>
                <w:sz w:val="20"/>
                <w:szCs w:val="20"/>
                <w:color w:val="auto"/>
              </w:rPr>
            </w:pPr>
            <w:r>
              <w:rPr>
                <w:rFonts w:ascii="Courier New" w:cs="Courier New" w:eastAsia="Courier New" w:hAnsi="Courier New"/>
                <w:sz w:val="15"/>
                <w:szCs w:val="15"/>
                <w:color w:val="auto"/>
              </w:rPr>
              <w:t>Net Loss</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$(1,308,081)</w:t>
            </w:r>
          </w:p>
        </w:tc>
      </w:tr>
      <w:tr>
        <w:trPr>
          <w:trHeight w:val="170"/>
        </w:trPr>
        <w:tc>
          <w:tcPr>
            <w:tcW w:w="5020" w:type="dxa"/>
            <w:vAlign w:val="bottom"/>
          </w:tcPr>
          <w:p>
            <w:pPr>
              <w:spacing w:after="0"/>
              <w:rPr>
                <w:sz w:val="14"/>
                <w:szCs w:val="14"/>
                <w:color w:val="auto"/>
              </w:rPr>
            </w:pPr>
          </w:p>
        </w:tc>
        <w:tc>
          <w:tcPr>
            <w:tcW w:w="15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3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961" w:right="1440" w:bottom="1440" w:gutter="0" w:footer="0" w:header="0"/>
        </w:sectPr>
      </w:pPr>
    </w:p>
    <w:bookmarkStart w:id="5" w:name="page6"/>
    <w:bookmarkEnd w:id="5"/>
    <w:p>
      <w:pPr>
        <w:jc w:val="center"/>
        <w:ind w:right="4400"/>
        <w:spacing w:after="0"/>
        <w:rPr>
          <w:sz w:val="20"/>
          <w:szCs w:val="20"/>
          <w:color w:val="auto"/>
        </w:rPr>
      </w:pPr>
      <w:r>
        <w:rPr>
          <w:rFonts w:ascii="Courier New" w:cs="Courier New" w:eastAsia="Courier New" w:hAnsi="Courier New"/>
          <w:sz w:val="15"/>
          <w:szCs w:val="15"/>
          <w:color w:val="auto"/>
        </w:rPr>
        <w:t>Financial Statements of Business Acquired</w:t>
      </w:r>
    </w:p>
    <w:p>
      <w:pPr>
        <w:jc w:val="center"/>
        <w:ind w:right="4400"/>
        <w:spacing w:after="0"/>
        <w:rPr>
          <w:sz w:val="20"/>
          <w:szCs w:val="20"/>
          <w:color w:val="auto"/>
        </w:rPr>
      </w:pPr>
      <w:r>
        <w:rPr>
          <w:rFonts w:ascii="Courier New" w:cs="Courier New" w:eastAsia="Courier New" w:hAnsi="Courier New"/>
          <w:sz w:val="15"/>
          <w:szCs w:val="15"/>
          <w:color w:val="auto"/>
        </w:rPr>
        <w:t>ClearOne Inc.</w:t>
      </w:r>
    </w:p>
    <w:p>
      <w:pPr>
        <w:spacing w:after="0" w:line="5"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4"/>
          <w:szCs w:val="14"/>
          <w:color w:val="auto"/>
        </w:rPr>
        <w:t>Statement of Stockholders Equity (Deficiency)</w:t>
      </w:r>
    </w:p>
    <w:p>
      <w:pPr>
        <w:spacing w:after="0" w:line="200" w:lineRule="exact"/>
        <w:rPr>
          <w:sz w:val="20"/>
          <w:szCs w:val="20"/>
          <w:color w:val="auto"/>
        </w:rPr>
      </w:pPr>
    </w:p>
    <w:p>
      <w:pPr>
        <w:spacing w:after="0" w:line="314" w:lineRule="exact"/>
        <w:rPr>
          <w:sz w:val="20"/>
          <w:szCs w:val="20"/>
          <w:color w:val="auto"/>
        </w:rPr>
      </w:pPr>
    </w:p>
    <w:p>
      <w:pPr>
        <w:ind w:left="6340"/>
        <w:spacing w:after="0"/>
        <w:rPr>
          <w:sz w:val="20"/>
          <w:szCs w:val="20"/>
          <w:color w:val="auto"/>
        </w:rPr>
      </w:pPr>
      <w:r>
        <w:rPr>
          <w:rFonts w:ascii="Courier New" w:cs="Courier New" w:eastAsia="Courier New" w:hAnsi="Courier New"/>
          <w:sz w:val="15"/>
          <w:szCs w:val="15"/>
          <w:color w:val="auto"/>
        </w:rPr>
        <w:t>Additional</w:t>
      </w:r>
    </w:p>
    <w:p>
      <w:pPr>
        <w:ind w:left="6520"/>
        <w:spacing w:after="0"/>
        <w:tabs>
          <w:tab w:leader="none" w:pos="9400" w:val="left"/>
        </w:tabs>
        <w:rPr>
          <w:sz w:val="20"/>
          <w:szCs w:val="20"/>
          <w:color w:val="auto"/>
        </w:rPr>
      </w:pPr>
      <w:r>
        <w:rPr>
          <w:rFonts w:ascii="Courier New" w:cs="Courier New" w:eastAsia="Courier New" w:hAnsi="Courier New"/>
          <w:sz w:val="15"/>
          <w:szCs w:val="15"/>
          <w:color w:val="auto"/>
        </w:rPr>
        <w:t>Paid-In</w:t>
      </w:r>
      <w:r>
        <w:rPr>
          <w:sz w:val="20"/>
          <w:szCs w:val="20"/>
          <w:color w:val="auto"/>
        </w:rPr>
        <w:tab/>
      </w:r>
      <w:r>
        <w:rPr>
          <w:rFonts w:ascii="Courier New" w:cs="Courier New" w:eastAsia="Courier New" w:hAnsi="Courier New"/>
          <w:sz w:val="14"/>
          <w:szCs w:val="14"/>
          <w:color w:val="auto"/>
        </w:rPr>
        <w:t>Accumulated</w:t>
      </w:r>
    </w:p>
    <w:p>
      <w:pPr>
        <w:ind w:left="2640"/>
        <w:spacing w:after="0"/>
        <w:tabs>
          <w:tab w:leader="none" w:pos="3580" w:val="left"/>
          <w:tab w:leader="none" w:pos="4560" w:val="left"/>
          <w:tab w:leader="none" w:pos="5520" w:val="left"/>
          <w:tab w:leader="none" w:pos="6500" w:val="left"/>
          <w:tab w:leader="none" w:pos="7560" w:val="left"/>
          <w:tab w:leader="none" w:pos="8520" w:val="left"/>
          <w:tab w:leader="none" w:pos="9580" w:val="left"/>
          <w:tab w:leader="none" w:pos="1082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Capital</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Deficit</w:t>
      </w:r>
      <w:r>
        <w:rPr>
          <w:sz w:val="20"/>
          <w:szCs w:val="20"/>
          <w:color w:val="auto"/>
        </w:rPr>
        <w:tab/>
      </w:r>
      <w:r>
        <w:rPr>
          <w:rFonts w:ascii="Courier New" w:cs="Courier New" w:eastAsia="Courier New" w:hAnsi="Courier New"/>
          <w:sz w:val="14"/>
          <w:szCs w:val="14"/>
          <w:color w:val="auto"/>
        </w:rPr>
        <w:t>Total</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20"/>
          </w:cols>
          <w:pgMar w:left="240" w:top="791" w:right="139" w:bottom="1440" w:gutter="0" w:footer="0" w:header="0"/>
        </w:sectPr>
      </w:pPr>
    </w:p>
    <w:p>
      <w:pPr>
        <w:spacing w:after="0" w:line="344" w:lineRule="exact"/>
        <w:rPr>
          <w:sz w:val="20"/>
          <w:szCs w:val="20"/>
          <w:color w:val="auto"/>
        </w:rPr>
      </w:pPr>
    </w:p>
    <w:p>
      <w:pPr>
        <w:ind w:left="8180"/>
        <w:spacing w:after="0"/>
        <w:tabs>
          <w:tab w:leader="none" w:pos="8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17" w:lineRule="exact"/>
        <w:rPr>
          <w:sz w:val="20"/>
          <w:szCs w:val="20"/>
          <w:color w:val="auto"/>
        </w:rPr>
      </w:pPr>
    </w:p>
    <w:p>
      <w:pPr>
        <w:sectPr>
          <w:pgSz w:w="11900" w:h="16838" w:orient="portrait"/>
          <w:cols w:equalWidth="0" w:num="2">
            <w:col w:w="8540" w:space="620"/>
            <w:col w:w="2360"/>
          </w:cols>
          <w:pgMar w:left="240" w:top="791" w:right="139" w:bottom="1440"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at April 30,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jc w:val="both"/>
        <w:ind w:firstLine="176"/>
        <w:spacing w:after="0" w:line="235" w:lineRule="auto"/>
        <w:rPr>
          <w:sz w:val="20"/>
          <w:szCs w:val="20"/>
          <w:color w:val="auto"/>
        </w:rPr>
      </w:pPr>
      <w:r>
        <w:rPr>
          <w:rFonts w:ascii="Courier New" w:cs="Courier New" w:eastAsia="Courier New" w:hAnsi="Courier New"/>
          <w:sz w:val="15"/>
          <w:szCs w:val="15"/>
          <w:color w:val="auto"/>
        </w:rPr>
        <w:t>3,200,000 $ 32,000 2,627,050 $ 26,271 $5,603,730 - $ - $(6,162,182) $(500,181) --------------------------------------------------------------------------------------------------------</w:t>
      </w:r>
    </w:p>
    <w:p>
      <w:pPr>
        <w:spacing w:after="0" w:line="200" w:lineRule="exact"/>
        <w:rPr>
          <w:sz w:val="20"/>
          <w:szCs w:val="20"/>
          <w:color w:val="auto"/>
        </w:rPr>
      </w:pPr>
    </w:p>
    <w:p>
      <w:pPr>
        <w:sectPr>
          <w:pgSz w:w="11900" w:h="16838" w:orient="portrait"/>
          <w:cols w:equalWidth="0" w:num="2">
            <w:col w:w="2200" w:space="180"/>
            <w:col w:w="9140"/>
          </w:cols>
          <w:pgMar w:left="240" w:top="791" w:right="1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Treasury Stock</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Return of founders common stock</w:t>
      </w:r>
    </w:p>
    <w:p>
      <w:pPr>
        <w:sectPr>
          <w:pgSz w:w="11900" w:h="16838" w:orient="portrait"/>
          <w:cols w:equalWidth="0" w:num="1">
            <w:col w:w="11520"/>
          </w:cols>
          <w:pgMar w:left="240" w:top="791" w:right="139" w:bottom="1440" w:gutter="0" w:footer="0" w:header="0"/>
          <w:type w:val="continuous"/>
        </w:sectPr>
      </w:pPr>
    </w:p>
    <w:p>
      <w:pPr>
        <w:spacing w:after="0" w:line="1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donated to treasury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18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16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tabs>
          <w:tab w:leader="none" w:pos="680" w:val="left"/>
        </w:tabs>
        <w:rPr>
          <w:sz w:val="20"/>
          <w:szCs w:val="20"/>
          <w:color w:val="auto"/>
        </w:rPr>
      </w:pPr>
      <w:r>
        <w:rPr>
          <w:rFonts w:ascii="Courier New" w:cs="Courier New" w:eastAsia="Courier New" w:hAnsi="Courier New"/>
          <w:sz w:val="15"/>
          <w:szCs w:val="15"/>
          <w:color w:val="auto"/>
        </w:rPr>
        <w:t>22,000</w:t>
      </w:r>
      <w:r>
        <w:rPr>
          <w:sz w:val="20"/>
          <w:szCs w:val="20"/>
          <w:color w:val="auto"/>
        </w:rPr>
        <w:tab/>
      </w:r>
      <w:r>
        <w:rPr>
          <w:rFonts w:ascii="Courier New" w:cs="Courier New" w:eastAsia="Courier New" w:hAnsi="Courier New"/>
          <w:sz w:val="14"/>
          <w:szCs w:val="14"/>
          <w:color w:val="auto"/>
        </w:rPr>
        <w:t>2,200,000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(22,000)</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92" w:lineRule="exact"/>
        <w:rPr>
          <w:sz w:val="20"/>
          <w:szCs w:val="20"/>
          <w:color w:val="auto"/>
        </w:rPr>
      </w:pPr>
    </w:p>
    <w:p>
      <w:pPr>
        <w:sectPr>
          <w:pgSz w:w="11900" w:h="16838" w:orient="portrait"/>
          <w:cols w:equalWidth="0" w:num="9">
            <w:col w:w="2540" w:space="720"/>
            <w:col w:w="240" w:space="720"/>
            <w:col w:w="260" w:space="720"/>
            <w:col w:w="240" w:space="720"/>
            <w:col w:w="80" w:space="540"/>
            <w:col w:w="1500" w:space="340"/>
            <w:col w:w="960" w:space="720"/>
            <w:col w:w="340" w:space="720"/>
            <w:col w:w="160"/>
          </w:cols>
          <w:pgMar w:left="240" w:top="791"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Net loss for the year ended</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April 30, 2000</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right"/>
        <w:spacing w:after="0" w:line="237" w:lineRule="auto"/>
        <w:rPr>
          <w:sz w:val="20"/>
          <w:szCs w:val="20"/>
          <w:color w:val="auto"/>
        </w:rPr>
      </w:pPr>
      <w:r>
        <w:rPr>
          <w:rFonts w:ascii="Courier New" w:cs="Courier New" w:eastAsia="Courier New" w:hAnsi="Courier New"/>
          <w:sz w:val="15"/>
          <w:szCs w:val="15"/>
          <w:color w:val="auto"/>
        </w:rPr>
        <w:t>-          -          -          -           -          -          -   (1,308,081) (1,308,081) -------------------------------------------------------------------------------------------------------- -          -          -          -      22,000  2,200,000    (22,000)  (1,308,081) (1,308,081)</w:t>
      </w:r>
    </w:p>
    <w:p>
      <w:pPr>
        <w:spacing w:after="0" w:line="5" w:lineRule="exact"/>
        <w:rPr>
          <w:sz w:val="20"/>
          <w:szCs w:val="20"/>
          <w:color w:val="auto"/>
        </w:rPr>
      </w:pPr>
    </w:p>
    <w:p>
      <w:pPr>
        <w:sectPr>
          <w:pgSz w:w="11900" w:h="16838" w:orient="portrait"/>
          <w:cols w:equalWidth="0" w:num="2">
            <w:col w:w="2380" w:space="0"/>
            <w:col w:w="9140"/>
          </w:cols>
          <w:pgMar w:left="240" w:top="791" w:right="139" w:bottom="1440" w:gutter="0" w:footer="0" w:header="0"/>
          <w:type w:val="continuous"/>
        </w:sectPr>
      </w:pPr>
    </w:p>
    <w:p>
      <w:pPr>
        <w:ind w:left="238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spacing w:after="0"/>
        <w:tabs>
          <w:tab w:leader="none" w:pos="2520" w:val="left"/>
          <w:tab w:leader="none" w:pos="3500" w:val="left"/>
          <w:tab w:leader="none" w:pos="3760" w:val="left"/>
          <w:tab w:leader="none" w:pos="4460" w:val="left"/>
          <w:tab w:leader="none" w:pos="5440" w:val="left"/>
          <w:tab w:leader="none" w:pos="5700" w:val="left"/>
          <w:tab w:leader="none" w:pos="6400" w:val="left"/>
          <w:tab w:leader="none" w:pos="7460" w:val="left"/>
          <w:tab w:leader="none" w:pos="8440" w:val="left"/>
        </w:tabs>
        <w:rPr>
          <w:sz w:val="20"/>
          <w:szCs w:val="20"/>
          <w:color w:val="auto"/>
        </w:rPr>
      </w:pPr>
      <w:r>
        <w:rPr>
          <w:rFonts w:ascii="Courier New" w:cs="Courier New" w:eastAsia="Courier New" w:hAnsi="Courier New"/>
          <w:sz w:val="15"/>
          <w:szCs w:val="15"/>
          <w:color w:val="auto"/>
        </w:rPr>
        <w:t>Balance at April 30, 2000</w:t>
      </w:r>
      <w:r>
        <w:rPr>
          <w:sz w:val="20"/>
          <w:szCs w:val="20"/>
          <w:color w:val="auto"/>
        </w:rPr>
        <w:tab/>
      </w:r>
      <w:r>
        <w:rPr>
          <w:rFonts w:ascii="Courier New" w:cs="Courier New" w:eastAsia="Courier New" w:hAnsi="Courier New"/>
          <w:sz w:val="15"/>
          <w:szCs w:val="15"/>
          <w:color w:val="auto"/>
        </w:rPr>
        <w:t>3,200,000</w:t>
        <w:tab/>
        <w:t>$</w:t>
        <w:tab/>
        <w:t>32,000</w:t>
        <w:tab/>
        <w:t>2,627,050</w:t>
        <w:tab/>
        <w:t>$</w:t>
        <w:tab/>
        <w:t>26,271</w:t>
        <w:tab/>
        <w:t>$5,625,730</w:t>
        <w:tab/>
        <w:t>2,200,000</w:t>
      </w:r>
      <w:r>
        <w:rPr>
          <w:sz w:val="20"/>
          <w:szCs w:val="20"/>
          <w:color w:val="auto"/>
        </w:rPr>
        <w:tab/>
      </w:r>
      <w:r>
        <w:rPr>
          <w:rFonts w:ascii="Courier New" w:cs="Courier New" w:eastAsia="Courier New" w:hAnsi="Courier New"/>
          <w:sz w:val="14"/>
          <w:szCs w:val="14"/>
          <w:color w:val="auto"/>
        </w:rPr>
        <w:t>$ (22,000) $(7,470,263) (1,808,262)</w:t>
      </w:r>
    </w:p>
    <w:p>
      <w:pPr>
        <w:jc w:val="right"/>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69" w:lineRule="exact"/>
        <w:rPr>
          <w:sz w:val="20"/>
          <w:szCs w:val="20"/>
          <w:color w:val="auto"/>
        </w:rPr>
      </w:pPr>
    </w:p>
    <w:p>
      <w:pPr>
        <w:ind w:left="678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1520"/>
          </w:cols>
          <w:pgMar w:left="240" w:top="791" w:right="139" w:bottom="1440" w:gutter="0" w:footer="0" w:header="0"/>
          <w:type w:val="continuous"/>
        </w:sectPr>
      </w:pPr>
    </w:p>
    <w:bookmarkStart w:id="6" w:name="page7"/>
    <w:bookmarkEnd w:id="6"/>
    <w:p>
      <w:pPr>
        <w:ind w:left="1760"/>
        <w:spacing w:after="0"/>
        <w:rPr>
          <w:sz w:val="20"/>
          <w:szCs w:val="20"/>
          <w:color w:val="auto"/>
        </w:rPr>
      </w:pPr>
      <w:r>
        <w:rPr>
          <w:rFonts w:ascii="Courier New" w:cs="Courier New" w:eastAsia="Courier New" w:hAnsi="Courier New"/>
          <w:sz w:val="15"/>
          <w:szCs w:val="15"/>
          <w:color w:val="auto"/>
        </w:rPr>
        <w:t>Financial Statements of Business Acquired</w:t>
      </w:r>
    </w:p>
    <w:tbl>
      <w:tblPr>
        <w:tblLayout w:type="fixed"/>
        <w:tblInd w:w="0" w:type="dxa"/>
        <w:tblCellMar>
          <w:top w:w="0" w:type="dxa"/>
          <w:left w:w="0" w:type="dxa"/>
          <w:bottom w:w="0" w:type="dxa"/>
          <w:right w:w="0" w:type="dxa"/>
        </w:tblCellMar>
      </w:tblPr>
      <w:tr>
        <w:trPr>
          <w:trHeight w:val="170"/>
        </w:trPr>
        <w:tc>
          <w:tcPr>
            <w:tcW w:w="7220" w:type="dxa"/>
            <w:vAlign w:val="bottom"/>
          </w:tcPr>
          <w:p>
            <w:pPr>
              <w:ind w:left="2900"/>
              <w:spacing w:after="0"/>
              <w:rPr>
                <w:sz w:val="20"/>
                <w:szCs w:val="20"/>
                <w:color w:val="auto"/>
              </w:rPr>
            </w:pPr>
            <w:r>
              <w:rPr>
                <w:rFonts w:ascii="Courier New" w:cs="Courier New" w:eastAsia="Courier New" w:hAnsi="Courier New"/>
                <w:sz w:val="15"/>
                <w:szCs w:val="15"/>
                <w:color w:val="auto"/>
              </w:rPr>
              <w:t>ClearOne, Inc.</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7220" w:type="dxa"/>
            <w:vAlign w:val="bottom"/>
          </w:tcPr>
          <w:p>
            <w:pPr>
              <w:ind w:left="2460"/>
              <w:spacing w:after="0"/>
              <w:rPr>
                <w:sz w:val="20"/>
                <w:szCs w:val="20"/>
                <w:color w:val="auto"/>
              </w:rPr>
            </w:pPr>
            <w:r>
              <w:rPr>
                <w:rFonts w:ascii="Courier New" w:cs="Courier New" w:eastAsia="Courier New" w:hAnsi="Courier New"/>
                <w:sz w:val="15"/>
                <w:szCs w:val="15"/>
                <w:color w:val="auto"/>
              </w:rPr>
              <w:t>Statements of Cash Flows</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78"/>
        </w:trPr>
        <w:tc>
          <w:tcPr>
            <w:tcW w:w="722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April 30, 2000</w:t>
            </w:r>
          </w:p>
        </w:tc>
      </w:tr>
      <w:tr>
        <w:trPr>
          <w:trHeight w:val="170"/>
        </w:trPr>
        <w:tc>
          <w:tcPr>
            <w:tcW w:w="722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9"/>
        </w:trPr>
        <w:tc>
          <w:tcPr>
            <w:tcW w:w="7220" w:type="dxa"/>
            <w:vAlign w:val="bottom"/>
          </w:tcPr>
          <w:p>
            <w:pPr>
              <w:ind w:left="520"/>
              <w:spacing w:after="0"/>
              <w:rPr>
                <w:sz w:val="20"/>
                <w:szCs w:val="20"/>
                <w:color w:val="auto"/>
              </w:rPr>
            </w:pPr>
            <w:r>
              <w:rPr>
                <w:rFonts w:ascii="Courier New" w:cs="Courier New" w:eastAsia="Courier New" w:hAnsi="Courier New"/>
                <w:sz w:val="15"/>
                <w:szCs w:val="15"/>
                <w:color w:val="auto"/>
              </w:rPr>
              <w:t>Net income</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(1,308,081)</w:t>
            </w:r>
          </w:p>
        </w:tc>
      </w:tr>
      <w:tr>
        <w:trPr>
          <w:trHeight w:val="170"/>
        </w:trPr>
        <w:tc>
          <w:tcPr>
            <w:tcW w:w="7220" w:type="dxa"/>
            <w:vAlign w:val="bottom"/>
          </w:tcPr>
          <w:p>
            <w:pPr>
              <w:ind w:left="520"/>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7220" w:type="dxa"/>
            <w:vAlign w:val="bottom"/>
          </w:tcPr>
          <w:p>
            <w:pPr>
              <w:ind w:left="780"/>
              <w:spacing w:after="0"/>
              <w:rPr>
                <w:sz w:val="20"/>
                <w:szCs w:val="20"/>
                <w:color w:val="auto"/>
              </w:rPr>
            </w:pPr>
            <w:r>
              <w:rPr>
                <w:rFonts w:ascii="Courier New" w:cs="Courier New" w:eastAsia="Courier New" w:hAnsi="Courier New"/>
                <w:sz w:val="15"/>
                <w:szCs w:val="15"/>
                <w:color w:val="auto"/>
              </w:rPr>
              <w:t>provided (used) by operating activities:</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7220" w:type="dxa"/>
            <w:vAlign w:val="bottom"/>
          </w:tcPr>
          <w:p>
            <w:pPr>
              <w:ind w:left="960"/>
              <w:spacing w:after="0"/>
              <w:rPr>
                <w:sz w:val="20"/>
                <w:szCs w:val="20"/>
                <w:color w:val="auto"/>
              </w:rPr>
            </w:pPr>
            <w:r>
              <w:rPr>
                <w:rFonts w:ascii="Courier New" w:cs="Courier New" w:eastAsia="Courier New" w:hAnsi="Courier New"/>
                <w:sz w:val="15"/>
                <w:szCs w:val="15"/>
                <w:color w:val="auto"/>
              </w:rPr>
              <w:t>Depreciation</w:t>
            </w:r>
          </w:p>
        </w:tc>
        <w:tc>
          <w:tcPr>
            <w:tcW w:w="40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178,351</w:t>
            </w:r>
          </w:p>
        </w:tc>
      </w:tr>
      <w:tr>
        <w:trPr>
          <w:trHeight w:val="170"/>
        </w:trPr>
        <w:tc>
          <w:tcPr>
            <w:tcW w:w="7220" w:type="dxa"/>
            <w:vAlign w:val="bottom"/>
          </w:tcPr>
          <w:p>
            <w:pPr>
              <w:ind w:left="960"/>
              <w:spacing w:after="0"/>
              <w:rPr>
                <w:sz w:val="20"/>
                <w:szCs w:val="20"/>
                <w:color w:val="auto"/>
              </w:rPr>
            </w:pPr>
            <w:r>
              <w:rPr>
                <w:rFonts w:ascii="Courier New" w:cs="Courier New" w:eastAsia="Courier New" w:hAnsi="Courier New"/>
                <w:sz w:val="15"/>
                <w:szCs w:val="15"/>
                <w:color w:val="auto"/>
              </w:rPr>
              <w:t>Amortization</w:t>
            </w:r>
          </w:p>
        </w:tc>
        <w:tc>
          <w:tcPr>
            <w:tcW w:w="40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57,002</w:t>
            </w:r>
          </w:p>
        </w:tc>
      </w:tr>
      <w:tr>
        <w:trPr>
          <w:trHeight w:val="170"/>
        </w:trPr>
        <w:tc>
          <w:tcPr>
            <w:tcW w:w="7220" w:type="dxa"/>
            <w:vAlign w:val="bottom"/>
          </w:tcPr>
          <w:p>
            <w:pPr>
              <w:ind w:left="960"/>
              <w:spacing w:after="0"/>
              <w:rPr>
                <w:sz w:val="20"/>
                <w:szCs w:val="20"/>
                <w:color w:val="auto"/>
              </w:rPr>
            </w:pPr>
            <w:r>
              <w:rPr>
                <w:rFonts w:ascii="Courier New" w:cs="Courier New" w:eastAsia="Courier New" w:hAnsi="Courier New"/>
                <w:sz w:val="15"/>
                <w:szCs w:val="15"/>
                <w:color w:val="auto"/>
              </w:rPr>
              <w:t>Allowance for bad debt</w:t>
            </w:r>
          </w:p>
        </w:tc>
        <w:tc>
          <w:tcPr>
            <w:tcW w:w="40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1,758</w:t>
            </w:r>
          </w:p>
        </w:tc>
      </w:tr>
      <w:tr>
        <w:trPr>
          <w:trHeight w:val="170"/>
        </w:trPr>
        <w:tc>
          <w:tcPr>
            <w:tcW w:w="7220" w:type="dxa"/>
            <w:vAlign w:val="bottom"/>
          </w:tcPr>
          <w:p>
            <w:pPr>
              <w:ind w:left="960"/>
              <w:spacing w:after="0"/>
              <w:rPr>
                <w:sz w:val="20"/>
                <w:szCs w:val="20"/>
                <w:color w:val="auto"/>
              </w:rPr>
            </w:pPr>
            <w:r>
              <w:rPr>
                <w:rFonts w:ascii="Courier New" w:cs="Courier New" w:eastAsia="Courier New" w:hAnsi="Courier New"/>
                <w:sz w:val="15"/>
                <w:szCs w:val="15"/>
                <w:color w:val="auto"/>
              </w:rPr>
              <w:t>Unearned revenue</w:t>
            </w:r>
          </w:p>
        </w:tc>
        <w:tc>
          <w:tcPr>
            <w:tcW w:w="4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(400,000)</w:t>
            </w:r>
          </w:p>
        </w:tc>
      </w:tr>
      <w:tr>
        <w:trPr>
          <w:trHeight w:val="170"/>
        </w:trPr>
        <w:tc>
          <w:tcPr>
            <w:tcW w:w="7220" w:type="dxa"/>
            <w:vAlign w:val="bottom"/>
          </w:tcPr>
          <w:p>
            <w:pPr>
              <w:ind w:left="960"/>
              <w:spacing w:after="0"/>
              <w:rPr>
                <w:sz w:val="20"/>
                <w:szCs w:val="20"/>
                <w:color w:val="auto"/>
              </w:rPr>
            </w:pPr>
            <w:r>
              <w:rPr>
                <w:rFonts w:ascii="Courier New" w:cs="Courier New" w:eastAsia="Courier New" w:hAnsi="Courier New"/>
                <w:sz w:val="15"/>
                <w:szCs w:val="15"/>
                <w:color w:val="auto"/>
              </w:rPr>
              <w:t>Product design and R&amp;D equipment written down to net realizable value</w:t>
            </w:r>
          </w:p>
        </w:tc>
        <w:tc>
          <w:tcPr>
            <w:tcW w:w="40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30,550</w:t>
            </w:r>
          </w:p>
        </w:tc>
      </w:tr>
      <w:tr>
        <w:trPr>
          <w:trHeight w:val="170"/>
        </w:trPr>
        <w:tc>
          <w:tcPr>
            <w:tcW w:w="7220" w:type="dxa"/>
            <w:vAlign w:val="bottom"/>
          </w:tcPr>
          <w:p>
            <w:pPr>
              <w:ind w:left="960"/>
              <w:spacing w:after="0"/>
              <w:rPr>
                <w:sz w:val="20"/>
                <w:szCs w:val="20"/>
                <w:color w:val="auto"/>
              </w:rPr>
            </w:pPr>
            <w:r>
              <w:rPr>
                <w:rFonts w:ascii="Courier New" w:cs="Courier New" w:eastAsia="Courier New" w:hAnsi="Courier New"/>
                <w:sz w:val="15"/>
                <w:szCs w:val="15"/>
                <w:color w:val="auto"/>
              </w:rPr>
              <w:t>Impairment of license agreements</w:t>
            </w:r>
          </w:p>
        </w:tc>
        <w:tc>
          <w:tcPr>
            <w:tcW w:w="40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156,751</w:t>
            </w:r>
          </w:p>
        </w:tc>
      </w:tr>
      <w:tr>
        <w:trPr>
          <w:trHeight w:val="170"/>
        </w:trPr>
        <w:tc>
          <w:tcPr>
            <w:tcW w:w="7220" w:type="dxa"/>
            <w:vAlign w:val="bottom"/>
          </w:tcPr>
          <w:p>
            <w:pPr>
              <w:ind w:left="960"/>
              <w:spacing w:after="0"/>
              <w:rPr>
                <w:sz w:val="20"/>
                <w:szCs w:val="20"/>
                <w:color w:val="auto"/>
              </w:rPr>
            </w:pPr>
            <w:r>
              <w:rPr>
                <w:rFonts w:ascii="Courier New" w:cs="Courier New" w:eastAsia="Courier New" w:hAnsi="Courier New"/>
                <w:sz w:val="15"/>
                <w:szCs w:val="15"/>
                <w:color w:val="auto"/>
              </w:rPr>
              <w:t>Inventory write down to net realizable value</w:t>
            </w:r>
          </w:p>
        </w:tc>
        <w:tc>
          <w:tcPr>
            <w:tcW w:w="40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91,180</w:t>
            </w:r>
          </w:p>
        </w:tc>
      </w:tr>
      <w:tr>
        <w:trPr>
          <w:trHeight w:val="170"/>
        </w:trPr>
        <w:tc>
          <w:tcPr>
            <w:tcW w:w="7220" w:type="dxa"/>
            <w:vAlign w:val="bottom"/>
          </w:tcPr>
          <w:p>
            <w:pPr>
              <w:ind w:left="960"/>
              <w:spacing w:after="0"/>
              <w:rPr>
                <w:sz w:val="20"/>
                <w:szCs w:val="20"/>
                <w:color w:val="auto"/>
              </w:rPr>
            </w:pPr>
            <w:r>
              <w:rPr>
                <w:rFonts w:ascii="Courier New" w:cs="Courier New" w:eastAsia="Courier New" w:hAnsi="Courier New"/>
                <w:sz w:val="15"/>
                <w:szCs w:val="15"/>
                <w:color w:val="auto"/>
              </w:rPr>
              <w:t>Realized loss on asset dispositions</w:t>
            </w:r>
          </w:p>
        </w:tc>
        <w:tc>
          <w:tcPr>
            <w:tcW w:w="40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36,929</w:t>
            </w:r>
          </w:p>
        </w:tc>
      </w:tr>
      <w:tr>
        <w:trPr>
          <w:trHeight w:val="170"/>
        </w:trPr>
        <w:tc>
          <w:tcPr>
            <w:tcW w:w="7220" w:type="dxa"/>
            <w:vAlign w:val="bottom"/>
          </w:tcPr>
          <w:p>
            <w:pPr>
              <w:ind w:left="960"/>
              <w:spacing w:after="0"/>
              <w:rPr>
                <w:sz w:val="20"/>
                <w:szCs w:val="20"/>
                <w:color w:val="auto"/>
              </w:rPr>
            </w:pPr>
            <w:r>
              <w:rPr>
                <w:rFonts w:ascii="Courier New" w:cs="Courier New" w:eastAsia="Courier New" w:hAnsi="Courier New"/>
                <w:sz w:val="15"/>
                <w:szCs w:val="15"/>
                <w:color w:val="auto"/>
              </w:rPr>
              <w:t>Realized loss on abandoned leasehold improvements</w:t>
            </w:r>
          </w:p>
        </w:tc>
        <w:tc>
          <w:tcPr>
            <w:tcW w:w="40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14,170</w:t>
            </w:r>
          </w:p>
        </w:tc>
      </w:tr>
      <w:tr>
        <w:trPr>
          <w:trHeight w:val="170"/>
        </w:trPr>
        <w:tc>
          <w:tcPr>
            <w:tcW w:w="7220" w:type="dxa"/>
            <w:vAlign w:val="bottom"/>
          </w:tcPr>
          <w:p>
            <w:pPr>
              <w:ind w:left="960"/>
              <w:spacing w:after="0"/>
              <w:rPr>
                <w:sz w:val="20"/>
                <w:szCs w:val="20"/>
                <w:color w:val="auto"/>
              </w:rPr>
            </w:pPr>
            <w:r>
              <w:rPr>
                <w:rFonts w:ascii="Courier New" w:cs="Courier New" w:eastAsia="Courier New" w:hAnsi="Courier New"/>
                <w:sz w:val="15"/>
                <w:szCs w:val="15"/>
                <w:color w:val="auto"/>
              </w:rPr>
              <w:t>(Increase) decrease in operating assets</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7220" w:type="dxa"/>
            <w:vAlign w:val="bottom"/>
          </w:tcPr>
          <w:p>
            <w:pPr>
              <w:ind w:left="1220"/>
              <w:spacing w:after="0"/>
              <w:rPr>
                <w:sz w:val="20"/>
                <w:szCs w:val="20"/>
                <w:color w:val="auto"/>
              </w:rPr>
            </w:pPr>
            <w:r>
              <w:rPr>
                <w:rFonts w:ascii="Courier New" w:cs="Courier New" w:eastAsia="Courier New" w:hAnsi="Courier New"/>
                <w:sz w:val="15"/>
                <w:szCs w:val="15"/>
                <w:color w:val="auto"/>
              </w:rPr>
              <w:t>Accounts receivable</w:t>
            </w:r>
          </w:p>
        </w:tc>
        <w:tc>
          <w:tcPr>
            <w:tcW w:w="40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154,256</w:t>
            </w:r>
          </w:p>
        </w:tc>
      </w:tr>
      <w:tr>
        <w:trPr>
          <w:trHeight w:val="170"/>
        </w:trPr>
        <w:tc>
          <w:tcPr>
            <w:tcW w:w="7220" w:type="dxa"/>
            <w:vAlign w:val="bottom"/>
          </w:tcPr>
          <w:p>
            <w:pPr>
              <w:ind w:left="1220"/>
              <w:spacing w:after="0"/>
              <w:rPr>
                <w:sz w:val="20"/>
                <w:szCs w:val="20"/>
                <w:color w:val="auto"/>
              </w:rPr>
            </w:pPr>
            <w:r>
              <w:rPr>
                <w:rFonts w:ascii="Courier New" w:cs="Courier New" w:eastAsia="Courier New" w:hAnsi="Courier New"/>
                <w:sz w:val="15"/>
                <w:szCs w:val="15"/>
                <w:color w:val="auto"/>
              </w:rPr>
              <w:t>License revenue receivable</w:t>
            </w:r>
          </w:p>
        </w:tc>
        <w:tc>
          <w:tcPr>
            <w:tcW w:w="40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200,000</w:t>
            </w:r>
          </w:p>
        </w:tc>
      </w:tr>
      <w:tr>
        <w:trPr>
          <w:trHeight w:val="170"/>
        </w:trPr>
        <w:tc>
          <w:tcPr>
            <w:tcW w:w="7220" w:type="dxa"/>
            <w:vAlign w:val="bottom"/>
          </w:tcPr>
          <w:p>
            <w:pPr>
              <w:ind w:left="1220"/>
              <w:spacing w:after="0"/>
              <w:rPr>
                <w:sz w:val="20"/>
                <w:szCs w:val="20"/>
                <w:color w:val="auto"/>
              </w:rPr>
            </w:pPr>
            <w:r>
              <w:rPr>
                <w:rFonts w:ascii="Courier New" w:cs="Courier New" w:eastAsia="Courier New" w:hAnsi="Courier New"/>
                <w:sz w:val="15"/>
                <w:szCs w:val="15"/>
                <w:color w:val="auto"/>
              </w:rPr>
              <w:t>Inventory</w:t>
            </w:r>
          </w:p>
        </w:tc>
        <w:tc>
          <w:tcPr>
            <w:tcW w:w="40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8,629</w:t>
            </w:r>
          </w:p>
        </w:tc>
      </w:tr>
      <w:tr>
        <w:trPr>
          <w:trHeight w:val="170"/>
        </w:trPr>
        <w:tc>
          <w:tcPr>
            <w:tcW w:w="7220" w:type="dxa"/>
            <w:vAlign w:val="bottom"/>
          </w:tcPr>
          <w:p>
            <w:pPr>
              <w:ind w:left="1220"/>
              <w:spacing w:after="0"/>
              <w:rPr>
                <w:sz w:val="20"/>
                <w:szCs w:val="20"/>
                <w:color w:val="auto"/>
              </w:rPr>
            </w:pPr>
            <w:r>
              <w:rPr>
                <w:rFonts w:ascii="Courier New" w:cs="Courier New" w:eastAsia="Courier New" w:hAnsi="Courier New"/>
                <w:sz w:val="15"/>
                <w:szCs w:val="15"/>
                <w:color w:val="auto"/>
              </w:rPr>
              <w:t>Prepaid expenses</w:t>
            </w:r>
          </w:p>
        </w:tc>
        <w:tc>
          <w:tcPr>
            <w:tcW w:w="40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3,333</w:t>
            </w:r>
          </w:p>
        </w:tc>
      </w:tr>
      <w:tr>
        <w:trPr>
          <w:trHeight w:val="170"/>
        </w:trPr>
        <w:tc>
          <w:tcPr>
            <w:tcW w:w="7220" w:type="dxa"/>
            <w:vAlign w:val="bottom"/>
          </w:tcPr>
          <w:p>
            <w:pPr>
              <w:ind w:left="1220"/>
              <w:spacing w:after="0"/>
              <w:rPr>
                <w:sz w:val="20"/>
                <w:szCs w:val="20"/>
                <w:color w:val="auto"/>
              </w:rPr>
            </w:pPr>
            <w:r>
              <w:rPr>
                <w:rFonts w:ascii="Courier New" w:cs="Courier New" w:eastAsia="Courier New" w:hAnsi="Courier New"/>
                <w:sz w:val="15"/>
                <w:szCs w:val="15"/>
                <w:color w:val="auto"/>
              </w:rPr>
              <w:t>Deposits</w:t>
            </w:r>
          </w:p>
        </w:tc>
        <w:tc>
          <w:tcPr>
            <w:tcW w:w="40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60,000</w:t>
            </w:r>
          </w:p>
        </w:tc>
      </w:tr>
      <w:tr>
        <w:trPr>
          <w:trHeight w:val="170"/>
        </w:trPr>
        <w:tc>
          <w:tcPr>
            <w:tcW w:w="7220" w:type="dxa"/>
            <w:vAlign w:val="bottom"/>
          </w:tcPr>
          <w:p>
            <w:pPr>
              <w:ind w:left="1220"/>
              <w:spacing w:after="0"/>
              <w:rPr>
                <w:sz w:val="20"/>
                <w:szCs w:val="20"/>
                <w:color w:val="auto"/>
              </w:rPr>
            </w:pPr>
            <w:r>
              <w:rPr>
                <w:rFonts w:ascii="Courier New" w:cs="Courier New" w:eastAsia="Courier New" w:hAnsi="Courier New"/>
                <w:sz w:val="15"/>
                <w:szCs w:val="15"/>
                <w:color w:val="auto"/>
              </w:rPr>
              <w:t>Employee receivables</w:t>
            </w:r>
          </w:p>
        </w:tc>
        <w:tc>
          <w:tcPr>
            <w:tcW w:w="40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36,431</w:t>
            </w:r>
          </w:p>
        </w:tc>
      </w:tr>
      <w:tr>
        <w:trPr>
          <w:trHeight w:val="170"/>
        </w:trPr>
        <w:tc>
          <w:tcPr>
            <w:tcW w:w="7220" w:type="dxa"/>
            <w:vAlign w:val="bottom"/>
          </w:tcPr>
          <w:p>
            <w:pPr>
              <w:ind w:left="1220"/>
              <w:spacing w:after="0"/>
              <w:rPr>
                <w:sz w:val="20"/>
                <w:szCs w:val="20"/>
                <w:color w:val="auto"/>
              </w:rPr>
            </w:pPr>
            <w:r>
              <w:rPr>
                <w:rFonts w:ascii="Courier New" w:cs="Courier New" w:eastAsia="Courier New" w:hAnsi="Courier New"/>
                <w:sz w:val="15"/>
                <w:szCs w:val="15"/>
                <w:color w:val="auto"/>
              </w:rPr>
              <w:t>Other current assets</w:t>
            </w:r>
          </w:p>
        </w:tc>
        <w:tc>
          <w:tcPr>
            <w:tcW w:w="40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2,938</w:t>
            </w:r>
          </w:p>
        </w:tc>
      </w:tr>
      <w:tr>
        <w:trPr>
          <w:trHeight w:val="170"/>
        </w:trPr>
        <w:tc>
          <w:tcPr>
            <w:tcW w:w="7220" w:type="dxa"/>
            <w:vAlign w:val="bottom"/>
          </w:tcPr>
          <w:p>
            <w:pPr>
              <w:ind w:left="960"/>
              <w:spacing w:after="0"/>
              <w:rPr>
                <w:sz w:val="20"/>
                <w:szCs w:val="20"/>
                <w:color w:val="auto"/>
              </w:rPr>
            </w:pPr>
            <w:r>
              <w:rPr>
                <w:rFonts w:ascii="Courier New" w:cs="Courier New" w:eastAsia="Courier New" w:hAnsi="Courier New"/>
                <w:sz w:val="15"/>
                <w:szCs w:val="15"/>
                <w:color w:val="auto"/>
              </w:rPr>
              <w:t>Increase (decrease) in operating liabilities</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7220" w:type="dxa"/>
            <w:vAlign w:val="bottom"/>
          </w:tcPr>
          <w:p>
            <w:pPr>
              <w:ind w:left="1220"/>
              <w:spacing w:after="0"/>
              <w:rPr>
                <w:sz w:val="20"/>
                <w:szCs w:val="20"/>
                <w:color w:val="auto"/>
              </w:rPr>
            </w:pPr>
            <w:r>
              <w:rPr>
                <w:rFonts w:ascii="Courier New" w:cs="Courier New" w:eastAsia="Courier New" w:hAnsi="Courier New"/>
                <w:sz w:val="15"/>
                <w:szCs w:val="15"/>
                <w:color w:val="auto"/>
              </w:rPr>
              <w:t>Accounts Payable</w:t>
            </w:r>
          </w:p>
        </w:tc>
        <w:tc>
          <w:tcPr>
            <w:tcW w:w="4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(116,988)</w:t>
            </w:r>
          </w:p>
        </w:tc>
      </w:tr>
      <w:tr>
        <w:trPr>
          <w:trHeight w:val="170"/>
        </w:trPr>
        <w:tc>
          <w:tcPr>
            <w:tcW w:w="7220" w:type="dxa"/>
            <w:vAlign w:val="bottom"/>
          </w:tcPr>
          <w:p>
            <w:pPr>
              <w:ind w:left="1220"/>
              <w:spacing w:after="0"/>
              <w:rPr>
                <w:sz w:val="20"/>
                <w:szCs w:val="20"/>
                <w:color w:val="auto"/>
              </w:rPr>
            </w:pPr>
            <w:r>
              <w:rPr>
                <w:rFonts w:ascii="Courier New" w:cs="Courier New" w:eastAsia="Courier New" w:hAnsi="Courier New"/>
                <w:sz w:val="15"/>
                <w:szCs w:val="15"/>
                <w:color w:val="auto"/>
              </w:rPr>
              <w:t>Accrued expenses</w:t>
            </w:r>
          </w:p>
        </w:tc>
        <w:tc>
          <w:tcPr>
            <w:tcW w:w="4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(47,702)</w:t>
            </w:r>
          </w:p>
        </w:tc>
      </w:tr>
      <w:tr>
        <w:trPr>
          <w:trHeight w:val="170"/>
        </w:trPr>
        <w:tc>
          <w:tcPr>
            <w:tcW w:w="7220" w:type="dxa"/>
            <w:vAlign w:val="bottom"/>
          </w:tcPr>
          <w:p>
            <w:pPr>
              <w:ind w:left="1220"/>
              <w:spacing w:after="0"/>
              <w:rPr>
                <w:sz w:val="20"/>
                <w:szCs w:val="20"/>
                <w:color w:val="auto"/>
              </w:rPr>
            </w:pPr>
            <w:r>
              <w:rPr>
                <w:rFonts w:ascii="Courier New" w:cs="Courier New" w:eastAsia="Courier New" w:hAnsi="Courier New"/>
                <w:sz w:val="15"/>
                <w:szCs w:val="15"/>
                <w:color w:val="auto"/>
              </w:rPr>
              <w:t>Accrued wages</w:t>
            </w:r>
          </w:p>
        </w:tc>
        <w:tc>
          <w:tcPr>
            <w:tcW w:w="4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(68,899)</w:t>
            </w:r>
          </w:p>
        </w:tc>
      </w:tr>
      <w:tr>
        <w:trPr>
          <w:trHeight w:val="170"/>
        </w:trPr>
        <w:tc>
          <w:tcPr>
            <w:tcW w:w="7220" w:type="dxa"/>
            <w:vAlign w:val="bottom"/>
          </w:tcPr>
          <w:p>
            <w:pPr>
              <w:ind w:left="1220"/>
              <w:spacing w:after="0"/>
              <w:rPr>
                <w:sz w:val="20"/>
                <w:szCs w:val="20"/>
                <w:color w:val="auto"/>
              </w:rPr>
            </w:pPr>
            <w:r>
              <w:rPr>
                <w:rFonts w:ascii="Courier New" w:cs="Courier New" w:eastAsia="Courier New" w:hAnsi="Courier New"/>
                <w:sz w:val="15"/>
                <w:szCs w:val="15"/>
                <w:color w:val="auto"/>
              </w:rPr>
              <w:t>Accrued interest</w:t>
            </w:r>
          </w:p>
        </w:tc>
        <w:tc>
          <w:tcPr>
            <w:tcW w:w="40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4,040</w:t>
            </w:r>
          </w:p>
        </w:tc>
      </w:tr>
      <w:tr>
        <w:trPr>
          <w:trHeight w:val="170"/>
        </w:trPr>
        <w:tc>
          <w:tcPr>
            <w:tcW w:w="7220" w:type="dxa"/>
            <w:vAlign w:val="bottom"/>
          </w:tcPr>
          <w:p>
            <w:pPr>
              <w:ind w:left="1220"/>
              <w:spacing w:after="0"/>
              <w:rPr>
                <w:sz w:val="20"/>
                <w:szCs w:val="20"/>
                <w:color w:val="auto"/>
              </w:rPr>
            </w:pPr>
            <w:r>
              <w:rPr>
                <w:rFonts w:ascii="Courier New" w:cs="Courier New" w:eastAsia="Courier New" w:hAnsi="Courier New"/>
                <w:sz w:val="15"/>
                <w:szCs w:val="15"/>
                <w:color w:val="auto"/>
              </w:rPr>
              <w:t>Accrued warranty costs</w:t>
            </w:r>
          </w:p>
        </w:tc>
        <w:tc>
          <w:tcPr>
            <w:tcW w:w="40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1,224</w:t>
            </w:r>
          </w:p>
        </w:tc>
      </w:tr>
      <w:tr>
        <w:trPr>
          <w:trHeight w:val="170"/>
        </w:trPr>
        <w:tc>
          <w:tcPr>
            <w:tcW w:w="7220" w:type="dxa"/>
            <w:vAlign w:val="bottom"/>
          </w:tcPr>
          <w:p>
            <w:pPr>
              <w:ind w:left="1220"/>
              <w:spacing w:after="0"/>
              <w:rPr>
                <w:sz w:val="20"/>
                <w:szCs w:val="20"/>
                <w:color w:val="auto"/>
              </w:rPr>
            </w:pPr>
            <w:r>
              <w:rPr>
                <w:rFonts w:ascii="Courier New" w:cs="Courier New" w:eastAsia="Courier New" w:hAnsi="Courier New"/>
                <w:sz w:val="15"/>
                <w:szCs w:val="15"/>
                <w:color w:val="auto"/>
              </w:rPr>
              <w:t>Accrued advertising costs</w:t>
            </w:r>
          </w:p>
        </w:tc>
        <w:tc>
          <w:tcPr>
            <w:tcW w:w="40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16,563</w:t>
            </w:r>
          </w:p>
        </w:tc>
      </w:tr>
      <w:tr>
        <w:trPr>
          <w:trHeight w:val="170"/>
        </w:trPr>
        <w:tc>
          <w:tcPr>
            <w:tcW w:w="7220" w:type="dxa"/>
            <w:vAlign w:val="bottom"/>
          </w:tcPr>
          <w:p>
            <w:pPr>
              <w:ind w:left="1220"/>
              <w:spacing w:after="0"/>
              <w:rPr>
                <w:sz w:val="20"/>
                <w:szCs w:val="20"/>
                <w:color w:val="auto"/>
              </w:rPr>
            </w:pPr>
            <w:r>
              <w:rPr>
                <w:rFonts w:ascii="Courier New" w:cs="Courier New" w:eastAsia="Courier New" w:hAnsi="Courier New"/>
                <w:sz w:val="15"/>
                <w:szCs w:val="15"/>
                <w:color w:val="auto"/>
              </w:rPr>
              <w:t>Pension plan payable</w:t>
            </w:r>
          </w:p>
        </w:tc>
        <w:tc>
          <w:tcPr>
            <w:tcW w:w="40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3,274</w:t>
            </w:r>
          </w:p>
        </w:tc>
      </w:tr>
      <w:tr>
        <w:trPr>
          <w:trHeight w:val="170"/>
        </w:trPr>
        <w:tc>
          <w:tcPr>
            <w:tcW w:w="7220" w:type="dxa"/>
            <w:vAlign w:val="bottom"/>
          </w:tcPr>
          <w:p>
            <w:pPr>
              <w:ind w:left="1220"/>
              <w:spacing w:after="0"/>
              <w:rPr>
                <w:sz w:val="20"/>
                <w:szCs w:val="20"/>
                <w:color w:val="auto"/>
              </w:rPr>
            </w:pPr>
            <w:r>
              <w:rPr>
                <w:rFonts w:ascii="Courier New" w:cs="Courier New" w:eastAsia="Courier New" w:hAnsi="Courier New"/>
                <w:sz w:val="15"/>
                <w:szCs w:val="15"/>
                <w:color w:val="auto"/>
              </w:rPr>
              <w:t>State and local taxes payable</w:t>
            </w:r>
          </w:p>
        </w:tc>
        <w:tc>
          <w:tcPr>
            <w:tcW w:w="4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(1,104)</w:t>
            </w:r>
          </w:p>
        </w:tc>
      </w:tr>
      <w:tr>
        <w:trPr>
          <w:trHeight w:val="170"/>
        </w:trPr>
        <w:tc>
          <w:tcPr>
            <w:tcW w:w="722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170"/>
        </w:trPr>
        <w:tc>
          <w:tcPr>
            <w:tcW w:w="7220" w:type="dxa"/>
            <w:vAlign w:val="bottom"/>
          </w:tcPr>
          <w:p>
            <w:pPr>
              <w:ind w:left="1660"/>
              <w:spacing w:after="0"/>
              <w:rPr>
                <w:sz w:val="20"/>
                <w:szCs w:val="20"/>
                <w:color w:val="auto"/>
              </w:rPr>
            </w:pPr>
            <w:r>
              <w:rPr>
                <w:rFonts w:ascii="Courier New" w:cs="Courier New" w:eastAsia="Courier New" w:hAnsi="Courier New"/>
                <w:sz w:val="15"/>
                <w:szCs w:val="15"/>
                <w:color w:val="auto"/>
              </w:rPr>
              <w:t>Net Cash Provided (Used) By Operating Activities</w:t>
            </w:r>
          </w:p>
        </w:tc>
        <w:tc>
          <w:tcPr>
            <w:tcW w:w="4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(885,395)</w:t>
            </w:r>
          </w:p>
        </w:tc>
      </w:tr>
      <w:tr>
        <w:trPr>
          <w:trHeight w:val="170"/>
        </w:trPr>
        <w:tc>
          <w:tcPr>
            <w:tcW w:w="722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7220" w:type="dxa"/>
            <w:vAlign w:val="bottom"/>
          </w:tcPr>
          <w:p>
            <w:pPr>
              <w:ind w:left="520"/>
              <w:spacing w:after="0"/>
              <w:rPr>
                <w:sz w:val="20"/>
                <w:szCs w:val="20"/>
                <w:color w:val="auto"/>
              </w:rPr>
            </w:pPr>
            <w:r>
              <w:rPr>
                <w:rFonts w:ascii="Courier New" w:cs="Courier New" w:eastAsia="Courier New" w:hAnsi="Courier New"/>
                <w:sz w:val="15"/>
                <w:szCs w:val="15"/>
                <w:color w:val="auto"/>
              </w:rPr>
              <w:t>Payments for property and equipment</w:t>
            </w:r>
          </w:p>
        </w:tc>
        <w:tc>
          <w:tcPr>
            <w:tcW w:w="4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(6,810)</w:t>
            </w:r>
          </w:p>
        </w:tc>
      </w:tr>
      <w:tr>
        <w:trPr>
          <w:trHeight w:val="170"/>
        </w:trPr>
        <w:tc>
          <w:tcPr>
            <w:tcW w:w="7220" w:type="dxa"/>
            <w:vAlign w:val="bottom"/>
          </w:tcPr>
          <w:p>
            <w:pPr>
              <w:ind w:left="520"/>
              <w:spacing w:after="0"/>
              <w:rPr>
                <w:sz w:val="20"/>
                <w:szCs w:val="20"/>
                <w:color w:val="auto"/>
              </w:rPr>
            </w:pPr>
            <w:r>
              <w:rPr>
                <w:rFonts w:ascii="Courier New" w:cs="Courier New" w:eastAsia="Courier New" w:hAnsi="Courier New"/>
                <w:sz w:val="15"/>
                <w:szCs w:val="15"/>
                <w:color w:val="auto"/>
              </w:rPr>
              <w:t>Leasehold improvements</w:t>
            </w:r>
          </w:p>
        </w:tc>
        <w:tc>
          <w:tcPr>
            <w:tcW w:w="4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(21,203)</w:t>
            </w:r>
          </w:p>
        </w:tc>
      </w:tr>
      <w:tr>
        <w:trPr>
          <w:trHeight w:val="170"/>
        </w:trPr>
        <w:tc>
          <w:tcPr>
            <w:tcW w:w="722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170"/>
        </w:trPr>
        <w:tc>
          <w:tcPr>
            <w:tcW w:w="7220" w:type="dxa"/>
            <w:vAlign w:val="bottom"/>
          </w:tcPr>
          <w:p>
            <w:pPr>
              <w:ind w:left="1660"/>
              <w:spacing w:after="0"/>
              <w:rPr>
                <w:sz w:val="20"/>
                <w:szCs w:val="20"/>
                <w:color w:val="auto"/>
              </w:rPr>
            </w:pPr>
            <w:r>
              <w:rPr>
                <w:rFonts w:ascii="Courier New" w:cs="Courier New" w:eastAsia="Courier New" w:hAnsi="Courier New"/>
                <w:sz w:val="15"/>
                <w:szCs w:val="15"/>
                <w:color w:val="auto"/>
              </w:rPr>
              <w:t>Net Cash Provided (Used) By Investing Activities</w:t>
            </w:r>
          </w:p>
        </w:tc>
        <w:tc>
          <w:tcPr>
            <w:tcW w:w="4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(28,013)</w:t>
            </w:r>
          </w:p>
        </w:tc>
      </w:tr>
      <w:tr>
        <w:trPr>
          <w:trHeight w:val="170"/>
        </w:trPr>
        <w:tc>
          <w:tcPr>
            <w:tcW w:w="722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170"/>
        </w:trPr>
        <w:tc>
          <w:tcPr>
            <w:tcW w:w="72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7220" w:type="dxa"/>
            <w:vAlign w:val="bottom"/>
          </w:tcPr>
          <w:p>
            <w:pPr>
              <w:ind w:left="520"/>
              <w:spacing w:after="0"/>
              <w:rPr>
                <w:sz w:val="20"/>
                <w:szCs w:val="20"/>
                <w:color w:val="auto"/>
              </w:rPr>
            </w:pPr>
            <w:r>
              <w:rPr>
                <w:rFonts w:ascii="Courier New" w:cs="Courier New" w:eastAsia="Courier New" w:hAnsi="Courier New"/>
                <w:sz w:val="15"/>
                <w:szCs w:val="15"/>
                <w:color w:val="auto"/>
              </w:rPr>
              <w:t>Shareholder loans</w:t>
            </w:r>
          </w:p>
        </w:tc>
        <w:tc>
          <w:tcPr>
            <w:tcW w:w="40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962,000</w:t>
            </w:r>
          </w:p>
        </w:tc>
      </w:tr>
      <w:tr>
        <w:trPr>
          <w:trHeight w:val="170"/>
        </w:trPr>
        <w:tc>
          <w:tcPr>
            <w:tcW w:w="722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170"/>
        </w:trPr>
        <w:tc>
          <w:tcPr>
            <w:tcW w:w="7220" w:type="dxa"/>
            <w:vAlign w:val="bottom"/>
          </w:tcPr>
          <w:p>
            <w:pPr>
              <w:ind w:left="1660"/>
              <w:spacing w:after="0"/>
              <w:rPr>
                <w:sz w:val="20"/>
                <w:szCs w:val="20"/>
                <w:color w:val="auto"/>
              </w:rPr>
            </w:pPr>
            <w:r>
              <w:rPr>
                <w:rFonts w:ascii="Courier New" w:cs="Courier New" w:eastAsia="Courier New" w:hAnsi="Courier New"/>
                <w:sz w:val="15"/>
                <w:szCs w:val="15"/>
                <w:color w:val="auto"/>
              </w:rPr>
              <w:t>Net Cash Provided (Used) By Financing Activities</w:t>
            </w:r>
          </w:p>
        </w:tc>
        <w:tc>
          <w:tcPr>
            <w:tcW w:w="400" w:type="dxa"/>
            <w:vAlign w:val="bottom"/>
          </w:tcPr>
          <w:p>
            <w:pPr>
              <w:spacing w:after="0"/>
              <w:rPr>
                <w:sz w:val="14"/>
                <w:szCs w:val="1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962,000</w:t>
            </w:r>
          </w:p>
        </w:tc>
      </w:tr>
      <w:tr>
        <w:trPr>
          <w:trHeight w:val="170"/>
        </w:trPr>
        <w:tc>
          <w:tcPr>
            <w:tcW w:w="722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339"/>
        </w:trPr>
        <w:tc>
          <w:tcPr>
            <w:tcW w:w="7220" w:type="dxa"/>
            <w:vAlign w:val="bottom"/>
          </w:tcPr>
          <w:p>
            <w:pPr>
              <w:ind w:left="1660"/>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400" w:type="dxa"/>
            <w:vAlign w:val="bottom"/>
          </w:tcPr>
          <w:p>
            <w:pPr>
              <w:spacing w:after="0"/>
              <w:rPr>
                <w:sz w:val="24"/>
                <w:szCs w:val="2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48,592</w:t>
            </w:r>
          </w:p>
        </w:tc>
      </w:tr>
      <w:tr>
        <w:trPr>
          <w:trHeight w:val="339"/>
        </w:trPr>
        <w:tc>
          <w:tcPr>
            <w:tcW w:w="7220" w:type="dxa"/>
            <w:vAlign w:val="bottom"/>
          </w:tcPr>
          <w:p>
            <w:pPr>
              <w:spacing w:after="0"/>
              <w:rPr>
                <w:sz w:val="20"/>
                <w:szCs w:val="20"/>
                <w:color w:val="auto"/>
              </w:rPr>
            </w:pPr>
            <w:r>
              <w:rPr>
                <w:rFonts w:ascii="Courier New" w:cs="Courier New" w:eastAsia="Courier New" w:hAnsi="Courier New"/>
                <w:sz w:val="15"/>
                <w:szCs w:val="15"/>
                <w:color w:val="auto"/>
              </w:rPr>
              <w:t>Beginning Cash And Cash Equivalents</w:t>
            </w:r>
          </w:p>
        </w:tc>
        <w:tc>
          <w:tcPr>
            <w:tcW w:w="400" w:type="dxa"/>
            <w:vAlign w:val="bottom"/>
          </w:tcPr>
          <w:p>
            <w:pPr>
              <w:spacing w:after="0"/>
              <w:rPr>
                <w:sz w:val="24"/>
                <w:szCs w:val="2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22,799</w:t>
            </w:r>
          </w:p>
        </w:tc>
      </w:tr>
      <w:tr>
        <w:trPr>
          <w:trHeight w:val="339"/>
        </w:trPr>
        <w:tc>
          <w:tcPr>
            <w:tcW w:w="7220" w:type="dxa"/>
            <w:vAlign w:val="bottom"/>
          </w:tcPr>
          <w:p>
            <w:pPr>
              <w:ind w:left="1660"/>
              <w:spacing w:after="0"/>
              <w:rPr>
                <w:sz w:val="20"/>
                <w:szCs w:val="20"/>
                <w:color w:val="auto"/>
              </w:rPr>
            </w:pPr>
            <w:r>
              <w:rPr>
                <w:rFonts w:ascii="Courier New" w:cs="Courier New" w:eastAsia="Courier New" w:hAnsi="Courier New"/>
                <w:sz w:val="15"/>
                <w:szCs w:val="15"/>
                <w:color w:val="auto"/>
              </w:rPr>
              <w:t>Ending Cash And Cash Equivalents</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71,391</w:t>
            </w:r>
          </w:p>
        </w:tc>
      </w:tr>
      <w:tr>
        <w:trPr>
          <w:trHeight w:val="170"/>
        </w:trPr>
        <w:tc>
          <w:tcPr>
            <w:tcW w:w="722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69" w:lineRule="exact"/>
        <w:rPr>
          <w:sz w:val="20"/>
          <w:szCs w:val="20"/>
          <w:color w:val="auto"/>
        </w:rPr>
      </w:pPr>
    </w:p>
    <w:p>
      <w:pPr>
        <w:ind w:left="678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19"/>
          </w:cols>
          <w:pgMar w:left="240" w:top="791" w:right="1440" w:bottom="1440" w:gutter="0" w:footer="0" w:header="0"/>
        </w:sectPr>
      </w:pPr>
    </w:p>
    <w:bookmarkStart w:id="7" w:name="page8"/>
    <w:bookmarkEnd w:id="7"/>
    <w:p>
      <w:pPr>
        <w:ind w:left="1760"/>
        <w:spacing w:after="0"/>
        <w:rPr>
          <w:sz w:val="20"/>
          <w:szCs w:val="20"/>
          <w:color w:val="auto"/>
        </w:rPr>
      </w:pPr>
      <w:r>
        <w:rPr>
          <w:rFonts w:ascii="Courier New" w:cs="Courier New" w:eastAsia="Courier New" w:hAnsi="Courier New"/>
          <w:sz w:val="15"/>
          <w:szCs w:val="15"/>
          <w:color w:val="auto"/>
        </w:rPr>
        <w:t>Financial Statements of Business Acquired</w:t>
      </w:r>
    </w:p>
    <w:p>
      <w:pPr>
        <w:ind w:left="2900"/>
        <w:spacing w:after="0"/>
        <w:rPr>
          <w:sz w:val="20"/>
          <w:szCs w:val="20"/>
          <w:color w:val="auto"/>
        </w:rPr>
      </w:pPr>
      <w:r>
        <w:rPr>
          <w:rFonts w:ascii="Courier New" w:cs="Courier New" w:eastAsia="Courier New" w:hAnsi="Courier New"/>
          <w:sz w:val="15"/>
          <w:szCs w:val="15"/>
          <w:color w:val="auto"/>
        </w:rPr>
        <w:t>ClearOne, Inc.</w:t>
      </w:r>
    </w:p>
    <w:p>
      <w:pPr>
        <w:ind w:left="2460"/>
        <w:spacing w:after="0"/>
        <w:rPr>
          <w:sz w:val="20"/>
          <w:szCs w:val="20"/>
          <w:color w:val="auto"/>
        </w:rPr>
      </w:pPr>
      <w:r>
        <w:rPr>
          <w:rFonts w:ascii="Courier New" w:cs="Courier New" w:eastAsia="Courier New" w:hAnsi="Courier New"/>
          <w:sz w:val="15"/>
          <w:szCs w:val="15"/>
          <w:color w:val="auto"/>
        </w:rPr>
        <w:t>Statements of Cash Flows</w:t>
      </w:r>
    </w:p>
    <w:p>
      <w:pPr>
        <w:ind w:left="3080"/>
        <w:spacing w:after="0" w:line="238" w:lineRule="auto"/>
        <w:rPr>
          <w:sz w:val="20"/>
          <w:szCs w:val="20"/>
          <w:color w:val="auto"/>
        </w:rPr>
      </w:pPr>
      <w:r>
        <w:rPr>
          <w:rFonts w:ascii="Courier New" w:cs="Courier New" w:eastAsia="Courier New" w:hAnsi="Courier New"/>
          <w:sz w:val="15"/>
          <w:szCs w:val="15"/>
          <w:color w:val="auto"/>
        </w:rPr>
        <w:t>(Continued)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6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April 30, 2000</w:t>
            </w:r>
          </w:p>
        </w:tc>
      </w:tr>
      <w:tr>
        <w:trPr>
          <w:trHeight w:val="170"/>
        </w:trPr>
        <w:tc>
          <w:tcPr>
            <w:tcW w:w="436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509"/>
        </w:trPr>
        <w:tc>
          <w:tcPr>
            <w:tcW w:w="436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09"/>
        </w:trPr>
        <w:tc>
          <w:tcPr>
            <w:tcW w:w="4360" w:type="dxa"/>
            <w:vAlign w:val="bottom"/>
          </w:tcPr>
          <w:p>
            <w:pPr>
              <w:ind w:left="440"/>
              <w:spacing w:after="0"/>
              <w:rPr>
                <w:sz w:val="20"/>
                <w:szCs w:val="20"/>
                <w:color w:val="auto"/>
              </w:rPr>
            </w:pPr>
            <w:r>
              <w:rPr>
                <w:rFonts w:ascii="Courier New" w:cs="Courier New" w:eastAsia="Courier New" w:hAnsi="Courier New"/>
                <w:sz w:val="15"/>
                <w:szCs w:val="15"/>
                <w:color w:val="auto"/>
              </w:rPr>
              <w:t>Cash paid during year for interest</w:t>
            </w:r>
          </w:p>
        </w:tc>
        <w:tc>
          <w:tcPr>
            <w:tcW w:w="12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$ 195,104</w:t>
            </w:r>
          </w:p>
        </w:tc>
      </w:tr>
      <w:tr>
        <w:trPr>
          <w:trHeight w:val="170"/>
        </w:trPr>
        <w:tc>
          <w:tcPr>
            <w:tcW w:w="4360" w:type="dxa"/>
            <w:vAlign w:val="bottom"/>
          </w:tcPr>
          <w:p>
            <w:pPr>
              <w:spacing w:after="0"/>
              <w:rPr>
                <w:sz w:val="14"/>
                <w:szCs w:val="14"/>
                <w:color w:val="auto"/>
              </w:rPr>
            </w:pPr>
          </w:p>
        </w:tc>
        <w:tc>
          <w:tcPr>
            <w:tcW w:w="12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339"/>
        </w:trPr>
        <w:tc>
          <w:tcPr>
            <w:tcW w:w="4360" w:type="dxa"/>
            <w:vAlign w:val="bottom"/>
          </w:tcPr>
          <w:p>
            <w:pPr>
              <w:ind w:left="440"/>
              <w:spacing w:after="0"/>
              <w:rPr>
                <w:sz w:val="20"/>
                <w:szCs w:val="20"/>
                <w:color w:val="auto"/>
              </w:rPr>
            </w:pPr>
            <w:r>
              <w:rPr>
                <w:rFonts w:ascii="Courier New" w:cs="Courier New" w:eastAsia="Courier New" w:hAnsi="Courier New"/>
                <w:sz w:val="15"/>
                <w:szCs w:val="15"/>
                <w:color w:val="auto"/>
              </w:rPr>
              <w:t>Income taxes paid</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456</w:t>
            </w:r>
          </w:p>
        </w:tc>
      </w:tr>
      <w:tr>
        <w:trPr>
          <w:trHeight w:val="170"/>
        </w:trPr>
        <w:tc>
          <w:tcPr>
            <w:tcW w:w="4360" w:type="dxa"/>
            <w:vAlign w:val="bottom"/>
          </w:tcPr>
          <w:p>
            <w:pPr>
              <w:spacing w:after="0"/>
              <w:rPr>
                <w:sz w:val="14"/>
                <w:szCs w:val="14"/>
                <w:color w:val="auto"/>
              </w:rPr>
            </w:pPr>
          </w:p>
        </w:tc>
        <w:tc>
          <w:tcPr>
            <w:tcW w:w="12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509"/>
        </w:trPr>
        <w:tc>
          <w:tcPr>
            <w:tcW w:w="4360" w:type="dxa"/>
            <w:vAlign w:val="bottom"/>
          </w:tcPr>
          <w:p>
            <w:pPr>
              <w:spacing w:after="0"/>
              <w:rPr>
                <w:sz w:val="20"/>
                <w:szCs w:val="20"/>
                <w:color w:val="auto"/>
              </w:rPr>
            </w:pPr>
            <w:r>
              <w:rPr>
                <w:rFonts w:ascii="Courier New" w:cs="Courier New" w:eastAsia="Courier New" w:hAnsi="Courier New"/>
                <w:sz w:val="15"/>
                <w:szCs w:val="15"/>
                <w:color w:val="auto"/>
              </w:rPr>
              <w:t>Supplemental disclosure of noncash investing</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4360" w:type="dxa"/>
            <w:vAlign w:val="bottom"/>
          </w:tcPr>
          <w:p>
            <w:pPr>
              <w:ind w:left="440"/>
              <w:spacing w:after="0"/>
              <w:rPr>
                <w:sz w:val="20"/>
                <w:szCs w:val="20"/>
                <w:color w:val="auto"/>
              </w:rPr>
            </w:pPr>
            <w:r>
              <w:rPr>
                <w:rFonts w:ascii="Courier New" w:cs="Courier New" w:eastAsia="Courier New" w:hAnsi="Courier New"/>
                <w:sz w:val="15"/>
                <w:szCs w:val="15"/>
                <w:color w:val="auto"/>
              </w:rPr>
              <w:t>and financing activities</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9"/>
        </w:trPr>
        <w:tc>
          <w:tcPr>
            <w:tcW w:w="4360" w:type="dxa"/>
            <w:vAlign w:val="bottom"/>
          </w:tcPr>
          <w:p>
            <w:pPr>
              <w:ind w:left="780"/>
              <w:spacing w:after="0"/>
              <w:rPr>
                <w:sz w:val="20"/>
                <w:szCs w:val="20"/>
                <w:color w:val="auto"/>
              </w:rPr>
            </w:pPr>
            <w:r>
              <w:rPr>
                <w:rFonts w:ascii="Courier New" w:cs="Courier New" w:eastAsia="Courier New" w:hAnsi="Courier New"/>
                <w:sz w:val="15"/>
                <w:szCs w:val="15"/>
                <w:color w:val="auto"/>
              </w:rPr>
              <w:t>Disposal of equipment and trademarks: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4360" w:type="dxa"/>
            <w:vAlign w:val="bottom"/>
          </w:tcPr>
          <w:p>
            <w:pPr>
              <w:ind w:left="1040"/>
              <w:spacing w:after="0"/>
              <w:rPr>
                <w:sz w:val="20"/>
                <w:szCs w:val="20"/>
                <w:color w:val="auto"/>
              </w:rPr>
            </w:pPr>
            <w:r>
              <w:rPr>
                <w:rFonts w:ascii="Courier New" w:cs="Courier New" w:eastAsia="Courier New" w:hAnsi="Courier New"/>
                <w:sz w:val="15"/>
                <w:szCs w:val="15"/>
                <w:color w:val="auto"/>
              </w:rPr>
              <w:t>Cost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86,595</w:t>
            </w:r>
          </w:p>
        </w:tc>
      </w:tr>
      <w:tr>
        <w:trPr>
          <w:trHeight w:val="170"/>
        </w:trPr>
        <w:tc>
          <w:tcPr>
            <w:tcW w:w="4360" w:type="dxa"/>
            <w:vAlign w:val="bottom"/>
          </w:tcPr>
          <w:p>
            <w:pPr>
              <w:ind w:left="1040"/>
              <w:spacing w:after="0"/>
              <w:rPr>
                <w:sz w:val="20"/>
                <w:szCs w:val="20"/>
                <w:color w:val="auto"/>
              </w:rPr>
            </w:pPr>
            <w:r>
              <w:rPr>
                <w:rFonts w:ascii="Courier New" w:cs="Courier New" w:eastAsia="Courier New" w:hAnsi="Courier New"/>
                <w:sz w:val="15"/>
                <w:szCs w:val="15"/>
                <w:color w:val="auto"/>
              </w:rPr>
              <w:t>Accumulated depreciation</w:t>
            </w:r>
          </w:p>
        </w:tc>
        <w:tc>
          <w:tcPr>
            <w:tcW w:w="3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(39,458)</w:t>
            </w:r>
          </w:p>
        </w:tc>
      </w:tr>
      <w:tr>
        <w:trPr>
          <w:trHeight w:val="170"/>
        </w:trPr>
        <w:tc>
          <w:tcPr>
            <w:tcW w:w="4360" w:type="dxa"/>
            <w:vAlign w:val="bottom"/>
          </w:tcPr>
          <w:p>
            <w:pPr>
              <w:spacing w:after="0"/>
              <w:rPr>
                <w:sz w:val="14"/>
                <w:szCs w:val="14"/>
                <w:color w:val="auto"/>
              </w:rPr>
            </w:pPr>
          </w:p>
        </w:tc>
        <w:tc>
          <w:tcPr>
            <w:tcW w:w="12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ind w:left="2100"/>
              <w:spacing w:after="0"/>
              <w:rPr>
                <w:sz w:val="20"/>
                <w:szCs w:val="20"/>
                <w:color w:val="auto"/>
              </w:rPr>
            </w:pPr>
            <w:r>
              <w:rPr>
                <w:rFonts w:ascii="Courier New" w:cs="Courier New" w:eastAsia="Courier New" w:hAnsi="Courier New"/>
                <w:sz w:val="15"/>
                <w:szCs w:val="15"/>
                <w:color w:val="auto"/>
              </w:rPr>
              <w:t>Adjusted Basis</w:t>
            </w:r>
          </w:p>
        </w:tc>
        <w:tc>
          <w:tcPr>
            <w:tcW w:w="30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47,137</w:t>
            </w:r>
          </w:p>
        </w:tc>
      </w:tr>
      <w:tr>
        <w:trPr>
          <w:trHeight w:val="170"/>
        </w:trPr>
        <w:tc>
          <w:tcPr>
            <w:tcW w:w="4360" w:type="dxa"/>
            <w:vAlign w:val="bottom"/>
          </w:tcPr>
          <w:p>
            <w:pPr>
              <w:spacing w:after="0"/>
              <w:rPr>
                <w:sz w:val="14"/>
                <w:szCs w:val="14"/>
                <w:color w:val="auto"/>
              </w:rPr>
            </w:pPr>
          </w:p>
        </w:tc>
        <w:tc>
          <w:tcPr>
            <w:tcW w:w="12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339"/>
        </w:trPr>
        <w:tc>
          <w:tcPr>
            <w:tcW w:w="4360" w:type="dxa"/>
            <w:vAlign w:val="bottom"/>
          </w:tcPr>
          <w:p>
            <w:pPr>
              <w:ind w:left="1040"/>
              <w:spacing w:after="0"/>
              <w:rPr>
                <w:sz w:val="20"/>
                <w:szCs w:val="20"/>
                <w:color w:val="auto"/>
              </w:rPr>
            </w:pPr>
            <w:r>
              <w:rPr>
                <w:rFonts w:ascii="Courier New" w:cs="Courier New" w:eastAsia="Courier New" w:hAnsi="Courier New"/>
                <w:sz w:val="15"/>
                <w:szCs w:val="15"/>
                <w:color w:val="auto"/>
              </w:rPr>
              <w:t>Selling Price</w:t>
            </w:r>
          </w:p>
        </w:tc>
        <w:tc>
          <w:tcPr>
            <w:tcW w:w="300" w:type="dxa"/>
            <w:vAlign w:val="bottom"/>
          </w:tcPr>
          <w:p>
            <w:pPr>
              <w:spacing w:after="0"/>
              <w:rPr>
                <w:sz w:val="24"/>
                <w:szCs w:val="2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10,208</w:t>
            </w:r>
          </w:p>
        </w:tc>
      </w:tr>
      <w:tr>
        <w:trPr>
          <w:trHeight w:val="170"/>
        </w:trPr>
        <w:tc>
          <w:tcPr>
            <w:tcW w:w="4360" w:type="dxa"/>
            <w:vAlign w:val="bottom"/>
          </w:tcPr>
          <w:p>
            <w:pPr>
              <w:spacing w:after="0"/>
              <w:rPr>
                <w:sz w:val="14"/>
                <w:szCs w:val="14"/>
                <w:color w:val="auto"/>
              </w:rPr>
            </w:pPr>
          </w:p>
        </w:tc>
        <w:tc>
          <w:tcPr>
            <w:tcW w:w="12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339"/>
        </w:trPr>
        <w:tc>
          <w:tcPr>
            <w:tcW w:w="4360" w:type="dxa"/>
            <w:vAlign w:val="bottom"/>
          </w:tcPr>
          <w:p>
            <w:pPr>
              <w:ind w:left="1040"/>
              <w:spacing w:after="0"/>
              <w:rPr>
                <w:sz w:val="20"/>
                <w:szCs w:val="20"/>
                <w:color w:val="auto"/>
              </w:rPr>
            </w:pPr>
            <w:r>
              <w:rPr>
                <w:rFonts w:ascii="Courier New" w:cs="Courier New" w:eastAsia="Courier New" w:hAnsi="Courier New"/>
                <w:sz w:val="15"/>
                <w:szCs w:val="15"/>
                <w:color w:val="auto"/>
              </w:rPr>
              <w:t>Loss on disposal</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36,929</w:t>
            </w:r>
          </w:p>
        </w:tc>
      </w:tr>
      <w:tr>
        <w:trPr>
          <w:trHeight w:val="170"/>
        </w:trPr>
        <w:tc>
          <w:tcPr>
            <w:tcW w:w="4360" w:type="dxa"/>
            <w:vAlign w:val="bottom"/>
          </w:tcPr>
          <w:p>
            <w:pPr>
              <w:spacing w:after="0"/>
              <w:rPr>
                <w:sz w:val="14"/>
                <w:szCs w:val="14"/>
                <w:color w:val="auto"/>
              </w:rPr>
            </w:pPr>
          </w:p>
        </w:tc>
        <w:tc>
          <w:tcPr>
            <w:tcW w:w="12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509"/>
        </w:trPr>
        <w:tc>
          <w:tcPr>
            <w:tcW w:w="4360" w:type="dxa"/>
            <w:vAlign w:val="bottom"/>
          </w:tcPr>
          <w:p>
            <w:pPr>
              <w:ind w:left="780"/>
              <w:spacing w:after="0"/>
              <w:rPr>
                <w:sz w:val="20"/>
                <w:szCs w:val="20"/>
                <w:color w:val="auto"/>
              </w:rPr>
            </w:pPr>
            <w:r>
              <w:rPr>
                <w:rFonts w:ascii="Courier New" w:cs="Courier New" w:eastAsia="Courier New" w:hAnsi="Courier New"/>
                <w:sz w:val="15"/>
                <w:szCs w:val="15"/>
                <w:color w:val="auto"/>
              </w:rPr>
              <w:t>Abandonment of leasehold improvements: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4360" w:type="dxa"/>
            <w:vAlign w:val="bottom"/>
          </w:tcPr>
          <w:p>
            <w:pPr>
              <w:ind w:left="1040"/>
              <w:spacing w:after="0"/>
              <w:rPr>
                <w:sz w:val="20"/>
                <w:szCs w:val="20"/>
                <w:color w:val="auto"/>
              </w:rPr>
            </w:pPr>
            <w:r>
              <w:rPr>
                <w:rFonts w:ascii="Courier New" w:cs="Courier New" w:eastAsia="Courier New" w:hAnsi="Courier New"/>
                <w:sz w:val="15"/>
                <w:szCs w:val="15"/>
                <w:color w:val="auto"/>
              </w:rPr>
              <w:t>Cost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20,446</w:t>
            </w:r>
          </w:p>
        </w:tc>
      </w:tr>
      <w:tr>
        <w:trPr>
          <w:trHeight w:val="170"/>
        </w:trPr>
        <w:tc>
          <w:tcPr>
            <w:tcW w:w="4360" w:type="dxa"/>
            <w:vAlign w:val="bottom"/>
          </w:tcPr>
          <w:p>
            <w:pPr>
              <w:ind w:left="1040"/>
              <w:spacing w:after="0"/>
              <w:rPr>
                <w:sz w:val="20"/>
                <w:szCs w:val="20"/>
                <w:color w:val="auto"/>
              </w:rPr>
            </w:pPr>
            <w:r>
              <w:rPr>
                <w:rFonts w:ascii="Courier New" w:cs="Courier New" w:eastAsia="Courier New" w:hAnsi="Courier New"/>
                <w:sz w:val="15"/>
                <w:szCs w:val="15"/>
                <w:color w:val="auto"/>
              </w:rPr>
              <w:t>Accumulated depreciation</w:t>
            </w:r>
          </w:p>
        </w:tc>
        <w:tc>
          <w:tcPr>
            <w:tcW w:w="3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(6,276)</w:t>
            </w:r>
          </w:p>
        </w:tc>
      </w:tr>
      <w:tr>
        <w:trPr>
          <w:trHeight w:val="170"/>
        </w:trPr>
        <w:tc>
          <w:tcPr>
            <w:tcW w:w="4360" w:type="dxa"/>
            <w:vAlign w:val="bottom"/>
          </w:tcPr>
          <w:p>
            <w:pPr>
              <w:spacing w:after="0"/>
              <w:rPr>
                <w:sz w:val="14"/>
                <w:szCs w:val="14"/>
                <w:color w:val="auto"/>
              </w:rPr>
            </w:pPr>
          </w:p>
        </w:tc>
        <w:tc>
          <w:tcPr>
            <w:tcW w:w="12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339"/>
        </w:trPr>
        <w:tc>
          <w:tcPr>
            <w:tcW w:w="4360" w:type="dxa"/>
            <w:vAlign w:val="bottom"/>
          </w:tcPr>
          <w:p>
            <w:pPr>
              <w:ind w:left="1040"/>
              <w:spacing w:after="0"/>
              <w:rPr>
                <w:sz w:val="20"/>
                <w:szCs w:val="20"/>
                <w:color w:val="auto"/>
              </w:rPr>
            </w:pPr>
            <w:r>
              <w:rPr>
                <w:rFonts w:ascii="Courier New" w:cs="Courier New" w:eastAsia="Courier New" w:hAnsi="Courier New"/>
                <w:sz w:val="15"/>
                <w:szCs w:val="15"/>
                <w:color w:val="auto"/>
              </w:rPr>
              <w:t>Loss on abandonment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14,170</w:t>
            </w:r>
          </w:p>
        </w:tc>
      </w:tr>
      <w:tr>
        <w:trPr>
          <w:trHeight w:val="170"/>
        </w:trPr>
        <w:tc>
          <w:tcPr>
            <w:tcW w:w="4360" w:type="dxa"/>
            <w:vAlign w:val="bottom"/>
          </w:tcPr>
          <w:p>
            <w:pPr>
              <w:spacing w:after="0"/>
              <w:rPr>
                <w:sz w:val="14"/>
                <w:szCs w:val="14"/>
                <w:color w:val="auto"/>
              </w:rPr>
            </w:pPr>
          </w:p>
        </w:tc>
        <w:tc>
          <w:tcPr>
            <w:tcW w:w="12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509"/>
        </w:trPr>
        <w:tc>
          <w:tcPr>
            <w:tcW w:w="4360" w:type="dxa"/>
            <w:vAlign w:val="bottom"/>
          </w:tcPr>
          <w:p>
            <w:pPr>
              <w:ind w:left="780"/>
              <w:spacing w:after="0"/>
              <w:rPr>
                <w:sz w:val="20"/>
                <w:szCs w:val="20"/>
                <w:color w:val="auto"/>
              </w:rPr>
            </w:pPr>
            <w:r>
              <w:rPr>
                <w:rFonts w:ascii="Courier New" w:cs="Courier New" w:eastAsia="Courier New" w:hAnsi="Courier New"/>
                <w:sz w:val="15"/>
                <w:szCs w:val="15"/>
                <w:color w:val="auto"/>
              </w:rPr>
              <w:t>Impairment of license agreements: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4360" w:type="dxa"/>
            <w:vAlign w:val="bottom"/>
          </w:tcPr>
          <w:p>
            <w:pPr>
              <w:ind w:left="1040"/>
              <w:spacing w:after="0"/>
              <w:rPr>
                <w:sz w:val="20"/>
                <w:szCs w:val="20"/>
                <w:color w:val="auto"/>
              </w:rPr>
            </w:pPr>
            <w:r>
              <w:rPr>
                <w:rFonts w:ascii="Courier New" w:cs="Courier New" w:eastAsia="Courier New" w:hAnsi="Courier New"/>
                <w:sz w:val="15"/>
                <w:szCs w:val="15"/>
                <w:color w:val="auto"/>
              </w:rPr>
              <w:t>Cost</w:t>
            </w:r>
          </w:p>
        </w:tc>
        <w:tc>
          <w:tcPr>
            <w:tcW w:w="12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$ 261,252</w:t>
            </w:r>
          </w:p>
        </w:tc>
      </w:tr>
      <w:tr>
        <w:trPr>
          <w:trHeight w:val="170"/>
        </w:trPr>
        <w:tc>
          <w:tcPr>
            <w:tcW w:w="4360" w:type="dxa"/>
            <w:vAlign w:val="bottom"/>
          </w:tcPr>
          <w:p>
            <w:pPr>
              <w:ind w:left="1040"/>
              <w:spacing w:after="0"/>
              <w:rPr>
                <w:sz w:val="20"/>
                <w:szCs w:val="20"/>
                <w:color w:val="auto"/>
              </w:rPr>
            </w:pPr>
            <w:r>
              <w:rPr>
                <w:rFonts w:ascii="Courier New" w:cs="Courier New" w:eastAsia="Courier New" w:hAnsi="Courier New"/>
                <w:sz w:val="15"/>
                <w:szCs w:val="15"/>
                <w:color w:val="auto"/>
              </w:rPr>
              <w:t>Accumulated amortization</w:t>
            </w:r>
          </w:p>
        </w:tc>
        <w:tc>
          <w:tcPr>
            <w:tcW w:w="3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(104,501)</w:t>
            </w:r>
          </w:p>
        </w:tc>
      </w:tr>
      <w:tr>
        <w:trPr>
          <w:trHeight w:val="170"/>
        </w:trPr>
        <w:tc>
          <w:tcPr>
            <w:tcW w:w="4360" w:type="dxa"/>
            <w:vAlign w:val="bottom"/>
          </w:tcPr>
          <w:p>
            <w:pPr>
              <w:spacing w:after="0"/>
              <w:rPr>
                <w:sz w:val="14"/>
                <w:szCs w:val="14"/>
                <w:color w:val="auto"/>
              </w:rPr>
            </w:pPr>
          </w:p>
        </w:tc>
        <w:tc>
          <w:tcPr>
            <w:tcW w:w="12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339"/>
        </w:trPr>
        <w:tc>
          <w:tcPr>
            <w:tcW w:w="4360" w:type="dxa"/>
            <w:vAlign w:val="bottom"/>
          </w:tcPr>
          <w:p>
            <w:pPr>
              <w:ind w:left="1040"/>
              <w:spacing w:after="0"/>
              <w:rPr>
                <w:sz w:val="20"/>
                <w:szCs w:val="20"/>
                <w:color w:val="auto"/>
              </w:rPr>
            </w:pPr>
            <w:r>
              <w:rPr>
                <w:rFonts w:ascii="Courier New" w:cs="Courier New" w:eastAsia="Courier New" w:hAnsi="Courier New"/>
                <w:sz w:val="15"/>
                <w:szCs w:val="15"/>
                <w:color w:val="auto"/>
              </w:rPr>
              <w:t>Loss on impairment</w:t>
            </w:r>
          </w:p>
        </w:tc>
        <w:tc>
          <w:tcPr>
            <w:tcW w:w="12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$ 156,751</w:t>
            </w:r>
          </w:p>
        </w:tc>
      </w:tr>
      <w:tr>
        <w:trPr>
          <w:trHeight w:val="170"/>
        </w:trPr>
        <w:tc>
          <w:tcPr>
            <w:tcW w:w="4360" w:type="dxa"/>
            <w:vAlign w:val="bottom"/>
          </w:tcPr>
          <w:p>
            <w:pPr>
              <w:spacing w:after="0"/>
              <w:rPr>
                <w:sz w:val="14"/>
                <w:szCs w:val="14"/>
                <w:color w:val="auto"/>
              </w:rPr>
            </w:pPr>
          </w:p>
        </w:tc>
        <w:tc>
          <w:tcPr>
            <w:tcW w:w="12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509"/>
        </w:trPr>
        <w:tc>
          <w:tcPr>
            <w:tcW w:w="4360" w:type="dxa"/>
            <w:vAlign w:val="bottom"/>
          </w:tcPr>
          <w:p>
            <w:pPr>
              <w:ind w:left="700"/>
              <w:spacing w:after="0"/>
              <w:rPr>
                <w:sz w:val="20"/>
                <w:szCs w:val="20"/>
                <w:color w:val="auto"/>
              </w:rPr>
            </w:pPr>
            <w:r>
              <w:rPr>
                <w:rFonts w:ascii="Courier New" w:cs="Courier New" w:eastAsia="Courier New" w:hAnsi="Courier New"/>
                <w:sz w:val="15"/>
                <w:szCs w:val="15"/>
                <w:color w:val="auto"/>
              </w:rPr>
              <w:t>Return of founders common stock</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4360" w:type="dxa"/>
            <w:vAlign w:val="bottom"/>
          </w:tcPr>
          <w:p>
            <w:pPr>
              <w:ind w:left="960"/>
              <w:spacing w:after="0"/>
              <w:rPr>
                <w:sz w:val="20"/>
                <w:szCs w:val="20"/>
                <w:color w:val="auto"/>
              </w:rPr>
            </w:pPr>
            <w:r>
              <w:rPr>
                <w:rFonts w:ascii="Courier New" w:cs="Courier New" w:eastAsia="Courier New" w:hAnsi="Courier New"/>
                <w:sz w:val="15"/>
                <w:szCs w:val="15"/>
                <w:color w:val="auto"/>
              </w:rPr>
              <w:t>donated to treasury stock</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9"/>
        </w:trPr>
        <w:tc>
          <w:tcPr>
            <w:tcW w:w="4360" w:type="dxa"/>
            <w:vAlign w:val="bottom"/>
          </w:tcPr>
          <w:p>
            <w:pPr>
              <w:ind w:left="780"/>
              <w:spacing w:after="0"/>
              <w:rPr>
                <w:sz w:val="20"/>
                <w:szCs w:val="20"/>
                <w:color w:val="auto"/>
              </w:rPr>
            </w:pPr>
            <w:r>
              <w:rPr>
                <w:rFonts w:ascii="Courier New" w:cs="Courier New" w:eastAsia="Courier New" w:hAnsi="Courier New"/>
                <w:sz w:val="15"/>
                <w:szCs w:val="15"/>
                <w:color w:val="auto"/>
                <w:w w:val="98"/>
              </w:rPr>
              <w:t>2,200,000 shares at cost (.01 par value)</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22,000</w:t>
            </w:r>
          </w:p>
        </w:tc>
      </w:tr>
      <w:tr>
        <w:trPr>
          <w:trHeight w:val="170"/>
        </w:trPr>
        <w:tc>
          <w:tcPr>
            <w:tcW w:w="4360" w:type="dxa"/>
            <w:vAlign w:val="bottom"/>
          </w:tcPr>
          <w:p>
            <w:pPr>
              <w:spacing w:after="0"/>
              <w:rPr>
                <w:sz w:val="14"/>
                <w:szCs w:val="14"/>
                <w:color w:val="auto"/>
              </w:rPr>
            </w:pPr>
          </w:p>
        </w:tc>
        <w:tc>
          <w:tcPr>
            <w:tcW w:w="12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961" w:right="1440" w:bottom="1440" w:gutter="0" w:footer="0" w:header="0"/>
        </w:sectPr>
      </w:pPr>
    </w:p>
    <w:bookmarkStart w:id="8" w:name="page9"/>
    <w:bookmarkEnd w:id="8"/>
    <w:p>
      <w:pPr>
        <w:ind w:left="2900"/>
        <w:spacing w:after="0"/>
        <w:rPr>
          <w:sz w:val="20"/>
          <w:szCs w:val="20"/>
          <w:color w:val="auto"/>
        </w:rPr>
      </w:pPr>
      <w:r>
        <w:rPr>
          <w:rFonts w:ascii="Courier New" w:cs="Courier New" w:eastAsia="Courier New" w:hAnsi="Courier New"/>
          <w:sz w:val="15"/>
          <w:szCs w:val="15"/>
          <w:color w:val="auto"/>
        </w:rPr>
        <w:t>ClearOne, Inc.</w:t>
      </w:r>
    </w:p>
    <w:p>
      <w:pPr>
        <w:ind w:left="2280"/>
        <w:spacing w:after="0"/>
        <w:rPr>
          <w:sz w:val="20"/>
          <w:szCs w:val="20"/>
          <w:color w:val="auto"/>
        </w:rPr>
      </w:pPr>
      <w:r>
        <w:rPr>
          <w:rFonts w:ascii="Courier New" w:cs="Courier New" w:eastAsia="Courier New" w:hAnsi="Courier New"/>
          <w:sz w:val="15"/>
          <w:szCs w:val="15"/>
          <w:color w:val="auto"/>
        </w:rPr>
        <w:t>Notes To Financial Statements</w:t>
      </w:r>
    </w:p>
    <w:p>
      <w:pPr>
        <w:ind w:left="2900"/>
        <w:spacing w:after="0"/>
        <w:rPr>
          <w:sz w:val="20"/>
          <w:szCs w:val="20"/>
          <w:color w:val="auto"/>
        </w:rPr>
      </w:pPr>
      <w:r>
        <w:rPr>
          <w:rFonts w:ascii="Courier New" w:cs="Courier New" w:eastAsia="Courier New" w:hAnsi="Courier New"/>
          <w:sz w:val="15"/>
          <w:szCs w:val="15"/>
          <w:color w:val="auto"/>
        </w:rPr>
        <w:t>April 30, 2000</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Summary of Significant Accounting Policies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ClearOne, Inc. (the Company) was a development stage enterprise, up through April 30, 1999. The Company has undertaken the development and marketing of new technologies in the field of audio conferencing. The financial statements and notes are representations of the Company's management, who is responsible for their integrity and objectivity. The accounting policies of the Company are in accordance with generally accepted accounting principles and have been consistently applied in preparing these financial statements.</w:t>
      </w:r>
    </w:p>
    <w:p>
      <w:pPr>
        <w:spacing w:after="0" w:line="177"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The Company initially incorporated in New Jersey. The Company's founders and attorney shortly thereafter decided it would be better to conduct business under Massachusetts law. The Company transferred its stock subscriptions and related deposits for stock to a Massachusetts corporation as of May 6, 1997, the date of incorporation in Massachusetts. The Company was originally incorporated under the name, InterVision Corporation, Inc., and then changed its name to ClearOne, Inc.</w:t>
      </w:r>
    </w:p>
    <w:p>
      <w:pPr>
        <w:spacing w:after="0" w:line="177"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Company designs, markets, and manufactures high performance telecommunications equipment. ClearOne, Inc. is a privately held company located in Woburn, Massachusetts.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The preparation of the financial statements in conformity with generally accepted accounting principles requires management to make estimates and assumptions that effect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Revenues from product sales are recognized when earned. For financial reporting purposes, revenues generated by sales to distributors and retailers under agreements allowing certain rights of return may be deferred until the product is sold by the distributor or retailer.</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Revenues from licensing of products will be recognized upon contract execution, provided all shipment and significant obligations have been met, fees are fixed or determinable and collection is probable. Revenue, if any, from maintenance contracts and upgrade agreements will be recognized ratably over the contract and upgrade agreement. Revenue, if any, from consulting and training is recognized upon performance.</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Cash Equivalents, and Short Term Investments</w:t>
      </w:r>
    </w:p>
    <w:p>
      <w:pPr>
        <w:spacing w:after="0" w:line="175"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The Company considers all highly liquid debt instruments with an original maturity of three months or less to be cash equivalents. Management determines</w:t>
      </w:r>
    </w:p>
    <w:p>
      <w:pPr>
        <w:spacing w:after="0" w:line="34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622" w:right="1440" w:bottom="1440" w:gutter="0" w:footer="0" w:header="0"/>
        </w:sectPr>
      </w:pPr>
    </w:p>
    <w:bookmarkStart w:id="9" w:name="page10"/>
    <w:bookmarkEnd w:id="9"/>
    <w:p>
      <w:pPr>
        <w:jc w:val="both"/>
        <w:ind w:right="3179"/>
        <w:spacing w:after="0" w:line="238" w:lineRule="auto"/>
        <w:rPr>
          <w:sz w:val="20"/>
          <w:szCs w:val="20"/>
          <w:color w:val="auto"/>
        </w:rPr>
      </w:pPr>
      <w:r>
        <w:rPr>
          <w:rFonts w:ascii="Courier New" w:cs="Courier New" w:eastAsia="Courier New" w:hAnsi="Courier New"/>
          <w:sz w:val="15"/>
          <w:szCs w:val="15"/>
          <w:color w:val="auto"/>
        </w:rPr>
        <w:t>the appropriate classification of debt and equity securities at the time of purchase and reevaluates the classification at each reporting date. During the year ended April 30,2000, the Company classified its investments as available-for-sale. The cost of the Company's investments is determined based upon specific identification. Investments classified as available-for-sale are reported at fair value with unrealized gains and losses, net of related tax, if any, recorded as a separate component of stockholder's equity. At April 30, 2000, the Company's investments classified as available-for-sale totaled zero. Cash equivalents include a $60,000 good faith deposit returnable on demand by Company from a foreign contract manufacturer. The deposit is presented at cost and has subsequently been returned to Company on June 30, 2000.</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Inventory</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Inventory is stated at the lower of cost using the first-in, first-out method, or market, defined as net realizable value. At April 30, 2000 inventory consists of raw materials of $485,499 and finished goods of $164,852 valued at net realizable value. The amount reported as inventory at April 30, 2000 is after a write down of $91,180 to reflect market value as net realizable value. The amount was charged to other income and expenses since the Company entered into a sale of the bulk of its inventory on July 5, 2000, at a price that is deemed to be the net realizable value.</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Property and equipment are stated at cost less accumulated depreciation and amortization. Depreciation and amortization are computed using the straight-line method based upon the shorter of the estimated useful lives, ranging from three to five years or the lease term of the respective assets as follows:</w:t>
      </w:r>
    </w:p>
    <w:p>
      <w:pPr>
        <w:spacing w:after="0" w:line="176"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Furniture and fixtures 5 years, Computer and testing equipment 3 years, and leasehold improvements 5 years.</w:t>
      </w:r>
    </w:p>
    <w:p>
      <w:pPr>
        <w:spacing w:after="0" w:line="176"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Molds and dies have been developed for products, and their cost of $156,303 is included in equipment. The cost has not been depreciated due to the fact that the molds and dies have not been placed into service since use has not been considered significant.</w:t>
      </w:r>
    </w:p>
    <w:p>
      <w:pPr>
        <w:spacing w:after="0" w:line="176"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Leasehold improvements totaling $20,446 (original cost) abandoned at prior locations have been written off during the year ended April 30, 2000.</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Developed Software and Product Design</w:t>
      </w:r>
    </w:p>
    <w:p>
      <w:pPr>
        <w:spacing w:after="0" w:line="175" w:lineRule="exact"/>
        <w:rPr>
          <w:sz w:val="20"/>
          <w:szCs w:val="20"/>
          <w:color w:val="auto"/>
        </w:rPr>
      </w:pPr>
    </w:p>
    <w:p>
      <w:pPr>
        <w:jc w:val="both"/>
        <w:ind w:right="3179"/>
        <w:spacing w:after="0" w:line="258" w:lineRule="auto"/>
        <w:rPr>
          <w:sz w:val="20"/>
          <w:szCs w:val="20"/>
          <w:color w:val="auto"/>
        </w:rPr>
      </w:pPr>
      <w:r>
        <w:rPr>
          <w:rFonts w:ascii="Courier New" w:cs="Courier New" w:eastAsia="Courier New" w:hAnsi="Courier New"/>
          <w:sz w:val="14"/>
          <w:szCs w:val="14"/>
          <w:color w:val="auto"/>
        </w:rPr>
        <w:t>Research and development costs are charged to operations as incurred. In accordance with FAS-86, costs incurred to develop software that will be sold, leased, or otherwise marketed by the Company are capitalized after technological feasibility has been established and through the period of general availability of the product. During the year ended April 30, 2000, the Company had none.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License Agreements</w:t>
      </w:r>
    </w:p>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Company has purchased certain software licensing agreements for software and module components to be included in their products. Management has capitalized the license agreements and amortizes them over the useful lives of 5 years. Amortization of license agreements for the year ended April 30, 2000 equaled $52,250.</w:t>
      </w:r>
    </w:p>
    <w:p>
      <w:pPr>
        <w:spacing w:after="0" w:line="178"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The carrying value of the long term assets such as license agreements that are granted to the company are reviewed on an annual basis for the existence of facts or circumstances both internally and externally that may suggest impairment. The Company determined as of April 30, 2000, that an impairment had occurred based on gross expected future cash flows being insignificant, if any, since the license agreements significantly pertain to a suspended product. The cash flow estimates used to determine the impairment contain management's best estimate using appropriate and customary assumptions and projections as of April 30, 2000. The amount of the impairment was $156,751.</w:t>
      </w:r>
    </w:p>
    <w:p>
      <w:pPr>
        <w:spacing w:after="0" w:line="173"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627" w:right="1440" w:bottom="1440" w:gutter="0" w:footer="0" w:header="0"/>
        </w:sectPr>
      </w:pPr>
    </w:p>
    <w:bookmarkStart w:id="10" w:name="page11"/>
    <w:bookmarkEnd w:id="10"/>
    <w:p>
      <w:pPr>
        <w:jc w:val="both"/>
        <w:ind w:right="3179"/>
        <w:spacing w:after="0" w:line="238" w:lineRule="auto"/>
        <w:rPr>
          <w:sz w:val="20"/>
          <w:szCs w:val="20"/>
          <w:color w:val="auto"/>
        </w:rPr>
      </w:pPr>
      <w:r>
        <w:rPr>
          <w:rFonts w:ascii="Courier New" w:cs="Courier New" w:eastAsia="Courier New" w:hAnsi="Courier New"/>
          <w:sz w:val="15"/>
          <w:szCs w:val="15"/>
          <w:color w:val="auto"/>
        </w:rPr>
        <w:t>On March 24, 1999, the Company granted a perpetual, worldwide, irrevocable, non-exclusive and non-transferable license to VideoServer, Inc., now called Ezenia, Inc., for certain software in source and object code form, and reference hardware design, except as part of a sale of the portion of the Company's business associated with software or reference design, or a merger or sale of all the stock or assets of either the Company or VideoServer, without the prior consent of the other party.</w:t>
      </w:r>
    </w:p>
    <w:p>
      <w:pPr>
        <w:spacing w:after="0" w:line="177"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The license is to use and modify software and the reference design, in all forms, including but not limited to source code and object code forms. Ezenia, Inc. and its subsidiaries may use the software and the reference design for the purpose of creating conferencing products as well as making, using, selling and licensing such products. Ezenia, Inc. must restrict access to employees, consultants and contractors who need to know. Ezenia's products may be demonstrated, loaned, marketed, sold and or sub-licensed without restriction either or through its channels of distribution.</w:t>
      </w:r>
    </w:p>
    <w:p>
      <w:pPr>
        <w:spacing w:after="0" w:line="178"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The Company further grants to Ezenia, Inc. a perpetual, worldwide, irrevocable, non-exclusive, non-transferable right and license to use the software internally and to sub-license (under legally enforceable agreements) and distribute the software in object code form, to end users and/or resellers, as part of or in conjunction with the Ezenia products except as part of a sale of the portion of the Company's business associated with the software or reference design or a merger or sale of substantially all of the stock or assets of either the company or Ezenia without the prior consent of the other party which consent shall not be unreasonable withheld. Ezenia may also sub-license the source code to the software provided it is in conjunction with or as part of the Ezenia products (hardware and software) and where in circumstances Ezenia must place source code into escrow as part of a maintenance or support agreement.</w:t>
      </w:r>
    </w:p>
    <w:p>
      <w:pPr>
        <w:spacing w:after="0" w:line="166"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Ezenia, Inc. will be entitled to a finder's fee of 6% from any referrals that obtain rights to the reference design or software for the purpose of creating a product from the company as a result of a demonstration of the product. In consideration of the license rights granted by the company to Ezenia, Ezenia paid a license fee of $400,000 that was reflected as unearned license revenue as of April 30, 1999 until shipment and obligations had been met. On August 5, 1999, the Company had fulfilled its shipment and other contractual obligations; the Company was able to reflect the $400,00 as license revenue. Ezenia will also pay $4,000 for each hardware unit ordered, After 180 days of free software upgrade, the Company will receive $25,000 per year for any and all updates purchased by Ezenia. As of April 30, 2000, The Company had received zero dollars under this agreement. The Company agrees to indemnify, defend and hold Ezenia harmless from and against any claims, actions, or demands alleging that the software in its unmodified form directly infringes or misappropriates any U.S. patent, trademark, copyright, trade secret and proprietary right of any third party. Breach of contract for any cause or action under this agreement, will be solely limited to the actual dollar amount that either party received from the other as a result of this agreement.</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Intangible Assets</w:t>
      </w:r>
    </w:p>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Intangible assets consist of pending trademarks and patents. The costs incurred have been capitalized and will be amortized over the useful life of the trademarks and patents once they have been approved.</w:t>
      </w:r>
    </w:p>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Management has deemed that the pending trademarks have no future use due to the sale of some of the Company's assets as described in Note 12. The cost of $5,884 for pending trademarks has been written off as a charge to loss on asset dispositions during the year ended April 30, 2000.</w:t>
      </w:r>
    </w:p>
    <w:p>
      <w:pPr>
        <w:sectPr>
          <w:pgSz w:w="11900" w:h="16838" w:orient="portrait"/>
          <w:cols w:equalWidth="0" w:num="1">
            <w:col w:w="10219"/>
          </w:cols>
          <w:pgMar w:left="240" w:top="627" w:right="1440" w:bottom="1440" w:gutter="0" w:footer="0" w:header="0"/>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5"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5"/>
          <w:szCs w:val="15"/>
          <w:color w:val="auto"/>
        </w:rPr>
        <w:t>The principal items accounting for the benefits computed using the United States income taxes are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tabs>
          <w:tab w:leader="none" w:pos="1140" w:val="left"/>
          <w:tab w:leader="none" w:pos="1920" w:val="left"/>
        </w:tabs>
        <w:rPr>
          <w:sz w:val="20"/>
          <w:szCs w:val="20"/>
          <w:color w:val="auto"/>
        </w:rPr>
      </w:pPr>
      <w:r>
        <w:rPr>
          <w:rFonts w:ascii="Courier New" w:cs="Courier New" w:eastAsia="Courier New" w:hAnsi="Courier New"/>
          <w:sz w:val="15"/>
          <w:szCs w:val="15"/>
          <w:color w:val="auto"/>
        </w:rPr>
        <w:t>differences</w:t>
        <w:tab/>
        <w:t>between</w:t>
      </w:r>
      <w:r>
        <w:rPr>
          <w:sz w:val="20"/>
          <w:szCs w:val="20"/>
          <w:color w:val="auto"/>
        </w:rPr>
        <w:tab/>
      </w:r>
      <w:r>
        <w:rPr>
          <w:rFonts w:ascii="Courier New" w:cs="Courier New" w:eastAsia="Courier New" w:hAnsi="Courier New"/>
          <w:sz w:val="14"/>
          <w:szCs w:val="14"/>
          <w:color w:val="auto"/>
        </w:rPr>
        <w:t>the income tax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statutory rate and the provision for</w:t>
      </w:r>
    </w:p>
    <w:p>
      <w:pPr>
        <w:spacing w:after="0" w:line="375" w:lineRule="exact"/>
        <w:rPr>
          <w:sz w:val="20"/>
          <w:szCs w:val="20"/>
          <w:color w:val="auto"/>
        </w:rPr>
      </w:pPr>
    </w:p>
    <w:p>
      <w:pPr>
        <w:sectPr>
          <w:pgSz w:w="11900" w:h="16838" w:orient="portrait"/>
          <w:cols w:equalWidth="0" w:num="2">
            <w:col w:w="3700" w:space="160"/>
            <w:col w:w="6359"/>
          </w:cols>
          <w:pgMar w:left="240" w:top="627" w:right="1440" w:bottom="1440" w:gutter="0" w:footer="0" w:header="0"/>
          <w:type w:val="continuous"/>
        </w:sectPr>
      </w:pPr>
    </w:p>
    <w:p>
      <w:pPr>
        <w:spacing w:after="0" w:line="144" w:lineRule="exact"/>
        <w:rPr>
          <w:sz w:val="20"/>
          <w:szCs w:val="20"/>
          <w:color w:val="auto"/>
        </w:rPr>
      </w:pPr>
    </w:p>
    <w:p>
      <w:pPr>
        <w:ind w:left="6780"/>
        <w:spacing w:after="0"/>
        <w:rPr>
          <w:sz w:val="20"/>
          <w:szCs w:val="20"/>
          <w:color w:val="auto"/>
        </w:rPr>
      </w:pPr>
      <w:r>
        <w:rPr>
          <w:rFonts w:ascii="Courier New" w:cs="Courier New" w:eastAsia="Courier New" w:hAnsi="Courier New"/>
          <w:sz w:val="14"/>
          <w:szCs w:val="14"/>
          <w:color w:val="auto"/>
        </w:rPr>
        <w:t>F-9</w:t>
      </w:r>
    </w:p>
    <w:p>
      <w:pPr>
        <w:sectPr>
          <w:pgSz w:w="11900" w:h="16838" w:orient="portrait"/>
          <w:cols w:equalWidth="0" w:num="1">
            <w:col w:w="10219"/>
          </w:cols>
          <w:pgMar w:left="240" w:top="627" w:right="1440"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April 30, 2000</w:t>
            </w:r>
          </w:p>
        </w:tc>
      </w:tr>
      <w:tr>
        <w:trPr>
          <w:trHeight w:val="339"/>
        </w:trPr>
        <w:tc>
          <w:tcPr>
            <w:tcW w:w="4480" w:type="dxa"/>
            <w:vAlign w:val="bottom"/>
          </w:tcPr>
          <w:p>
            <w:pPr>
              <w:spacing w:after="0"/>
              <w:rPr>
                <w:sz w:val="20"/>
                <w:szCs w:val="20"/>
                <w:color w:val="auto"/>
              </w:rPr>
            </w:pPr>
            <w:r>
              <w:rPr>
                <w:rFonts w:ascii="Courier New" w:cs="Courier New" w:eastAsia="Courier New" w:hAnsi="Courier New"/>
                <w:sz w:val="15"/>
                <w:szCs w:val="15"/>
                <w:color w:val="auto"/>
              </w:rPr>
              <w:t>Federal tax benefit at statutory rate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(442,615)</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State tax benefit, net of federal effect</w:t>
            </w:r>
          </w:p>
        </w:tc>
        <w:tc>
          <w:tcPr>
            <w:tcW w:w="28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(123,672)</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Research and experimentation credits</w:t>
            </w:r>
          </w:p>
        </w:tc>
        <w:tc>
          <w:tcPr>
            <w:tcW w:w="28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  )</w:t>
            </w:r>
          </w:p>
        </w:tc>
      </w:tr>
      <w:tr>
        <w:trPr>
          <w:trHeight w:val="339"/>
        </w:trPr>
        <w:tc>
          <w:tcPr>
            <w:tcW w:w="4480" w:type="dxa"/>
            <w:vAlign w:val="bottom"/>
          </w:tcPr>
          <w:p>
            <w:pPr>
              <w:spacing w:after="0"/>
              <w:rPr>
                <w:sz w:val="20"/>
                <w:szCs w:val="20"/>
                <w:color w:val="auto"/>
              </w:rPr>
            </w:pPr>
            <w:r>
              <w:rPr>
                <w:rFonts w:ascii="Courier New" w:cs="Courier New" w:eastAsia="Courier New" w:hAnsi="Courier New"/>
                <w:sz w:val="15"/>
                <w:szCs w:val="15"/>
                <w:color w:val="auto"/>
              </w:rPr>
              <w:t>Unutilized net operating losses</w:t>
            </w:r>
          </w:p>
        </w:tc>
        <w:tc>
          <w:tcPr>
            <w:tcW w:w="280" w:type="dxa"/>
            <w:vAlign w:val="bottom"/>
          </w:tcPr>
          <w:p>
            <w:pPr>
              <w:spacing w:after="0"/>
              <w:rPr>
                <w:sz w:val="24"/>
                <w:szCs w:val="2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566,287</w:t>
            </w:r>
          </w:p>
        </w:tc>
      </w:tr>
      <w:tr>
        <w:trPr>
          <w:trHeight w:val="170"/>
        </w:trPr>
        <w:tc>
          <w:tcPr>
            <w:tcW w:w="4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509"/>
        </w:trPr>
        <w:tc>
          <w:tcPr>
            <w:tcW w:w="4480" w:type="dxa"/>
            <w:vAlign w:val="bottom"/>
          </w:tcPr>
          <w:p>
            <w:pPr>
              <w:spacing w:after="0"/>
              <w:rPr>
                <w:sz w:val="20"/>
                <w:szCs w:val="20"/>
                <w:color w:val="auto"/>
              </w:rPr>
            </w:pPr>
            <w:r>
              <w:rPr>
                <w:rFonts w:ascii="Courier New" w:cs="Courier New" w:eastAsia="Courier New" w:hAnsi="Courier New"/>
                <w:sz w:val="15"/>
                <w:szCs w:val="15"/>
                <w:color w:val="auto"/>
              </w:rPr>
              <w:t>Net deferred tax assets comprise:</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9"/>
        </w:trPr>
        <w:tc>
          <w:tcPr>
            <w:tcW w:w="4480" w:type="dxa"/>
            <w:vAlign w:val="bottom"/>
          </w:tcPr>
          <w:p>
            <w:pPr>
              <w:spacing w:after="0"/>
              <w:rPr>
                <w:sz w:val="20"/>
                <w:szCs w:val="20"/>
                <w:color w:val="auto"/>
              </w:rPr>
            </w:pPr>
            <w:r>
              <w:rPr>
                <w:rFonts w:ascii="Courier New" w:cs="Courier New" w:eastAsia="Courier New" w:hAnsi="Courier New"/>
                <w:sz w:val="15"/>
                <w:szCs w:val="15"/>
                <w:color w:val="auto"/>
              </w:rPr>
              <w:t>Net operating loss carry forwards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2,677,112</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Research and experimentation credit carry forwards</w:t>
            </w:r>
          </w:p>
        </w:tc>
        <w:tc>
          <w:tcPr>
            <w:tcW w:w="2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175,408</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Valuation allowance</w:t>
            </w:r>
          </w:p>
        </w:tc>
        <w:tc>
          <w:tcPr>
            <w:tcW w:w="28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(2,852,520)</w:t>
            </w:r>
          </w:p>
        </w:tc>
      </w:tr>
      <w:tr>
        <w:trPr>
          <w:trHeight w:val="170"/>
        </w:trPr>
        <w:tc>
          <w:tcPr>
            <w:tcW w:w="4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Net deferred tax assets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Due to the uncertainty surrounding the realization of the deferred tax assets in the future tax returns, the Company has placed a valuation allowance against its otherwise recognizable net deferred tax assets. Should the Company achieve profitability, these deferred tax assets may be available to offset future income tax liabilities and expenses.</w:t>
      </w:r>
    </w:p>
    <w:p>
      <w:pPr>
        <w:sectPr>
          <w:pgSz w:w="11900" w:h="16838" w:orient="portrait"/>
          <w:cols w:equalWidth="0" w:num="1">
            <w:col w:w="10219"/>
          </w:cols>
          <w:pgMar w:left="240" w:top="622" w:right="1440" w:bottom="1440" w:gutter="0" w:footer="0" w:header="0"/>
        </w:sectPr>
      </w:pPr>
    </w:p>
    <w:p>
      <w:pPr>
        <w:spacing w:after="0" w:line="173" w:lineRule="exact"/>
        <w:rPr>
          <w:sz w:val="20"/>
          <w:szCs w:val="20"/>
          <w:color w:val="auto"/>
        </w:rPr>
      </w:pPr>
    </w:p>
    <w:p>
      <w:pPr>
        <w:spacing w:after="0"/>
        <w:tabs>
          <w:tab w:leader="none" w:pos="3400" w:val="left"/>
        </w:tabs>
        <w:rPr>
          <w:sz w:val="20"/>
          <w:szCs w:val="20"/>
          <w:color w:val="auto"/>
        </w:rPr>
      </w:pPr>
      <w:r>
        <w:rPr>
          <w:rFonts w:ascii="Courier New" w:cs="Courier New" w:eastAsia="Courier New" w:hAnsi="Courier New"/>
          <w:sz w:val="15"/>
          <w:szCs w:val="15"/>
          <w:color w:val="auto"/>
        </w:rPr>
        <w:t>At April 30, 2000 the Company had the</w:t>
      </w:r>
      <w:r>
        <w:rPr>
          <w:sz w:val="20"/>
          <w:szCs w:val="20"/>
          <w:color w:val="auto"/>
        </w:rPr>
        <w:tab/>
      </w:r>
      <w:r>
        <w:rPr>
          <w:rFonts w:ascii="Courier New" w:cs="Courier New" w:eastAsia="Courier New" w:hAnsi="Courier New"/>
          <w:sz w:val="14"/>
          <w:szCs w:val="14"/>
          <w:color w:val="auto"/>
        </w:rPr>
        <w:t>following</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carry</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forwards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available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5" w:lineRule="exact"/>
        <w:rPr>
          <w:sz w:val="20"/>
          <w:szCs w:val="20"/>
          <w:color w:val="auto"/>
        </w:rPr>
      </w:pPr>
    </w:p>
    <w:p>
      <w:pPr>
        <w:sectPr>
          <w:pgSz w:w="11900" w:h="16838" w:orient="portrait"/>
          <w:cols w:equalWidth="0" w:num="5">
            <w:col w:w="4220" w:space="180"/>
            <w:col w:w="440" w:space="180"/>
            <w:col w:w="700" w:space="180"/>
            <w:col w:w="780" w:space="180"/>
            <w:col w:w="3359"/>
          </w:cols>
          <w:pgMar w:left="240" w:top="62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reduce future taxable income and income taxes:</w:t>
      </w:r>
    </w:p>
    <w:p>
      <w:pPr>
        <w:sectPr>
          <w:pgSz w:w="11900" w:h="16838" w:orient="portrait"/>
          <w:cols w:equalWidth="0" w:num="1">
            <w:col w:w="10219"/>
          </w:cols>
          <w:pgMar w:left="240" w:top="622" w:right="1440" w:bottom="1440" w:gutter="0" w:footer="0" w:header="0"/>
          <w:type w:val="continuous"/>
        </w:sect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operating loss carry forwards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experimentation credit carry forwards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spacing w:after="0" w:line="260" w:lineRule="auto"/>
        <w:rPr>
          <w:sz w:val="20"/>
          <w:szCs w:val="20"/>
          <w:color w:val="auto"/>
        </w:rPr>
      </w:pPr>
      <w:r>
        <w:rPr>
          <w:rFonts w:ascii="Courier New" w:cs="Courier New" w:eastAsia="Courier New" w:hAnsi="Courier New"/>
          <w:sz w:val="14"/>
          <w:szCs w:val="14"/>
          <w:color w:val="auto"/>
        </w:rPr>
        <w:t>Federal $ 6,154,281 $   124,240</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State</w:t>
      </w:r>
    </w:p>
    <w:p>
      <w:pPr>
        <w:spacing w:after="0" w:line="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$ 6,152,913</w:t>
      </w:r>
    </w:p>
    <w:p>
      <w:pPr>
        <w:spacing w:after="0" w:line="5" w:lineRule="exact"/>
        <w:rPr>
          <w:sz w:val="20"/>
          <w:szCs w:val="20"/>
          <w:color w:val="auto"/>
        </w:rPr>
      </w:pPr>
    </w:p>
    <w:p>
      <w:pPr>
        <w:jc w:val="center"/>
        <w:ind w:right="3359"/>
        <w:spacing w:after="0"/>
        <w:tabs>
          <w:tab w:leader="none" w:pos="3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51,168</w:t>
      </w:r>
    </w:p>
    <w:p>
      <w:pPr>
        <w:spacing w:after="0" w:line="175" w:lineRule="exact"/>
        <w:rPr>
          <w:sz w:val="20"/>
          <w:szCs w:val="20"/>
          <w:color w:val="auto"/>
        </w:rPr>
      </w:pPr>
    </w:p>
    <w:p>
      <w:pPr>
        <w:sectPr>
          <w:pgSz w:w="11900" w:h="16838" w:orient="portrait"/>
          <w:cols w:equalWidth="0" w:num="3">
            <w:col w:w="4400" w:space="260"/>
            <w:col w:w="980" w:space="260"/>
            <w:col w:w="4319"/>
          </w:cols>
          <w:pgMar w:left="240" w:top="622" w:right="1440" w:bottom="1440" w:gutter="0" w:footer="0" w:header="0"/>
          <w:type w:val="continuous"/>
        </w:sect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federal and state net operating loss carry forwards expire through the year 2020, and the research and experimentation credit carry forwards expire through the year 2019.</w:t>
      </w:r>
    </w:p>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For federal and state tax purposes, the Company's net operating loss and research and experimentation credit carry forwards could be subject to certain limitations on annual utilization if certain changes in ownership were to occur, as defined by federal and state tax laws.</w:t>
      </w:r>
    </w:p>
    <w:p>
      <w:pPr>
        <w:spacing w:after="0" w:line="176"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The Company has a current tax liability to the State of Massachusetts payable in the amount of $456 due to the jurisdiction's minimum excise tax.</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Concentration of Credit Risk and Uncertainties</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Financial instruments that potentially subject the Company to significant concentrations of risk consist principally of cash, cash equivalents, short-term investments and trade accounts receivable. The Company places its cash, cash equivalents, and short-term investments in market rate accounts with reputable financial institutions. At times, such deposits in the United States may be in excess of FDIC insured limits. Cash equivalents may present risk of changes in value because of interest rate changes.</w:t>
      </w:r>
    </w:p>
    <w:p>
      <w:pPr>
        <w:spacing w:after="0" w:line="177"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trade accounts receivable risk is limited due to the breath of entities comprising the Company's direct customer base and that of its distributors and also their dispersion across different industries and geographical regions. The Company evaluates the credit worthiness of customers, as appropriate and maintains an adequate allowance for potential uncollectible accounts.</w:t>
      </w:r>
    </w:p>
    <w:p>
      <w:pPr>
        <w:spacing w:after="0" w:line="342"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19"/>
          </w:cols>
          <w:pgMar w:left="240" w:top="622" w:right="1440" w:bottom="1440" w:gutter="0" w:footer="0" w:header="0"/>
          <w:type w:val="continuous"/>
        </w:sectPr>
      </w:pPr>
    </w:p>
    <w:bookmarkStart w:id="12" w:name="page13"/>
    <w:bookmarkEnd w:id="12"/>
    <w:p>
      <w:pPr>
        <w:jc w:val="both"/>
        <w:ind w:right="3179"/>
        <w:spacing w:after="0" w:line="238" w:lineRule="auto"/>
        <w:rPr>
          <w:sz w:val="20"/>
          <w:szCs w:val="20"/>
          <w:color w:val="auto"/>
        </w:rPr>
      </w:pPr>
      <w:r>
        <w:rPr>
          <w:rFonts w:ascii="Courier New" w:cs="Courier New" w:eastAsia="Courier New" w:hAnsi="Courier New"/>
          <w:sz w:val="15"/>
          <w:szCs w:val="15"/>
          <w:color w:val="auto"/>
        </w:rPr>
        <w:t>The Company has entered into numerous distribution agreements both domestically and internationally in order to obtain distribution channels for its products. These agreements generally provide lower and favorable pricing arrangements in comparison to a direct or retail sale. These agreements provide the distributors in some cases, advertising allowances, volume discounts, payment discounts, pricing protection for a limited amount of time in most cases 60 days notice and standard warranty guarantee, one year domestically and in some cases eighteen months internationally. Some of the agreements require minimum annual sales to maintain favorable pricing terms. All agreements are subject to annual review and contain release clauses for non-performance without penalty for early terminations.</w:t>
      </w:r>
    </w:p>
    <w:p>
      <w:pPr>
        <w:spacing w:after="0" w:line="181"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Company has entered into an international distribution agreement that calls for all payments to be made by the distributor in the currency of the New Taiwan dollar. As of April 30, 2000, there is immaterial exposure associated with this agreement.</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carrying amount for the Company's financial instruments, including cash and cash equivalents, accounts receivable, accounts payable and accrued liabilities approximate fair value because of the general immediate or short term maturity of these financial instruments.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For Stock-Based Compensation</w:t>
      </w:r>
    </w:p>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Statement of Financial Accounting Standards (SFAS) No. 123, "Accounting for Stock-Based Compensation", encourages but does not require, companies to record compensation cost for stock-based employee compensation plans at fair value. The Company has chosen to continue to account for stock-based compensation using the intrinsic value method prescribed in</w:t>
      </w:r>
    </w:p>
    <w:p>
      <w:pPr>
        <w:spacing w:after="0" w:line="178"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Accounting Principles Board Opinion No. 25, "Accounting for Stock Issued to Employees," and related interpretations. Accordingly, the compensation cost for stock options is measured as the excess, if any, of the quoted market price of the Company's stock at the date of the grant over the amount an employee or consultant must pay to acquire the stock. As of April 30, 2000, there has been no compensation expense recognized because the grant price exceeds the market price.</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w:t>
      </w:r>
    </w:p>
    <w:p>
      <w:pPr>
        <w:spacing w:after="0" w:line="175"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Advertising costs amounting to $113,577 for the year ended April 30, 2000 were charged to marketing and selling as incurred.</w:t>
      </w:r>
    </w:p>
    <w:p>
      <w:pPr>
        <w:spacing w:after="0" w:line="176"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The Company has entered into a co-marketing agreement with a publicly traded company to cooperate in the development of teleconferencing solutions through joint use of both companies' products. This agreement was for one year, beginning April 23, 1998 and ending on April 23, 1999, with terms for an automatic annual renewal. Both companies agreed to create joint marketing resources to market their bundled products. These efforts include, but are not limited to: joint training sessions, application notes, demonstration programs, road-show promotions, trade show exhibits, advertising, trade journal articles, and demonstration units. This agreement has been terminated as of July 5, 2000.</w:t>
      </w:r>
    </w:p>
    <w:p>
      <w:pPr>
        <w:spacing w:after="0" w:line="331"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797"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Warranty Cost and Reserve</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The Company generally provides a warranty for up to one year on domestic sales and eighteen months for international sales at no extra charge. A reserve is recorded for probable costs in connection with warranties based on Company's experience. The accrued warranty costs were $3,949 for the year ended April 30, 2000. Warranty cost directly charged to cost of goods sold were $6,677 for the year ended April 30, 2000.</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Commissions</w:t>
      </w:r>
    </w:p>
    <w:p>
      <w:pPr>
        <w:spacing w:after="0" w:line="175"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Effective October 1, 1999, the Company entered into a Full Service Representative Agreement with USA Marketing Group, Inc. in which the Representative would be its exclusive sales representative to solicit orders on all of the Company's product in the Continental United States, for 5% of net invoice price of products. The original agreement was effective October 1, 1999 with either party able to cancel the agreement by giving 60 days advance notice to the other party. On January 22, 2000, the Company and the Representative amended the agreement so that the Representative starting March 1, 2000 would be paid a monthly consulting fee of $2,500 for the period March 1, 2000 through June 1, 2000 and an advance commission of $2,500 a month from the period March 1, 2000 through June 1, 2000. The Company will deduct the advance commission from the monthly commission due. During the year ended April 30, 2000, all fees paid to the Representative for $10,598 have been expensed to marketing and selling. As of June 1, 2000 either party can again cancel the agreement by giving 60 days advance notice to the other party. As of June 30, 2000, the Company verbally notified Representative that the agreement was terminated.</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Revolving Line of Credit</w:t>
      </w:r>
    </w:p>
    <w:p>
      <w:pPr>
        <w:spacing w:after="0" w:line="175" w:lineRule="exact"/>
        <w:rPr>
          <w:sz w:val="20"/>
          <w:szCs w:val="20"/>
          <w:color w:val="auto"/>
        </w:rPr>
      </w:pPr>
    </w:p>
    <w:p>
      <w:pPr>
        <w:jc w:val="both"/>
        <w:ind w:right="3179"/>
        <w:spacing w:after="0" w:line="239" w:lineRule="auto"/>
        <w:rPr>
          <w:sz w:val="20"/>
          <w:szCs w:val="20"/>
          <w:color w:val="auto"/>
        </w:rPr>
      </w:pPr>
      <w:r>
        <w:rPr>
          <w:rFonts w:ascii="Courier New" w:cs="Courier New" w:eastAsia="Courier New" w:hAnsi="Courier New"/>
          <w:sz w:val="15"/>
          <w:szCs w:val="15"/>
          <w:color w:val="auto"/>
        </w:rPr>
        <w:t>At April 30, 2000, the Company has a $3,500,000 revolving line of credit with a stockholder of which $2,892,000 was outstanding and payable to the stockholder. Available credit at April 30, 2000 was $608,000. The agreement is collateratized by inventory, chattel paper, equipment, general intangibles and fixtures and insurance proceeds associated with these described items. All rents, monies, payments, other rights arising out of a sale, lease or other disposition of any of the property described above is considered substitute collateral. Starting October 1, 1999, all interest due on the outstanding line of credit was paid and further interest is to be calculated monthly on the outstanding line as of the first day of the month. The revolving line of credit bears a fixed interest rate at 8.5%. The Company may borrow against the line of credit until the stockholder makes demand. At that time, the full amount of the revolving line of credit will be due and payable. The revolving line of credit contains certain financial covenants including events of default which allow the stockholder other collateral including the right of set off against checking, savings and other investment accounts of the corporation, continuing security agreements which remain in effect even though all or any part of the indebtedness is paid in full and even though for a period of time the corporation may not be indebted to stockholder; the Company cannot bulk sale assets, transfer assets, assign collateral or borrow without prior written consent of stockholder which consent would not be unreasonably withheld. This revolving line of credit is senior in terms of collateral to all preferred and common stock issued, outstanding and authorized.</w:t>
      </w:r>
    </w:p>
    <w:p>
      <w:pPr>
        <w:spacing w:after="0" w:line="176"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As a result of obtaining this revolving line of credit from a stockholder the existing demand note payable from the same stockholder for $2,150,000 as of September 1, 1999 has been converted to this new revolving line of credit. Cash paid for interest was $195,104 in 2000.</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Related Party Transactions</w:t>
      </w:r>
    </w:p>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A stockholder from Pinway Electronics Co., Ltd. (Pinway), who is also a stockholder in ClearOne, was hired by the Company to perform consulting services in exchange for stock options totaling 25,000 shares of common stock, 5,000 of which was contingent upon the delivery of strategic products or services. As of April 30, 2000 none of these options have been exercised.</w:t>
      </w:r>
    </w:p>
    <w:p>
      <w:pPr>
        <w:spacing w:after="0" w:line="342"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622" w:right="1440" w:bottom="1440" w:gutter="0" w:footer="0" w:header="0"/>
        </w:sectPr>
      </w:pPr>
    </w:p>
    <w:bookmarkStart w:id="14" w:name="page15"/>
    <w:bookmarkEnd w:id="14"/>
    <w:p>
      <w:pPr>
        <w:jc w:val="both"/>
        <w:ind w:right="3179"/>
        <w:spacing w:after="0" w:line="235" w:lineRule="auto"/>
        <w:rPr>
          <w:sz w:val="20"/>
          <w:szCs w:val="20"/>
          <w:color w:val="auto"/>
        </w:rPr>
      </w:pPr>
      <w:r>
        <w:rPr>
          <w:rFonts w:ascii="Courier New" w:cs="Courier New" w:eastAsia="Courier New" w:hAnsi="Courier New"/>
          <w:sz w:val="15"/>
          <w:szCs w:val="15"/>
          <w:color w:val="auto"/>
        </w:rPr>
        <w:t>The company obtained advances from a stockholder during the year ended April 30, 2000 as mentioned in Note 2. - Revolving Line of Credit.</w:t>
      </w:r>
    </w:p>
    <w:p>
      <w:pPr>
        <w:spacing w:after="0" w:line="176"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One of the original founders of the Company has an executive position with the licensee of certain of the Company's technology, VideoServer, Inc., now called Ezenia, Inc.</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Commitments and Contingencies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 Agreements</w:t>
      </w:r>
    </w:p>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Company leases its primary facility under a non-cancelable operating lease that expires in March 2003. The agreement provides for annual increments of rent in predetermined amounts, subject to inflationary increases, and requires the Company to pay insurance and normal maintenance costs.</w:t>
      </w:r>
    </w:p>
    <w:p>
      <w:pPr>
        <w:spacing w:after="0" w:line="176"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Future minimum lease payments under non-cancelable operating lease as of April 30, 2000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jc w:val="right"/>
              <w:spacing w:after="0"/>
              <w:rPr>
                <w:sz w:val="20"/>
                <w:szCs w:val="20"/>
                <w:color w:val="auto"/>
              </w:rPr>
            </w:pPr>
            <w:r>
              <w:rPr>
                <w:rFonts w:ascii="Courier New" w:cs="Courier New" w:eastAsia="Courier New" w:hAnsi="Courier New"/>
                <w:sz w:val="15"/>
                <w:szCs w:val="15"/>
                <w:color w:val="auto"/>
                <w:w w:val="79"/>
              </w:rPr>
              <w:t>2001....................................</w:t>
            </w:r>
          </w:p>
        </w:tc>
        <w:tc>
          <w:tcPr>
            <w:tcW w:w="41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$ 39,937</w:t>
            </w:r>
          </w:p>
        </w:tc>
      </w:tr>
      <w:tr>
        <w:trPr>
          <w:trHeight w:val="170"/>
        </w:trPr>
        <w:tc>
          <w:tcPr>
            <w:tcW w:w="2900" w:type="dxa"/>
            <w:vAlign w:val="bottom"/>
          </w:tcPr>
          <w:p>
            <w:pPr>
              <w:jc w:val="right"/>
              <w:spacing w:after="0"/>
              <w:rPr>
                <w:sz w:val="20"/>
                <w:szCs w:val="20"/>
                <w:color w:val="auto"/>
              </w:rPr>
            </w:pPr>
            <w:r>
              <w:rPr>
                <w:rFonts w:ascii="Courier New" w:cs="Courier New" w:eastAsia="Courier New" w:hAnsi="Courier New"/>
                <w:sz w:val="15"/>
                <w:szCs w:val="15"/>
                <w:color w:val="auto"/>
                <w:w w:val="79"/>
              </w:rPr>
              <w:t>2002....................................</w:t>
            </w:r>
          </w:p>
        </w:tc>
        <w:tc>
          <w:tcPr>
            <w:tcW w:w="41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39,937</w:t>
            </w:r>
          </w:p>
        </w:tc>
      </w:tr>
      <w:tr>
        <w:trPr>
          <w:trHeight w:val="170"/>
        </w:trPr>
        <w:tc>
          <w:tcPr>
            <w:tcW w:w="2900" w:type="dxa"/>
            <w:vAlign w:val="bottom"/>
          </w:tcPr>
          <w:p>
            <w:pPr>
              <w:jc w:val="right"/>
              <w:spacing w:after="0"/>
              <w:rPr>
                <w:sz w:val="20"/>
                <w:szCs w:val="20"/>
                <w:color w:val="auto"/>
              </w:rPr>
            </w:pPr>
            <w:r>
              <w:rPr>
                <w:rFonts w:ascii="Courier New" w:cs="Courier New" w:eastAsia="Courier New" w:hAnsi="Courier New"/>
                <w:sz w:val="15"/>
                <w:szCs w:val="15"/>
                <w:color w:val="auto"/>
                <w:w w:val="79"/>
              </w:rPr>
              <w:t>2003....................................</w:t>
            </w:r>
          </w:p>
        </w:tc>
        <w:tc>
          <w:tcPr>
            <w:tcW w:w="41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39,937</w:t>
            </w:r>
          </w:p>
        </w:tc>
      </w:tr>
      <w:tr>
        <w:trPr>
          <w:trHeight w:val="170"/>
        </w:trPr>
        <w:tc>
          <w:tcPr>
            <w:tcW w:w="2900" w:type="dxa"/>
            <w:vAlign w:val="bottom"/>
          </w:tcPr>
          <w:p>
            <w:pPr>
              <w:spacing w:after="0"/>
              <w:rPr>
                <w:sz w:val="14"/>
                <w:szCs w:val="14"/>
                <w:color w:val="auto"/>
              </w:rPr>
            </w:pPr>
          </w:p>
        </w:tc>
        <w:tc>
          <w:tcPr>
            <w:tcW w:w="41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14"/>
                <w:szCs w:val="14"/>
                <w:color w:val="auto"/>
              </w:rPr>
            </w:pPr>
          </w:p>
        </w:tc>
        <w:tc>
          <w:tcPr>
            <w:tcW w:w="41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$119,811</w:t>
            </w:r>
          </w:p>
        </w:tc>
      </w:tr>
      <w:tr>
        <w:trPr>
          <w:trHeight w:val="170"/>
        </w:trPr>
        <w:tc>
          <w:tcPr>
            <w:tcW w:w="2900" w:type="dxa"/>
            <w:vAlign w:val="bottom"/>
          </w:tcPr>
          <w:p>
            <w:pPr>
              <w:spacing w:after="0"/>
              <w:rPr>
                <w:sz w:val="14"/>
                <w:szCs w:val="14"/>
                <w:color w:val="auto"/>
              </w:rPr>
            </w:pPr>
          </w:p>
        </w:tc>
        <w:tc>
          <w:tcPr>
            <w:tcW w:w="41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Rent expense for the  operating</w:t>
            </w:r>
          </w:p>
        </w:tc>
        <w:tc>
          <w:tcPr>
            <w:tcW w:w="4140" w:type="dxa"/>
            <w:vAlign w:val="bottom"/>
          </w:tcPr>
          <w:p>
            <w:pPr>
              <w:jc w:val="right"/>
              <w:spacing w:after="0"/>
              <w:rPr>
                <w:sz w:val="20"/>
                <w:szCs w:val="20"/>
                <w:color w:val="auto"/>
              </w:rPr>
            </w:pPr>
            <w:r>
              <w:rPr>
                <w:rFonts w:ascii="Courier New" w:cs="Courier New" w:eastAsia="Courier New" w:hAnsi="Courier New"/>
                <w:sz w:val="15"/>
                <w:szCs w:val="15"/>
                <w:color w:val="auto"/>
                <w:w w:val="97"/>
              </w:rPr>
              <w:t>lease was $129,345 for the year ended April 30,</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4140" w:type="dxa"/>
            <w:vAlign w:val="bottom"/>
          </w:tcPr>
          <w:p>
            <w:pPr>
              <w:spacing w:after="0"/>
              <w:rPr>
                <w:sz w:val="14"/>
                <w:szCs w:val="14"/>
                <w:color w:val="auto"/>
              </w:rPr>
            </w:pPr>
          </w:p>
        </w:tc>
      </w:tr>
    </w:tbl>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Company leases equipment under a 39 month operating lease that began on May 1, 1999. The future minimum lease payments under this agreement as of April 30, 2000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ind w:left="1920"/>
              <w:spacing w:after="0"/>
              <w:rPr>
                <w:sz w:val="20"/>
                <w:szCs w:val="20"/>
                <w:color w:val="auto"/>
              </w:rPr>
            </w:pPr>
            <w:r>
              <w:rPr>
                <w:rFonts w:ascii="Courier New" w:cs="Courier New" w:eastAsia="Courier New" w:hAnsi="Courier New"/>
                <w:sz w:val="15"/>
                <w:szCs w:val="15"/>
                <w:color w:val="auto"/>
                <w:w w:val="72"/>
              </w:rPr>
              <w:t>2001</w:t>
            </w:r>
            <w:r>
              <w:rPr>
                <w:rFonts w:ascii="Courier New" w:cs="Courier New" w:eastAsia="Courier New" w:hAnsi="Courier New"/>
                <w:sz w:val="6"/>
                <w:szCs w:val="6"/>
                <w:color w:val="auto"/>
                <w:w w:val="72"/>
              </w:rPr>
              <w:t>..............................</w:t>
            </w:r>
          </w:p>
        </w:tc>
        <w:tc>
          <w:tcPr>
            <w:tcW w:w="20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4,574</w:t>
            </w:r>
          </w:p>
        </w:tc>
      </w:tr>
      <w:tr>
        <w:trPr>
          <w:trHeight w:val="170"/>
        </w:trPr>
        <w:tc>
          <w:tcPr>
            <w:tcW w:w="5680" w:type="dxa"/>
            <w:vAlign w:val="bottom"/>
            <w:gridSpan w:val="2"/>
          </w:tcPr>
          <w:p>
            <w:pPr>
              <w:ind w:left="1920"/>
              <w:spacing w:after="0"/>
              <w:rPr>
                <w:sz w:val="20"/>
                <w:szCs w:val="20"/>
                <w:color w:val="auto"/>
              </w:rPr>
            </w:pPr>
            <w:r>
              <w:rPr>
                <w:rFonts w:ascii="Courier New" w:cs="Courier New" w:eastAsia="Courier New" w:hAnsi="Courier New"/>
                <w:sz w:val="15"/>
                <w:szCs w:val="15"/>
                <w:color w:val="auto"/>
                <w:w w:val="97"/>
              </w:rPr>
              <w:t>2002..............................</w:t>
            </w:r>
          </w:p>
        </w:tc>
        <w:tc>
          <w:tcPr>
            <w:tcW w:w="13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4,574</w:t>
            </w:r>
          </w:p>
        </w:tc>
      </w:tr>
      <w:tr>
        <w:trPr>
          <w:trHeight w:val="170"/>
        </w:trPr>
        <w:tc>
          <w:tcPr>
            <w:tcW w:w="5680" w:type="dxa"/>
            <w:vAlign w:val="bottom"/>
            <w:gridSpan w:val="2"/>
          </w:tcPr>
          <w:p>
            <w:pPr>
              <w:ind w:left="1920"/>
              <w:spacing w:after="0"/>
              <w:rPr>
                <w:sz w:val="20"/>
                <w:szCs w:val="20"/>
                <w:color w:val="auto"/>
              </w:rPr>
            </w:pPr>
            <w:r>
              <w:rPr>
                <w:rFonts w:ascii="Courier New" w:cs="Courier New" w:eastAsia="Courier New" w:hAnsi="Courier New"/>
                <w:sz w:val="15"/>
                <w:szCs w:val="15"/>
                <w:color w:val="auto"/>
                <w:w w:val="97"/>
              </w:rPr>
              <w:t>2003..............................</w:t>
            </w:r>
          </w:p>
        </w:tc>
        <w:tc>
          <w:tcPr>
            <w:tcW w:w="13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762</w:t>
            </w:r>
          </w:p>
        </w:tc>
      </w:tr>
      <w:tr>
        <w:trPr>
          <w:trHeight w:val="170"/>
        </w:trPr>
        <w:tc>
          <w:tcPr>
            <w:tcW w:w="3600" w:type="dxa"/>
            <w:vAlign w:val="bottom"/>
          </w:tcPr>
          <w:p>
            <w:pPr>
              <w:spacing w:after="0"/>
              <w:rPr>
                <w:sz w:val="14"/>
                <w:szCs w:val="14"/>
                <w:color w:val="auto"/>
              </w:rPr>
            </w:pPr>
          </w:p>
        </w:tc>
        <w:tc>
          <w:tcPr>
            <w:tcW w:w="344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spacing w:after="0"/>
              <w:rPr>
                <w:sz w:val="14"/>
                <w:szCs w:val="14"/>
                <w:color w:val="auto"/>
              </w:rPr>
            </w:pPr>
          </w:p>
        </w:tc>
        <w:tc>
          <w:tcPr>
            <w:tcW w:w="20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9,910</w:t>
            </w:r>
          </w:p>
        </w:tc>
      </w:tr>
      <w:tr>
        <w:trPr>
          <w:trHeight w:val="170"/>
        </w:trPr>
        <w:tc>
          <w:tcPr>
            <w:tcW w:w="3600" w:type="dxa"/>
            <w:vAlign w:val="bottom"/>
          </w:tcPr>
          <w:p>
            <w:pPr>
              <w:spacing w:after="0"/>
              <w:rPr>
                <w:sz w:val="14"/>
                <w:szCs w:val="14"/>
                <w:color w:val="auto"/>
              </w:rPr>
            </w:pPr>
          </w:p>
        </w:tc>
        <w:tc>
          <w:tcPr>
            <w:tcW w:w="344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w:t>
            </w: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rPr>
              <w:t>The lease  expense  for this  agreement</w:t>
            </w:r>
          </w:p>
        </w:tc>
        <w:tc>
          <w:tcPr>
            <w:tcW w:w="34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was $4,738 for the year ended April 30,</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2080" w:type="dxa"/>
            <w:vAlign w:val="bottom"/>
          </w:tcPr>
          <w:p>
            <w:pPr>
              <w:spacing w:after="0"/>
              <w:rPr>
                <w:sz w:val="14"/>
                <w:szCs w:val="14"/>
                <w:color w:val="auto"/>
              </w:rPr>
            </w:pPr>
          </w:p>
        </w:tc>
        <w:tc>
          <w:tcPr>
            <w:tcW w:w="1360" w:type="dxa"/>
            <w:vAlign w:val="bottom"/>
          </w:tcPr>
          <w:p>
            <w:pPr>
              <w:spacing w:after="0"/>
              <w:rPr>
                <w:sz w:val="14"/>
                <w:szCs w:val="14"/>
                <w:color w:val="auto"/>
              </w:rPr>
            </w:pP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Warrants</w:t>
      </w:r>
    </w:p>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Warrants to purchase 2,000,000 shares of the Company's common stock at a price per share of $2 have been granted to the Company's first round investors exercisable on or before any initial public offering date, which is yet to be determined.</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Stock Option Plans</w:t>
      </w:r>
    </w:p>
    <w:p>
      <w:pPr>
        <w:spacing w:after="0" w:line="175"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In 1997, the Company completed its initial private offering (the offering) of its common stock selling 2,000,000 shares at $2 per share.</w:t>
      </w:r>
    </w:p>
    <w:p>
      <w:pPr>
        <w:spacing w:after="0" w:line="176" w:lineRule="exact"/>
        <w:rPr>
          <w:sz w:val="20"/>
          <w:szCs w:val="20"/>
          <w:color w:val="auto"/>
        </w:rPr>
      </w:pPr>
    </w:p>
    <w:p>
      <w:pPr>
        <w:jc w:val="both"/>
        <w:ind w:right="3179"/>
        <w:spacing w:after="0" w:line="258" w:lineRule="auto"/>
        <w:rPr>
          <w:sz w:val="20"/>
          <w:szCs w:val="20"/>
          <w:color w:val="auto"/>
        </w:rPr>
      </w:pPr>
      <w:r>
        <w:rPr>
          <w:rFonts w:ascii="Courier New" w:cs="Courier New" w:eastAsia="Courier New" w:hAnsi="Courier New"/>
          <w:sz w:val="14"/>
          <w:szCs w:val="14"/>
          <w:color w:val="auto"/>
        </w:rPr>
        <w:t>In 1997, the Company established a stock option plan which is currently being treated as a non-qualified stock option plan. The Company has set aside 2,715,000 shares of its common stock for this plan. A certain percentage of the shares granted will be vested after one year with the remaining shares under the stock option plan vesting at 6.25% quarterly thereafter until fully vested. Another portion of the original award under the stock option plan would be</w:t>
      </w:r>
    </w:p>
    <w:p>
      <w:pPr>
        <w:spacing w:after="0" w:line="328"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19"/>
          </w:cols>
          <w:pgMar w:left="240" w:top="627" w:right="1440" w:bottom="1440" w:gutter="0" w:footer="0" w:header="0"/>
        </w:sectPr>
      </w:pPr>
    </w:p>
    <w:bookmarkStart w:id="15" w:name="page16"/>
    <w:bookmarkEnd w:id="15"/>
    <w:p>
      <w:pPr>
        <w:jc w:val="both"/>
        <w:ind w:right="3179"/>
        <w:spacing w:after="0" w:line="238" w:lineRule="auto"/>
        <w:rPr>
          <w:sz w:val="20"/>
          <w:szCs w:val="20"/>
          <w:color w:val="auto"/>
        </w:rPr>
      </w:pPr>
      <w:r>
        <w:rPr>
          <w:rFonts w:ascii="Courier New" w:cs="Courier New" w:eastAsia="Courier New" w:hAnsi="Courier New"/>
          <w:sz w:val="15"/>
          <w:szCs w:val="15"/>
          <w:color w:val="auto"/>
        </w:rPr>
        <w:t>granted after one year and based on the holder's performance as reviewed by his/her immediate supervisor and then the compensation committee. The final portion of the award under the stock option plan will be granted after two years and will be based on the Company's performance as determined by its annual audited financial statements. Vesting is strictly conditional on the employee remaining a full-time employee. If an individual ceases to be an employee of the company he has 90 days to exercise any vested options that they may have had. As of April 30, 2000, no one who has left the company has exercised any stock options. Further restrictions may apply as detailed in the Company's stock option plan. The option price is determined by the compensation committee based on the Company's current financial status.</w:t>
      </w:r>
    </w:p>
    <w:p>
      <w:pPr>
        <w:spacing w:after="0" w:line="181"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In addition, the Company has set aside 85,000 shares of its common stock for consultants who perform key services to the Company. The option price is determined by the compensation committee based on the Company's current financial status. Vesting is determined on a case-by-case basis by the compensation committee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Recapitalization and Capital Structure</w:t>
      </w:r>
    </w:p>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On January 12, 1999, the Company undertook a recapitalization of its capital structure by unanimous consent of the stockholders. The authorized capital stock of the Company was changed from 10,000,000 shares of common stock, $.01 par value to the following:</w:t>
      </w:r>
    </w:p>
    <w:p>
      <w:pPr>
        <w:spacing w:after="0" w:line="17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11,000,000 shares common stock, $.01 par value;</w:t>
      </w:r>
    </w:p>
    <w:p>
      <w:pPr>
        <w:ind w:left="700"/>
        <w:spacing w:after="0"/>
        <w:rPr>
          <w:sz w:val="20"/>
          <w:szCs w:val="20"/>
          <w:color w:val="auto"/>
        </w:rPr>
      </w:pPr>
      <w:r>
        <w:rPr>
          <w:rFonts w:ascii="Courier New" w:cs="Courier New" w:eastAsia="Courier New" w:hAnsi="Courier New"/>
          <w:sz w:val="15"/>
          <w:szCs w:val="15"/>
          <w:color w:val="auto"/>
        </w:rPr>
        <w:t>2,000,000 shares Series B preferred stock, $.01 par value; and</w:t>
      </w:r>
    </w:p>
    <w:p>
      <w:pPr>
        <w:ind w:left="700"/>
        <w:spacing w:after="0"/>
        <w:rPr>
          <w:sz w:val="20"/>
          <w:szCs w:val="20"/>
          <w:color w:val="auto"/>
        </w:rPr>
      </w:pPr>
      <w:r>
        <w:rPr>
          <w:rFonts w:ascii="Courier New" w:cs="Courier New" w:eastAsia="Courier New" w:hAnsi="Courier New"/>
          <w:sz w:val="15"/>
          <w:szCs w:val="15"/>
          <w:color w:val="auto"/>
        </w:rPr>
        <w:t>1,000,000 shares Series A preferred stock, $.01 par value.</w:t>
      </w:r>
    </w:p>
    <w:p>
      <w:pPr>
        <w:spacing w:after="0" w:line="174"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The founders retained their class of shares as Common Stock for a total of 3,200,000 shares, $.01 par value. The first round investors converted their total of 2,000,000 shares of Common Stock in a one for one conversion to Series B Preferred Stock retaining the same par value and paid-in capital value. Series A Preferred Stock was issued in the year ended April 30, 1999 as a second round of equity financing.</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5"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The voting, dividend, and liquidation rights of the holders of Common Stock are subject to and qualified by the rights of the holders of the Series B and Series A Preferred Stock. The holders of the Common Stock are entitled to one vote for each share held at all meetings of stockholders (and written actions in lieu of meetings). Dividends may be declared and paid on the Common Stock from funds lawfully available therefore as and when determined by the Board of Directors and subject to any preferential dividend rights of any then outstanding Series B or Series A Preferred Stock. Upon the dissolution or liquidation of the Company, whether voluntary or involuntary, holders of Common Stock will be entitled to receive all assets of the Company available for dissolution to its stockholders, after paying revolving line of credit and subject to any preferential rights of any then outstanding Series B or Series A Preferred Stock.</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Series B Preferred Stock:</w:t>
      </w:r>
    </w:p>
    <w:p>
      <w:pPr>
        <w:spacing w:after="0" w:line="175"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Scheduled to start on January 1, 2000, the holders of the Series B Preferred Stock will be entitled to receive dividends at the rate of 4% of the sum of $2.00 (the "Original Purchase Price") whenever funds are legal available as and when declared by the Board of Directors. As of the date of these financial statement, no dividends have been declared. Dividends on the Series B Preferred Stock will be non-cumulative. In the event of any liquidation, dissolution, or winding up of the Company, the holders of Series B Preferred Stock will be entitled to receive in preference to the holders of the Common Stock and amount equal to $2.00 per share. Holders of Series B Preferred Stock will have the right to convert their shares of Series B Preferred Stock, at the option of such holder, at any time into shares of Common Stock. The total number of shares of Common Stock into which shares of Series B Preferred Stock may be converted initially will be determined by dividing the Original Purchase Price by the conversion price (the "Conversion Price"). The initial Conversion Price will be the Original Purchase Price. The Conversion Price will be subject to adjustment to reflect stock dividends, stock splits, and similar events on a weighted</w:t>
      </w:r>
    </w:p>
    <w:p>
      <w:pPr>
        <w:spacing w:after="0" w:line="200" w:lineRule="exact"/>
        <w:rPr>
          <w:sz w:val="20"/>
          <w:szCs w:val="20"/>
          <w:color w:val="auto"/>
        </w:rPr>
      </w:pPr>
    </w:p>
    <w:p>
      <w:pPr>
        <w:spacing w:after="0" w:line="298"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19"/>
          </w:cols>
          <w:pgMar w:left="240" w:top="797" w:right="1440" w:bottom="1440" w:gutter="0" w:footer="0" w:header="0"/>
        </w:sectPr>
      </w:pPr>
    </w:p>
    <w:bookmarkStart w:id="16" w:name="page17"/>
    <w:bookmarkEnd w:id="16"/>
    <w:p>
      <w:pPr>
        <w:jc w:val="both"/>
        <w:ind w:left="10" w:right="3179"/>
        <w:spacing w:after="0" w:line="238" w:lineRule="auto"/>
        <w:rPr>
          <w:sz w:val="20"/>
          <w:szCs w:val="20"/>
          <w:color w:val="auto"/>
        </w:rPr>
      </w:pPr>
      <w:r>
        <w:rPr>
          <w:rFonts w:ascii="Courier New" w:cs="Courier New" w:eastAsia="Courier New" w:hAnsi="Courier New"/>
          <w:sz w:val="15"/>
          <w:szCs w:val="15"/>
          <w:color w:val="auto"/>
        </w:rPr>
        <w:t>average basis to prevent dilution in the event that the Company issues additional shares at a purchase price less than the applicable Conversion Price. The Series B Preferred Stock will be automatically converted into Common Stock, at the then applicable Conversion Price, upon the closing of a sale of the Company's shares of Common Stock pursuant to a firm commitment of underwritten public offering by the Company at a public offering price per share. Except with respect to the election of Directors of the Company, each holder of outstanding shares of Series B Preferred Stock shall be entitled to the number of votes equal to the number of shares of Common Stock into which the shares of Series B Preferred Stock are convertible.</w:t>
      </w:r>
    </w:p>
    <w:p>
      <w:pPr>
        <w:spacing w:after="0" w:line="180" w:lineRule="exact"/>
        <w:rPr>
          <w:sz w:val="20"/>
          <w:szCs w:val="20"/>
          <w:color w:val="auto"/>
        </w:rPr>
      </w:pPr>
    </w:p>
    <w:p>
      <w:pPr>
        <w:jc w:val="both"/>
        <w:ind w:left="10" w:right="3179"/>
        <w:spacing w:after="0" w:line="256" w:lineRule="auto"/>
        <w:rPr>
          <w:sz w:val="20"/>
          <w:szCs w:val="20"/>
          <w:color w:val="auto"/>
        </w:rPr>
      </w:pPr>
      <w:r>
        <w:rPr>
          <w:rFonts w:ascii="Courier New" w:cs="Courier New" w:eastAsia="Courier New" w:hAnsi="Courier New"/>
          <w:sz w:val="14"/>
          <w:szCs w:val="14"/>
          <w:color w:val="auto"/>
        </w:rPr>
        <w:t>As long as there is at least 50% of the Series B Preferred Stock initially issued outstanding, the consent of the holders of at least a majority of the issued and outstanding Series B Preferred Stock voting as a separate class shall be required for (1) changing corporation's articles of organization and/or by-laws which would effect the rights of the Series B Preferred shareholders;</w:t>
      </w:r>
    </w:p>
    <w:p>
      <w:pPr>
        <w:spacing w:after="0" w:line="2" w:lineRule="exact"/>
        <w:rPr>
          <w:sz w:val="20"/>
          <w:szCs w:val="20"/>
          <w:color w:val="auto"/>
        </w:rPr>
      </w:pPr>
    </w:p>
    <w:p>
      <w:pPr>
        <w:jc w:val="both"/>
        <w:ind w:left="10" w:right="3179" w:hanging="10"/>
        <w:spacing w:after="0" w:line="238" w:lineRule="auto"/>
        <w:tabs>
          <w:tab w:leader="none" w:pos="4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creating a new class of stock with a greater preference or priority to Series B as to dividends or assets; (3) creating a convertible bond, notes or other obligations that had a greater preference or priority to Series B as to dividends or assets; (4) a corporate reorganization that would result in common stock having a greater preference or priority to Series B as to dividends or assets; (5) redemption of common stock except from employees, advisors, officers, directors, consultants and service providers which terms have been approved by the Board of Directors; and (6) merger, sale or consolidation of the corporation.</w:t>
      </w:r>
    </w:p>
    <w:p>
      <w:pPr>
        <w:spacing w:after="0" w:line="34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Series A Preferred Stock:</w:t>
      </w:r>
    </w:p>
    <w:p>
      <w:pPr>
        <w:spacing w:after="0" w:line="175" w:lineRule="exact"/>
        <w:rPr>
          <w:sz w:val="20"/>
          <w:szCs w:val="20"/>
          <w:color w:val="auto"/>
        </w:rPr>
      </w:pPr>
    </w:p>
    <w:p>
      <w:pPr>
        <w:jc w:val="both"/>
        <w:ind w:left="10" w:right="3179"/>
        <w:spacing w:after="0" w:line="239" w:lineRule="auto"/>
        <w:rPr>
          <w:sz w:val="20"/>
          <w:szCs w:val="20"/>
          <w:color w:val="auto"/>
        </w:rPr>
      </w:pPr>
      <w:r>
        <w:rPr>
          <w:rFonts w:ascii="Courier New" w:cs="Courier New" w:eastAsia="Courier New" w:hAnsi="Courier New"/>
          <w:sz w:val="15"/>
          <w:szCs w:val="15"/>
          <w:color w:val="auto"/>
        </w:rPr>
        <w:t>Scheduled to start on January 1, 2000, the holders of the Series A Preferred Stock will be entitled to receive dividends at the rate of 4% of the sum of $2.60 (the "Original Purchase Price") whenever funds are legal available as and when declared by the Board of Directors. As of the date of these financial statements, no dividends have been declared. No dividend shall be paid on the common stock at a rate greater than the rate at which dividends are paid on the Series B Preferred Stock. Dividends on the Series A Preferred Stock will be non-cumulative. In the event of any liquidation, dissolution, or winding up of the Company, the holders of Series A Preferred Stock will be entitled to receive in preference to the holders of the Common Stock and amount equal to $2.60 per share. Holders of Series A Preferred Stock will have the right to convert their shares of Series A Preferred Stock, at the option of such holder, at any time into shares of Common Stock. The total number of shares of Common Stock into which shares of Series A Preferred Stock may be converted initially will be determined by dividing the Original Purchase Price by the conversion price (the "Conversion Price"). The initial Conversion Price will be the Original Purchase Price. The Conversion Price will be subject to adjustment to reflect stock dividends, stock splits, and similar events on a weighted average basis to prevent dilution in the event that the Company issues additional shares at a purchase price less than the applicable Conversion Price. The Series A Preferred Stock will be automatically converted into Common Stock, at the then applicable Conversion Price, upon the closing of a sale of the Company's shares of Common Stock pursuant to a firm commitment of underwritten public offering by the Company at a public offering price per share. Except with respect to the election of Directors of the Company, each holder of outstanding shares of Series A Preferred Stock shall be entitled to the number of votes equal to the number of shares of Common Stock into which the shares of Series A Preferred Stock are convertible.</w:t>
      </w:r>
    </w:p>
    <w:p>
      <w:pPr>
        <w:spacing w:after="0" w:line="178" w:lineRule="exact"/>
        <w:rPr>
          <w:sz w:val="20"/>
          <w:szCs w:val="20"/>
          <w:color w:val="auto"/>
        </w:rPr>
      </w:pPr>
    </w:p>
    <w:p>
      <w:pPr>
        <w:jc w:val="both"/>
        <w:ind w:left="10" w:right="3179"/>
        <w:spacing w:after="0" w:line="256" w:lineRule="auto"/>
        <w:rPr>
          <w:sz w:val="20"/>
          <w:szCs w:val="20"/>
          <w:color w:val="auto"/>
        </w:rPr>
      </w:pPr>
      <w:r>
        <w:rPr>
          <w:rFonts w:ascii="Courier New" w:cs="Courier New" w:eastAsia="Courier New" w:hAnsi="Courier New"/>
          <w:sz w:val="14"/>
          <w:szCs w:val="14"/>
          <w:color w:val="auto"/>
        </w:rPr>
        <w:t>As long as there is at least 50% of the Series A Preferred Stock initially issued outstanding, the consent of the holders of at least a majority of the issued and outstanding Series A Preferred Stock voting as a separate class shall be required for (1) changing corporation's articles of organization and/or by-laws which would effect the rights of the Series A Preferred shareholders;</w:t>
      </w:r>
    </w:p>
    <w:p>
      <w:pPr>
        <w:spacing w:after="0" w:line="2" w:lineRule="exact"/>
        <w:rPr>
          <w:sz w:val="20"/>
          <w:szCs w:val="20"/>
          <w:color w:val="auto"/>
        </w:rPr>
      </w:pPr>
    </w:p>
    <w:p>
      <w:pPr>
        <w:jc w:val="both"/>
        <w:ind w:left="10" w:right="3179" w:hanging="10"/>
        <w:spacing w:after="0" w:line="238" w:lineRule="auto"/>
        <w:tabs>
          <w:tab w:leader="none" w:pos="4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creating a new class of stock with a greater preference or priority to Series A as to dividends or assets; (3) creating a convertible bond, notes or other obligations that had a greater preference or priority to Series A as to dividends or assets; (4) a corporate reorganization that would result in common stock having a greater preference or priority to Series A as to dividends or assets; (5) redemption of common stock except from employees, advisors, officers, directors, consultants and service providers which terms have been approved by the Board of Directors; and (6) merger, sale or consolidation of the corporation.</w:t>
      </w:r>
    </w:p>
    <w:p>
      <w:pPr>
        <w:spacing w:after="0" w:line="342"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29"/>
          </w:cols>
          <w:pgMar w:left="230" w:top="797"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Note 7. - 401(k) Savings Plan</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The Company adopted a 401(k) savings plan (the savings plan) covering substantially all of its employees, subject to the age requirement being 21 for participation. Under the savings plan, eligible employees may contribute up to the maximum allowed by the IRS from their compensation to the savings plan. The Company matching contribution is zero at this time. However, the Company has the option to make profit sharing contributions to the plan subject to a predetermined vesting schedule in the future.</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 Going Concern</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The conditions of recurring operating losses, working capital deficiencies, negative cash flows from operations, seeking new methods of financing, substantial dependency on the success of a particular product, employee turn over, and need to significantly revise operations, indicated that the Company was unable to continue as a going concern for the year ended April 30, 1999. As a result of the subsequent sale of a significant amount of the Company's assets on July 5, 2000, the Company has obtained enough liquidity to continue as a going concern for the immediate future. A stockholder has agreed to fund the financial requirements of the Company if the operating expenses exceed available cash for the foreseeable future.</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 Comprehensive Income</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 June of 1997, the Financial Accounting Standards Board issued SFAS No.130, "Reporting Comprehensive Income." SFAS No. 130 established standards for reporting comprehensive income and its components in a financial statement. Comprehensive income as defined included all changes in equity (net asset) during a period from non-owner sources. Examples of items to be included in comprehensive income, which are excluded from net income, include foreign</w:t>
      </w:r>
    </w:p>
    <w:p>
      <w:pPr>
        <w:spacing w:after="0" w:line="6"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currency translation adjustments and unrealized gains/losses on available-for-sale securities. There were no adjustments required for the year ended April 30, 2000.</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 Segment Reporting</w:t>
      </w:r>
    </w:p>
    <w:p>
      <w:pPr>
        <w:spacing w:after="0" w:line="175" w:lineRule="exact"/>
        <w:rPr>
          <w:sz w:val="20"/>
          <w:szCs w:val="20"/>
          <w:color w:val="auto"/>
        </w:rPr>
      </w:pPr>
    </w:p>
    <w:p>
      <w:pPr>
        <w:jc w:val="both"/>
        <w:ind w:right="3179"/>
        <w:spacing w:after="0" w:line="258" w:lineRule="auto"/>
        <w:rPr>
          <w:sz w:val="20"/>
          <w:szCs w:val="20"/>
          <w:color w:val="auto"/>
        </w:rPr>
      </w:pPr>
      <w:r>
        <w:rPr>
          <w:rFonts w:ascii="Courier New" w:cs="Courier New" w:eastAsia="Courier New" w:hAnsi="Courier New"/>
          <w:sz w:val="14"/>
          <w:szCs w:val="14"/>
          <w:color w:val="auto"/>
        </w:rPr>
        <w:t>Effective April 30, 2000, the Company adopted SFAS No.131, "Disclosures About Segments of an Enterprise and Related Information." SFAS No.131 established standards for reporting information by public companies about operating segments in annual financial statements. It also established standards for related disclosure about products and services, geographic areas and major customers.</w:t>
      </w:r>
    </w:p>
    <w:p>
      <w:pPr>
        <w:spacing w:after="0" w:line="16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Operating segments are defined as components of an enterprise about which separate financial information is available that is evaluated regularly by the chief operating decision maker, or decision making group, in deciding how to allocate resources and in assessing performance. The Company's chief operating decision-maker is the chief executive officer of the Company.</w:t>
      </w:r>
    </w:p>
    <w:p>
      <w:pPr>
        <w:spacing w:after="0" w:line="178"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Company is predominately a speakerphone manufacturer with its products being distributed and manufactured worldwide for the year ended April 30, 2000. In addition, the Company licenses its technology, and finalized its first license to one customer during the year ended April 30, 2000.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information about the segments: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Products</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License Agreement</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400" w:type="dxa"/>
            <w:vAlign w:val="bottom"/>
          </w:tcPr>
          <w:p>
            <w:pPr>
              <w:spacing w:after="0"/>
              <w:rPr>
                <w:sz w:val="14"/>
                <w:szCs w:val="14"/>
                <w:color w:val="auto"/>
              </w:rPr>
            </w:pPr>
          </w:p>
        </w:tc>
        <w:tc>
          <w:tcPr>
            <w:tcW w:w="16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98,588</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  400,000</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Cost of</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Goods Sold</w:t>
            </w:r>
          </w:p>
        </w:tc>
        <w:tc>
          <w:tcPr>
            <w:tcW w:w="16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77,994</w:t>
            </w:r>
          </w:p>
        </w:tc>
        <w:tc>
          <w:tcPr>
            <w:tcW w:w="1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19"/>
          </w:cols>
          <w:pgMar w:left="240" w:top="622"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Note 11. - Nonrecurring Charge</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During the fiscal year ended April 30, 2000. The Company evaluated several aspects of its business and made strategic decisions that effected portions of the Company's business. The Company moved to concentrate its business on its newer speakerphone version and Microphone Pads. This allowed the Company to narrow its focus on key equipment distributors and related products for these distributors. As a result an evaluation and analysis of the Company's license agreements, pending trademarks and certain patents was conducted. Based on the projected earnings and undiscounted cash flow analysis of the affected business activities, the Company determined the fair value of certain assets should be adjusted. Accordingly, certain assets were revalued and $162,635 was recorded as a nonrecurring, non-cash charge. The $162,635 consists of the $156,751 impairment of license agreements, and the $5,884 write down of pending trademarks charged to loss on asset dispositions. The Company does not anticipate any significant cash charge, beyond those recorded, to complete implementation of its new strategic direction.</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 Subsequent Event</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On or about May 23, 2000 the Company entered into a vendor agreement with a vendor for the period July 7, 2000 through June 30, 2001 which includes a minimum purchase amount by the vendor of $350,000. This order is subject to the terms of the agreement which include, but are not limited to, 120 days price increase notice, guaranteed price decline protection by the Company, the lowest vendor price offered to any other vendor, 9% rebate on the $350,000 gross purchase price, a $5,000 slotting fee per SKU, a 10% gross purchase discount for Market Development Fund and a 1.1% gross dock allowance on receipt of goods from vendor.</w:t>
      </w:r>
    </w:p>
    <w:p>
      <w:pPr>
        <w:spacing w:after="0" w:line="179"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On July 5, 2000, the Company agreed to sell Gentner Communications Corporation (the Buyer) effectively all of its assets including property and equipment such as but not limited to equipment, furniture and fixtures, leasehold improvements, certain inventories of raw materials and supplies, goods in process and finished goods, intellectual property rights developed and patented, licenses and rights thereunder, remedies against infringements thereof, and rights to participation of enforceable interests therein under the laws of all jurisdictions. Acquired assets as defined by the agreement include leases, capital and operating, if any, such as the primary facility lease along with minimum lease payments as mentioned in Note 4. - Commitments and Contingencies, prepaid items, causes of actions, choices in actions, rights of recovery, creative materials, advertising and promotional materials, distribution agreements, vendor agreements subject to only those liabilities and obligations pursuant to contracts assumed by the Buyer as part of the acquired assets. In addition, all rights and obligations associated with the VideoServer (Ezenia, Inc.) license was renegotiated and amended as part of this agreement. The Buyer agrees to pay to the Seller the total amount of $3,758,085 as follows:</w:t>
      </w:r>
    </w:p>
    <w:p>
      <w:pPr>
        <w:spacing w:after="0" w:line="158" w:lineRule="exact"/>
        <w:rPr>
          <w:sz w:val="20"/>
          <w:szCs w:val="20"/>
          <w:color w:val="auto"/>
        </w:rPr>
      </w:pPr>
    </w:p>
    <w:p>
      <w:pPr>
        <w:ind w:left="880" w:hanging="449"/>
        <w:spacing w:after="0"/>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$200,000 in cash deposit</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$100,000 in cash by wire transfer as part of the escrowed amount</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$1,458,085 in cash by wire transfer to the Seller at the closing</w:t>
      </w:r>
    </w:p>
    <w:p>
      <w:pPr>
        <w:spacing w:after="0" w:line="174" w:lineRule="exact"/>
        <w:rPr>
          <w:rFonts w:ascii="Courier New" w:cs="Courier New" w:eastAsia="Courier New" w:hAnsi="Courier New"/>
          <w:sz w:val="15"/>
          <w:szCs w:val="15"/>
          <w:color w:val="auto"/>
        </w:rPr>
      </w:pPr>
    </w:p>
    <w:p>
      <w:pPr>
        <w:jc w:val="both"/>
        <w:ind w:left="880" w:right="3179" w:hanging="449"/>
        <w:spacing w:after="0" w:line="256" w:lineRule="auto"/>
        <w:tabs>
          <w:tab w:leader="none" w:pos="8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$2,000,000 in value of the Buyer's shares which is 129,871 shares arrived at by a quotient, the numerator is 2,000,000 and the denominator was $15.40 which is the adjusted trading price for the ten</w:t>
      </w:r>
    </w:p>
    <w:p>
      <w:pPr>
        <w:ind w:left="1320" w:hanging="448"/>
        <w:spacing w:after="0"/>
        <w:tabs>
          <w:tab w:leader="none" w:pos="132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trading days between May 1, 2000 and May 10, 2000</w:t>
      </w:r>
    </w:p>
    <w:p>
      <w:pPr>
        <w:spacing w:after="0" w:line="174"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As mentioned there will be escrowed $100,000 in cash and additional 29,591 Buyer's shares from the 129,871 that the Company is entitled to during the set-off rights period that will be for eighteen months from the closing date. The Buyer shall have the option of recouping all or any adverse consequences as defined in the agreement such as taxes, liens, attorney's fees and damages once the aggregate equals or exceeds $34,000. The Company has ten days to contest claims and subjects offset to arbitration process.</w:t>
      </w:r>
    </w:p>
    <w:p>
      <w:pPr>
        <w:spacing w:after="0" w:line="34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622" w:right="1440" w:bottom="1440" w:gutter="0" w:footer="0" w:header="0"/>
        </w:sectPr>
      </w:pPr>
    </w:p>
    <w:bookmarkStart w:id="19" w:name="page20"/>
    <w:bookmarkEnd w:id="19"/>
    <w:p>
      <w:pPr>
        <w:jc w:val="both"/>
        <w:ind w:right="3179"/>
        <w:spacing w:after="0" w:line="238" w:lineRule="auto"/>
        <w:rPr>
          <w:sz w:val="20"/>
          <w:szCs w:val="20"/>
          <w:color w:val="auto"/>
        </w:rPr>
      </w:pPr>
      <w:r>
        <w:rPr>
          <w:rFonts w:ascii="Courier New" w:cs="Courier New" w:eastAsia="Courier New" w:hAnsi="Courier New"/>
          <w:sz w:val="15"/>
          <w:szCs w:val="15"/>
          <w:color w:val="auto"/>
        </w:rPr>
        <w:t>The agreement is subject to certain covenants that include but not limited to the Company obtaining third party consents that involve transferring of certain licenses with terms that exist and/or require modification, the Corporation will be required to maintain its business operation substantially intact for at least a period of eighteen months in order to insure survival of representations and warranties that are a part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19"/>
          </w:cols>
          <w:pgMar w:left="240" w:top="797" w:right="1440" w:bottom="1440" w:gutter="0" w:footer="0" w:header="0"/>
        </w:sectPr>
      </w:pPr>
    </w:p>
    <w:bookmarkStart w:id="20" w:name="page21"/>
    <w:bookmarkEnd w:id="20"/>
    <w:p>
      <w:pPr>
        <w:ind w:left="2200"/>
        <w:spacing w:after="0"/>
        <w:rPr>
          <w:sz w:val="20"/>
          <w:szCs w:val="20"/>
          <w:color w:val="auto"/>
        </w:rPr>
      </w:pPr>
      <w:r>
        <w:rPr>
          <w:rFonts w:ascii="Courier New" w:cs="Courier New" w:eastAsia="Courier New" w:hAnsi="Courier New"/>
          <w:sz w:val="15"/>
          <w:szCs w:val="15"/>
          <w:color w:val="auto"/>
        </w:rPr>
        <w:t>Pro Forma Financial Information</w:t>
      </w:r>
    </w:p>
    <w:p>
      <w:pPr>
        <w:ind w:left="880"/>
        <w:spacing w:after="0"/>
        <w:rPr>
          <w:sz w:val="20"/>
          <w:szCs w:val="20"/>
          <w:color w:val="auto"/>
        </w:rPr>
      </w:pPr>
      <w:r>
        <w:rPr>
          <w:rFonts w:ascii="Courier New" w:cs="Courier New" w:eastAsia="Courier New" w:hAnsi="Courier New"/>
          <w:sz w:val="15"/>
          <w:szCs w:val="15"/>
          <w:color w:val="auto"/>
        </w:rPr>
        <w:t>Gentner Communications Corporation and ClearOne, Incorporated</w:t>
      </w:r>
    </w:p>
    <w:p>
      <w:pPr>
        <w:ind w:left="880"/>
        <w:spacing w:after="0"/>
        <w:rPr>
          <w:sz w:val="20"/>
          <w:szCs w:val="20"/>
          <w:color w:val="auto"/>
        </w:rPr>
      </w:pPr>
      <w:r>
        <w:rPr>
          <w:rFonts w:ascii="Courier New" w:cs="Courier New" w:eastAsia="Courier New" w:hAnsi="Courier New"/>
          <w:sz w:val="15"/>
          <w:szCs w:val="15"/>
          <w:color w:val="auto"/>
        </w:rPr>
        <w:t>Unaudited Pro Forma Condensed Combined Financial Information</w:t>
      </w:r>
    </w:p>
    <w:p>
      <w:pPr>
        <w:spacing w:after="0" w:line="174"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The following unaudited pro forma condensed combined financial information gives effect to the asset purchase transaction of ClearOne by the Registrant using the purchase method of accounting. The unaudited pro forma condensed combined balance sheet as of June 30, 2000 gives effect to the acquisition as if the acquisition had occurred on that date. The unaudited pro forma condensed combined balance sheet includes the balance sheet of the Registrant as of June 30, 2000 and the balance sheet of ClearOne as of April 30, 2000. The unaudited pro forma condensed combined statement of operations for the year ended June 30, 2000 gives effect to the acquisition as if the acquisition had occurred on July 1, 1999. The unaudited pro forma condensed combined statement of operations presented for the year ended June 30, 2000 includes the historical financial results of the Registrant for the year ended June 30, 2000 and of ClearOne for the year ended April 30, 2000.</w:t>
      </w:r>
    </w:p>
    <w:p>
      <w:pPr>
        <w:spacing w:after="0" w:line="183"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Unaudited pro forma combined financial information is presented for illustrative purposes only and is not necessarily indicative of the financial position or results of operations that would have actually been reported had the purchase occurred at the beginning of the period presented, nor is it necessarily indicative of future financial position or results of operations. These unaudited pro forma combined financial statements are based upon the respective historical financial statements of Gentner and ClearOne and do not incorporate, nor do they assume, any benefits from cost savings or synergies of operations of the combined company.</w:t>
      </w:r>
    </w:p>
    <w:p>
      <w:pPr>
        <w:spacing w:after="0" w:line="342"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Unaudited Pro Forma Financial Information</w:t>
      </w:r>
    </w:p>
    <w:p>
      <w:pPr>
        <w:ind w:left="1660"/>
        <w:spacing w:after="0"/>
        <w:rPr>
          <w:sz w:val="20"/>
          <w:szCs w:val="20"/>
          <w:color w:val="auto"/>
        </w:rPr>
      </w:pPr>
      <w:r>
        <w:rPr>
          <w:rFonts w:ascii="Courier New" w:cs="Courier New" w:eastAsia="Courier New" w:hAnsi="Courier New"/>
          <w:sz w:val="15"/>
          <w:szCs w:val="15"/>
          <w:color w:val="auto"/>
        </w:rPr>
        <w:t>Pro Forma Condensed Combined Balance Sheet</w:t>
      </w:r>
    </w:p>
    <w:p>
      <w:pPr>
        <w:ind w:left="2720"/>
        <w:spacing w:after="0"/>
        <w:rPr>
          <w:sz w:val="20"/>
          <w:szCs w:val="20"/>
          <w:color w:val="auto"/>
        </w:rPr>
      </w:pPr>
      <w:r>
        <w:rPr>
          <w:rFonts w:ascii="Courier New" w:cs="Courier New" w:eastAsia="Courier New" w:hAnsi="Courier New"/>
          <w:sz w:val="15"/>
          <w:szCs w:val="15"/>
          <w:color w:val="auto"/>
        </w:rPr>
        <w:t>As of June 30, 2000</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32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Historical</w:t>
            </w: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32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21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Gentner</w:t>
            </w: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21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Communications</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ClearOne,</w:t>
            </w:r>
          </w:p>
        </w:tc>
        <w:tc>
          <w:tcPr>
            <w:tcW w:w="1280" w:type="dxa"/>
            <w:vAlign w:val="bottom"/>
          </w:tcPr>
          <w:p>
            <w:pPr>
              <w:ind w:left="380"/>
              <w:spacing w:after="0"/>
              <w:rPr>
                <w:sz w:val="20"/>
                <w:szCs w:val="20"/>
                <w:color w:val="auto"/>
              </w:rPr>
            </w:pPr>
            <w:r>
              <w:rPr>
                <w:rFonts w:ascii="Courier New" w:cs="Courier New" w:eastAsia="Courier New" w:hAnsi="Courier New"/>
                <w:sz w:val="15"/>
                <w:szCs w:val="15"/>
                <w:color w:val="auto"/>
              </w:rPr>
              <w:t>Pro Forma</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Pro Forma</w:t>
            </w:r>
          </w:p>
        </w:tc>
      </w:tr>
      <w:tr>
        <w:trPr>
          <w:trHeight w:val="170"/>
        </w:trPr>
        <w:tc>
          <w:tcPr>
            <w:tcW w:w="3080" w:type="dxa"/>
            <w:vAlign w:val="bottom"/>
          </w:tcPr>
          <w:p>
            <w:pPr>
              <w:spacing w:after="0"/>
              <w:rPr>
                <w:sz w:val="14"/>
                <w:szCs w:val="14"/>
                <w:color w:val="auto"/>
              </w:rPr>
            </w:pPr>
          </w:p>
        </w:tc>
        <w:tc>
          <w:tcPr>
            <w:tcW w:w="2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Corporation</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Inc.</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Adjustments</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Combined</w:t>
            </w:r>
          </w:p>
        </w:tc>
      </w:tr>
      <w:tr>
        <w:trPr>
          <w:trHeight w:val="170"/>
        </w:trPr>
        <w:tc>
          <w:tcPr>
            <w:tcW w:w="3080" w:type="dxa"/>
            <w:vAlign w:val="bottom"/>
          </w:tcPr>
          <w:p>
            <w:pPr>
              <w:spacing w:after="0"/>
              <w:rPr>
                <w:sz w:val="14"/>
                <w:szCs w:val="14"/>
                <w:color w:val="auto"/>
              </w:rPr>
            </w:pPr>
          </w:p>
        </w:tc>
        <w:tc>
          <w:tcPr>
            <w:tcW w:w="6600" w:type="dxa"/>
            <w:vAlign w:val="bottom"/>
            <w:gridSpan w:val="6"/>
          </w:tcPr>
          <w:p>
            <w:pPr>
              <w:ind w:left="5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39"/>
        </w:trPr>
        <w:tc>
          <w:tcPr>
            <w:tcW w:w="3080" w:type="dxa"/>
            <w:vAlign w:val="bottom"/>
          </w:tcPr>
          <w:p>
            <w:pPr>
              <w:ind w:left="340"/>
              <w:spacing w:after="0"/>
              <w:rPr>
                <w:sz w:val="20"/>
                <w:szCs w:val="20"/>
                <w:color w:val="auto"/>
              </w:rPr>
            </w:pPr>
            <w:r>
              <w:rPr>
                <w:rFonts w:ascii="Courier New" w:cs="Courier New" w:eastAsia="Courier New" w:hAnsi="Courier New"/>
                <w:sz w:val="15"/>
                <w:szCs w:val="15"/>
                <w:color w:val="auto"/>
              </w:rPr>
              <w:t>Cash and cash equivalents</w:t>
            </w:r>
          </w:p>
        </w:tc>
        <w:tc>
          <w:tcPr>
            <w:tcW w:w="2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$ 5,374,996</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71,391</w:t>
            </w:r>
          </w:p>
        </w:tc>
        <w:tc>
          <w:tcPr>
            <w:tcW w:w="1540" w:type="dxa"/>
            <w:vAlign w:val="bottom"/>
            <w:gridSpan w:val="2"/>
          </w:tcPr>
          <w:p>
            <w:pPr>
              <w:jc w:val="right"/>
              <w:ind w:right="112"/>
              <w:spacing w:after="0"/>
              <w:rPr>
                <w:sz w:val="20"/>
                <w:szCs w:val="20"/>
                <w:color w:val="auto"/>
              </w:rPr>
            </w:pPr>
            <w:r>
              <w:rPr>
                <w:rFonts w:ascii="Courier New" w:cs="Courier New" w:eastAsia="Courier New" w:hAnsi="Courier New"/>
                <w:sz w:val="15"/>
                <w:szCs w:val="15"/>
                <w:color w:val="auto"/>
              </w:rPr>
              <w:t>$(1,798,085) A</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9"/>
        </w:trPr>
        <w:tc>
          <w:tcPr>
            <w:tcW w:w="30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(71,391)</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B</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3,576,911</w:t>
            </w:r>
          </w:p>
        </w:tc>
      </w:tr>
      <w:tr>
        <w:trPr>
          <w:trHeight w:val="170"/>
        </w:trPr>
        <w:tc>
          <w:tcPr>
            <w:tcW w:w="3080" w:type="dxa"/>
            <w:vAlign w:val="bottom"/>
          </w:tcPr>
          <w:p>
            <w:pPr>
              <w:ind w:left="340"/>
              <w:spacing w:after="0"/>
              <w:rPr>
                <w:sz w:val="20"/>
                <w:szCs w:val="20"/>
                <w:color w:val="auto"/>
              </w:rPr>
            </w:pPr>
            <w:r>
              <w:rPr>
                <w:rFonts w:ascii="Courier New" w:cs="Courier New" w:eastAsia="Courier New" w:hAnsi="Courier New"/>
                <w:sz w:val="15"/>
                <w:szCs w:val="15"/>
                <w:color w:val="auto"/>
              </w:rPr>
              <w:t>Accounts receivable, net</w:t>
            </w:r>
          </w:p>
        </w:tc>
        <w:tc>
          <w:tcPr>
            <w:tcW w:w="2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4,153,677</w:t>
            </w: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4,153,677</w:t>
            </w:r>
          </w:p>
        </w:tc>
      </w:tr>
      <w:tr>
        <w:trPr>
          <w:trHeight w:val="170"/>
        </w:trPr>
        <w:tc>
          <w:tcPr>
            <w:tcW w:w="30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54,835</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(54,835)</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B</w:t>
            </w: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3080" w:type="dxa"/>
            <w:vAlign w:val="bottom"/>
          </w:tcPr>
          <w:p>
            <w:pPr>
              <w:ind w:left="340"/>
              <w:spacing w:after="0"/>
              <w:rPr>
                <w:sz w:val="20"/>
                <w:szCs w:val="20"/>
                <w:color w:val="auto"/>
              </w:rPr>
            </w:pPr>
            <w:r>
              <w:rPr>
                <w:rFonts w:ascii="Courier New" w:cs="Courier New" w:eastAsia="Courier New" w:hAnsi="Courier New"/>
                <w:sz w:val="15"/>
                <w:szCs w:val="15"/>
                <w:color w:val="auto"/>
              </w:rPr>
              <w:t>Inventory</w:t>
            </w:r>
          </w:p>
        </w:tc>
        <w:tc>
          <w:tcPr>
            <w:tcW w:w="2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3,484,992</w:t>
            </w: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3,784,077</w:t>
            </w:r>
          </w:p>
        </w:tc>
      </w:tr>
      <w:tr>
        <w:trPr>
          <w:trHeight w:val="170"/>
        </w:trPr>
        <w:tc>
          <w:tcPr>
            <w:tcW w:w="30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650,351</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(351,266)</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B</w:t>
            </w: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3080" w:type="dxa"/>
            <w:vAlign w:val="bottom"/>
          </w:tcPr>
          <w:p>
            <w:pPr>
              <w:ind w:left="340"/>
              <w:spacing w:after="0"/>
              <w:rPr>
                <w:sz w:val="20"/>
                <w:szCs w:val="20"/>
                <w:color w:val="auto"/>
              </w:rPr>
            </w:pPr>
            <w:r>
              <w:rPr>
                <w:rFonts w:ascii="Courier New" w:cs="Courier New" w:eastAsia="Courier New" w:hAnsi="Courier New"/>
                <w:sz w:val="15"/>
                <w:szCs w:val="15"/>
                <w:color w:val="auto"/>
              </w:rPr>
              <w:t>Income tax receivable</w:t>
            </w:r>
          </w:p>
        </w:tc>
        <w:tc>
          <w:tcPr>
            <w:tcW w:w="2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987,912</w:t>
            </w: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987,912</w:t>
            </w:r>
          </w:p>
        </w:tc>
      </w:tr>
      <w:tr>
        <w:trPr>
          <w:trHeight w:val="170"/>
        </w:trPr>
        <w:tc>
          <w:tcPr>
            <w:tcW w:w="3080" w:type="dxa"/>
            <w:vAlign w:val="bottom"/>
          </w:tcPr>
          <w:p>
            <w:pPr>
              <w:ind w:left="340"/>
              <w:spacing w:after="0"/>
              <w:rPr>
                <w:sz w:val="20"/>
                <w:szCs w:val="20"/>
                <w:color w:val="auto"/>
              </w:rPr>
            </w:pPr>
            <w:r>
              <w:rPr>
                <w:rFonts w:ascii="Courier New" w:cs="Courier New" w:eastAsia="Courier New" w:hAnsi="Courier New"/>
                <w:sz w:val="15"/>
                <w:szCs w:val="15"/>
                <w:color w:val="auto"/>
              </w:rPr>
              <w:t>Deferred taxes</w:t>
            </w:r>
          </w:p>
        </w:tc>
        <w:tc>
          <w:tcPr>
            <w:tcW w:w="2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136,000</w:t>
            </w: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136,000</w:t>
            </w:r>
          </w:p>
        </w:tc>
      </w:tr>
      <w:tr>
        <w:trPr>
          <w:trHeight w:val="170"/>
        </w:trPr>
        <w:tc>
          <w:tcPr>
            <w:tcW w:w="3080" w:type="dxa"/>
            <w:vAlign w:val="bottom"/>
          </w:tcPr>
          <w:p>
            <w:pPr>
              <w:ind w:left="340"/>
              <w:spacing w:after="0"/>
              <w:rPr>
                <w:sz w:val="20"/>
                <w:szCs w:val="20"/>
                <w:color w:val="auto"/>
              </w:rPr>
            </w:pPr>
            <w:r>
              <w:rPr>
                <w:rFonts w:ascii="Courier New" w:cs="Courier New" w:eastAsia="Courier New" w:hAnsi="Courier New"/>
                <w:sz w:val="15"/>
                <w:szCs w:val="15"/>
                <w:color w:val="auto"/>
              </w:rPr>
              <w:t>Other current assets</w:t>
            </w:r>
          </w:p>
        </w:tc>
        <w:tc>
          <w:tcPr>
            <w:tcW w:w="2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678,744</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7,942</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(7,942)</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B</w:t>
            </w:r>
          </w:p>
        </w:tc>
        <w:tc>
          <w:tcPr>
            <w:tcW w:w="44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678,744</w:t>
            </w:r>
          </w:p>
        </w:tc>
      </w:tr>
      <w:tr>
        <w:trPr>
          <w:trHeight w:val="170"/>
        </w:trPr>
        <w:tc>
          <w:tcPr>
            <w:tcW w:w="3080" w:type="dxa"/>
            <w:vAlign w:val="bottom"/>
          </w:tcPr>
          <w:p>
            <w:pPr>
              <w:spacing w:after="0"/>
              <w:rPr>
                <w:sz w:val="14"/>
                <w:szCs w:val="14"/>
                <w:color w:val="auto"/>
              </w:rPr>
            </w:pPr>
          </w:p>
        </w:tc>
        <w:tc>
          <w:tcPr>
            <w:tcW w:w="3220" w:type="dxa"/>
            <w:vAlign w:val="bottom"/>
            <w:gridSpan w:val="2"/>
          </w:tcPr>
          <w:p>
            <w:pPr>
              <w:ind w:left="520"/>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2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14,816,321</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784,519</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(2,283,519)</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13,317,321</w:t>
            </w:r>
          </w:p>
        </w:tc>
      </w:tr>
      <w:tr>
        <w:trPr>
          <w:trHeight w:val="509"/>
        </w:trPr>
        <w:tc>
          <w:tcPr>
            <w:tcW w:w="308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2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3,050,349</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316,284</w:t>
            </w: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3,366,633</w:t>
            </w:r>
          </w:p>
        </w:tc>
      </w:tr>
      <w:tr>
        <w:trPr>
          <w:trHeight w:val="509"/>
        </w:trPr>
        <w:tc>
          <w:tcPr>
            <w:tcW w:w="30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0"/>
        </w:trPr>
        <w:tc>
          <w:tcPr>
            <w:tcW w:w="3080" w:type="dxa"/>
            <w:vAlign w:val="bottom"/>
          </w:tcPr>
          <w:p>
            <w:pPr>
              <w:ind w:left="340"/>
              <w:spacing w:after="0"/>
              <w:rPr>
                <w:sz w:val="20"/>
                <w:szCs w:val="20"/>
                <w:color w:val="auto"/>
              </w:rPr>
            </w:pPr>
            <w:r>
              <w:rPr>
                <w:rFonts w:ascii="Courier New" w:cs="Courier New" w:eastAsia="Courier New" w:hAnsi="Courier New"/>
                <w:sz w:val="15"/>
                <w:szCs w:val="15"/>
                <w:color w:val="auto"/>
              </w:rPr>
              <w:t>Deposits</w:t>
            </w:r>
          </w:p>
        </w:tc>
        <w:tc>
          <w:tcPr>
            <w:tcW w:w="21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62,250</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(3,000)</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B</w:t>
            </w:r>
          </w:p>
        </w:tc>
        <w:tc>
          <w:tcPr>
            <w:tcW w:w="44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59,250</w:t>
            </w:r>
          </w:p>
        </w:tc>
      </w:tr>
      <w:tr>
        <w:trPr>
          <w:trHeight w:val="339"/>
        </w:trPr>
        <w:tc>
          <w:tcPr>
            <w:tcW w:w="3080" w:type="dxa"/>
            <w:vAlign w:val="bottom"/>
          </w:tcPr>
          <w:p>
            <w:pPr>
              <w:ind w:left="340"/>
              <w:spacing w:after="0"/>
              <w:rPr>
                <w:sz w:val="20"/>
                <w:szCs w:val="20"/>
                <w:color w:val="auto"/>
              </w:rPr>
            </w:pPr>
            <w:r>
              <w:rPr>
                <w:rFonts w:ascii="Courier New" w:cs="Courier New" w:eastAsia="Courier New" w:hAnsi="Courier New"/>
                <w:sz w:val="15"/>
                <w:szCs w:val="15"/>
                <w:color w:val="auto"/>
              </w:rPr>
              <w:t>Organizational costs, net</w:t>
            </w:r>
          </w:p>
        </w:tc>
        <w:tc>
          <w:tcPr>
            <w:tcW w:w="2120" w:type="dxa"/>
            <w:vAlign w:val="bottom"/>
          </w:tcPr>
          <w:p>
            <w:pPr>
              <w:spacing w:after="0"/>
              <w:rPr>
                <w:sz w:val="24"/>
                <w:szCs w:val="2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12,556</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(12,556)</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B</w:t>
            </w:r>
          </w:p>
        </w:tc>
        <w:tc>
          <w:tcPr>
            <w:tcW w:w="440" w:type="dxa"/>
            <w:vAlign w:val="bottom"/>
          </w:tcPr>
          <w:p>
            <w:pPr>
              <w:spacing w:after="0"/>
              <w:rPr>
                <w:sz w:val="24"/>
                <w:szCs w:val="2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ind w:left="340"/>
              <w:spacing w:after="0"/>
              <w:rPr>
                <w:sz w:val="20"/>
                <w:szCs w:val="20"/>
                <w:color w:val="auto"/>
              </w:rPr>
            </w:pPr>
            <w:r>
              <w:rPr>
                <w:rFonts w:ascii="Courier New" w:cs="Courier New" w:eastAsia="Courier New" w:hAnsi="Courier New"/>
                <w:sz w:val="15"/>
                <w:szCs w:val="15"/>
                <w:color w:val="auto"/>
              </w:rPr>
              <w:t>Other assets</w:t>
            </w:r>
          </w:p>
        </w:tc>
        <w:tc>
          <w:tcPr>
            <w:tcW w:w="2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53,861</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21,624</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3,101,855</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D</w:t>
            </w:r>
          </w:p>
        </w:tc>
        <w:tc>
          <w:tcPr>
            <w:tcW w:w="44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3,177,340</w:t>
            </w:r>
          </w:p>
        </w:tc>
      </w:tr>
      <w:tr>
        <w:trPr>
          <w:trHeight w:val="170"/>
        </w:trPr>
        <w:tc>
          <w:tcPr>
            <w:tcW w:w="3080" w:type="dxa"/>
            <w:vAlign w:val="bottom"/>
          </w:tcPr>
          <w:p>
            <w:pPr>
              <w:spacing w:after="0"/>
              <w:rPr>
                <w:sz w:val="14"/>
                <w:szCs w:val="14"/>
                <w:color w:val="auto"/>
              </w:rPr>
            </w:pPr>
          </w:p>
        </w:tc>
        <w:tc>
          <w:tcPr>
            <w:tcW w:w="3220" w:type="dxa"/>
            <w:vAlign w:val="bottom"/>
            <w:gridSpan w:val="2"/>
          </w:tcPr>
          <w:p>
            <w:pPr>
              <w:ind w:left="520"/>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Total other assets</w:t>
            </w:r>
          </w:p>
        </w:tc>
        <w:tc>
          <w:tcPr>
            <w:tcW w:w="2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53,861</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96,430</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3,086,299</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3,236,590</w:t>
            </w:r>
          </w:p>
        </w:tc>
      </w:tr>
      <w:tr>
        <w:trPr>
          <w:trHeight w:val="170"/>
        </w:trPr>
        <w:tc>
          <w:tcPr>
            <w:tcW w:w="3080" w:type="dxa"/>
            <w:vAlign w:val="bottom"/>
          </w:tcPr>
          <w:p>
            <w:pPr>
              <w:spacing w:after="0"/>
              <w:rPr>
                <w:sz w:val="14"/>
                <w:szCs w:val="14"/>
                <w:color w:val="auto"/>
              </w:rPr>
            </w:pPr>
          </w:p>
        </w:tc>
        <w:tc>
          <w:tcPr>
            <w:tcW w:w="3220" w:type="dxa"/>
            <w:vAlign w:val="bottom"/>
            <w:gridSpan w:val="2"/>
          </w:tcPr>
          <w:p>
            <w:pPr>
              <w:ind w:left="520"/>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2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$17,920,531</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$ 1,197,233</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802,780</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$19,920,544</w:t>
            </w:r>
          </w:p>
        </w:tc>
      </w:tr>
      <w:tr>
        <w:trPr>
          <w:trHeight w:val="170"/>
        </w:trPr>
        <w:tc>
          <w:tcPr>
            <w:tcW w:w="3080" w:type="dxa"/>
            <w:vAlign w:val="bottom"/>
          </w:tcPr>
          <w:p>
            <w:pPr>
              <w:spacing w:after="0"/>
              <w:rPr>
                <w:sz w:val="14"/>
                <w:szCs w:val="14"/>
                <w:color w:val="auto"/>
              </w:rPr>
            </w:pPr>
          </w:p>
        </w:tc>
        <w:tc>
          <w:tcPr>
            <w:tcW w:w="4500" w:type="dxa"/>
            <w:vAlign w:val="bottom"/>
            <w:gridSpan w:val="3"/>
          </w:tcPr>
          <w:p>
            <w:pPr>
              <w:ind w:left="520"/>
              <w:spacing w:after="0"/>
              <w:rPr>
                <w:sz w:val="20"/>
                <w:szCs w:val="20"/>
                <w:color w:val="auto"/>
              </w:rPr>
            </w:pPr>
            <w:r>
              <w:rPr>
                <w:rFonts w:ascii="Courier New" w:cs="Courier New" w:eastAsia="Courier New" w:hAnsi="Courier New"/>
                <w:sz w:val="15"/>
                <w:szCs w:val="15"/>
                <w:color w:val="auto"/>
                <w:w w:val="97"/>
              </w:rPr>
              <w:t>=============================================</w:t>
            </w:r>
          </w:p>
        </w:tc>
        <w:tc>
          <w:tcPr>
            <w:tcW w:w="260" w:type="dxa"/>
            <w:vAlign w:val="bottom"/>
          </w:tcPr>
          <w:p>
            <w:pPr>
              <w:spacing w:after="0"/>
              <w:rPr>
                <w:sz w:val="14"/>
                <w:szCs w:val="14"/>
                <w:color w:val="auto"/>
              </w:rPr>
            </w:pPr>
          </w:p>
        </w:tc>
        <w:tc>
          <w:tcPr>
            <w:tcW w:w="18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848"/>
        </w:trPr>
        <w:tc>
          <w:tcPr>
            <w:tcW w:w="30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ind w:left="380"/>
              <w:spacing w:after="0"/>
              <w:rPr>
                <w:sz w:val="20"/>
                <w:szCs w:val="20"/>
                <w:color w:val="auto"/>
              </w:rPr>
            </w:pPr>
            <w:r>
              <w:rPr>
                <w:rFonts w:ascii="Courier New" w:cs="Courier New" w:eastAsia="Courier New" w:hAnsi="Courier New"/>
                <w:sz w:val="15"/>
                <w:szCs w:val="15"/>
                <w:color w:val="auto"/>
              </w:rPr>
              <w:t>F-19</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0219"/>
          </w:cols>
          <w:pgMar w:left="240" w:top="791" w:right="1440"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27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Historical</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0"/>
        </w:trPr>
        <w:tc>
          <w:tcPr>
            <w:tcW w:w="4880" w:type="dxa"/>
            <w:vAlign w:val="bottom"/>
          </w:tcPr>
          <w:p>
            <w:pPr>
              <w:spacing w:after="0"/>
              <w:rPr>
                <w:sz w:val="14"/>
                <w:szCs w:val="14"/>
                <w:color w:val="auto"/>
              </w:rPr>
            </w:pPr>
          </w:p>
        </w:tc>
        <w:tc>
          <w:tcPr>
            <w:tcW w:w="27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0"/>
        </w:trPr>
        <w:tc>
          <w:tcPr>
            <w:tcW w:w="4880" w:type="dxa"/>
            <w:vAlign w:val="bottom"/>
          </w:tcPr>
          <w:p>
            <w:pPr>
              <w:spacing w:after="0"/>
              <w:rPr>
                <w:sz w:val="14"/>
                <w:szCs w:val="14"/>
                <w:color w:val="auto"/>
              </w:rPr>
            </w:pPr>
          </w:p>
        </w:tc>
        <w:tc>
          <w:tcPr>
            <w:tcW w:w="16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Gentner</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0"/>
        </w:trPr>
        <w:tc>
          <w:tcPr>
            <w:tcW w:w="4880" w:type="dxa"/>
            <w:vAlign w:val="bottom"/>
          </w:tcPr>
          <w:p>
            <w:pPr>
              <w:spacing w:after="0"/>
              <w:rPr>
                <w:sz w:val="14"/>
                <w:szCs w:val="14"/>
                <w:color w:val="auto"/>
              </w:rPr>
            </w:pPr>
          </w:p>
        </w:tc>
        <w:tc>
          <w:tcPr>
            <w:tcW w:w="16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Communications</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ClearOne,</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Pro Forma</w:t>
            </w:r>
          </w:p>
        </w:tc>
        <w:tc>
          <w:tcPr>
            <w:tcW w:w="260" w:type="dxa"/>
            <w:vAlign w:val="bottom"/>
          </w:tcPr>
          <w:p>
            <w:pPr>
              <w:spacing w:after="0"/>
              <w:rPr>
                <w:sz w:val="14"/>
                <w:szCs w:val="14"/>
                <w:color w:val="auto"/>
              </w:rPr>
            </w:pPr>
          </w:p>
        </w:tc>
        <w:tc>
          <w:tcPr>
            <w:tcW w:w="1840" w:type="dxa"/>
            <w:vAlign w:val="bottom"/>
          </w:tcPr>
          <w:p>
            <w:pPr>
              <w:ind w:left="700"/>
              <w:spacing w:after="0"/>
              <w:rPr>
                <w:sz w:val="20"/>
                <w:szCs w:val="20"/>
                <w:color w:val="auto"/>
              </w:rPr>
            </w:pPr>
            <w:r>
              <w:rPr>
                <w:rFonts w:ascii="Courier New" w:cs="Courier New" w:eastAsia="Courier New" w:hAnsi="Courier New"/>
                <w:sz w:val="15"/>
                <w:szCs w:val="15"/>
                <w:color w:val="auto"/>
              </w:rPr>
              <w:t>Pro Forma</w:t>
            </w:r>
          </w:p>
        </w:tc>
      </w:tr>
      <w:tr>
        <w:trPr>
          <w:trHeight w:val="170"/>
        </w:trPr>
        <w:tc>
          <w:tcPr>
            <w:tcW w:w="4880" w:type="dxa"/>
            <w:vAlign w:val="bottom"/>
          </w:tcPr>
          <w:p>
            <w:pPr>
              <w:spacing w:after="0"/>
              <w:rPr>
                <w:sz w:val="14"/>
                <w:szCs w:val="14"/>
                <w:color w:val="auto"/>
              </w:rPr>
            </w:pPr>
          </w:p>
        </w:tc>
        <w:tc>
          <w:tcPr>
            <w:tcW w:w="1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Corporation</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Inc.</w:t>
            </w:r>
          </w:p>
        </w:tc>
        <w:tc>
          <w:tcPr>
            <w:tcW w:w="124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6"/>
              </w:rPr>
              <w:t>Adjustments</w:t>
            </w:r>
          </w:p>
        </w:tc>
        <w:tc>
          <w:tcPr>
            <w:tcW w:w="260" w:type="dxa"/>
            <w:vAlign w:val="bottom"/>
          </w:tcPr>
          <w:p>
            <w:pPr>
              <w:spacing w:after="0"/>
              <w:rPr>
                <w:sz w:val="14"/>
                <w:szCs w:val="14"/>
                <w:color w:val="auto"/>
              </w:rPr>
            </w:pPr>
          </w:p>
        </w:tc>
        <w:tc>
          <w:tcPr>
            <w:tcW w:w="1840" w:type="dxa"/>
            <w:vAlign w:val="bottom"/>
          </w:tcPr>
          <w:p>
            <w:pPr>
              <w:ind w:left="700"/>
              <w:spacing w:after="0"/>
              <w:rPr>
                <w:sz w:val="20"/>
                <w:szCs w:val="20"/>
                <w:color w:val="auto"/>
              </w:rPr>
            </w:pPr>
            <w:r>
              <w:rPr>
                <w:rFonts w:ascii="Courier New" w:cs="Courier New" w:eastAsia="Courier New" w:hAnsi="Courier New"/>
                <w:sz w:val="15"/>
                <w:szCs w:val="15"/>
                <w:color w:val="auto"/>
              </w:rPr>
              <w:t>Combined</w:t>
            </w:r>
          </w:p>
        </w:tc>
      </w:tr>
      <w:tr>
        <w:trPr>
          <w:trHeight w:val="170"/>
        </w:trPr>
        <w:tc>
          <w:tcPr>
            <w:tcW w:w="4880" w:type="dxa"/>
            <w:vAlign w:val="bottom"/>
          </w:tcPr>
          <w:p>
            <w:pPr>
              <w:spacing w:after="0"/>
              <w:rPr>
                <w:sz w:val="14"/>
                <w:szCs w:val="14"/>
                <w:color w:val="auto"/>
              </w:rPr>
            </w:pPr>
          </w:p>
        </w:tc>
        <w:tc>
          <w:tcPr>
            <w:tcW w:w="6120" w:type="dxa"/>
            <w:vAlign w:val="bottom"/>
            <w:gridSpan w:val="6"/>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339"/>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Accounts payable</w:t>
            </w:r>
          </w:p>
        </w:tc>
        <w:tc>
          <w:tcPr>
            <w:tcW w:w="1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767,095</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27,362</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12"/>
              <w:spacing w:after="0"/>
              <w:rPr>
                <w:sz w:val="20"/>
                <w:szCs w:val="20"/>
                <w:color w:val="auto"/>
              </w:rPr>
            </w:pPr>
            <w:r>
              <w:rPr>
                <w:rFonts w:ascii="Courier New" w:cs="Courier New" w:eastAsia="Courier New" w:hAnsi="Courier New"/>
                <w:sz w:val="15"/>
                <w:szCs w:val="15"/>
                <w:color w:val="auto"/>
              </w:rPr>
              <w:t>(27,362) B</w:t>
            </w: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767,095</w:t>
            </w:r>
          </w:p>
        </w:tc>
      </w:tr>
      <w:tr>
        <w:trPr>
          <w:trHeight w:val="170"/>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Accrued expenses</w:t>
            </w:r>
          </w:p>
        </w:tc>
        <w:tc>
          <w:tcPr>
            <w:tcW w:w="1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1,739,826</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86,133</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(86,133)</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B</w:t>
            </w: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1,739,826</w:t>
            </w:r>
          </w:p>
        </w:tc>
      </w:tr>
      <w:tr>
        <w:trPr>
          <w:trHeight w:val="170"/>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Current portion of capital lease obligation</w:t>
            </w:r>
          </w:p>
        </w:tc>
        <w:tc>
          <w:tcPr>
            <w:tcW w:w="1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249,859</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249,859</w:t>
            </w:r>
          </w:p>
        </w:tc>
      </w:tr>
      <w:tr>
        <w:trPr>
          <w:trHeight w:val="170"/>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Short-term portion of stockholder loan</w:t>
            </w:r>
          </w:p>
        </w:tc>
        <w:tc>
          <w:tcPr>
            <w:tcW w:w="164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2,892,000</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(2,892,000)</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E</w:t>
            </w: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14"/>
                <w:szCs w:val="14"/>
                <w:color w:val="auto"/>
              </w:rPr>
            </w:pPr>
          </w:p>
        </w:tc>
        <w:tc>
          <w:tcPr>
            <w:tcW w:w="278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1"/>
              </w:rPr>
              <w:t>---------------------------------------------</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ind w:left="700"/>
              <w:spacing w:after="0"/>
              <w:rPr>
                <w:sz w:val="20"/>
                <w:szCs w:val="20"/>
                <w:color w:val="auto"/>
              </w:rPr>
            </w:pPr>
            <w:r>
              <w:rPr>
                <w:rFonts w:ascii="Courier New" w:cs="Courier New" w:eastAsia="Courier New" w:hAnsi="Courier New"/>
                <w:sz w:val="15"/>
                <w:szCs w:val="15"/>
                <w:color w:val="auto"/>
              </w:rPr>
              <w:t>Total current liabilities</w:t>
            </w:r>
          </w:p>
        </w:tc>
        <w:tc>
          <w:tcPr>
            <w:tcW w:w="1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2,756,780</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3,005,495</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(3,005,495)</w:t>
            </w:r>
          </w:p>
        </w:tc>
        <w:tc>
          <w:tcPr>
            <w:tcW w:w="260" w:type="dxa"/>
            <w:vAlign w:val="bottom"/>
          </w:tcPr>
          <w:p>
            <w:pPr>
              <w:spacing w:after="0"/>
              <w:rPr>
                <w:sz w:val="14"/>
                <w:szCs w:val="14"/>
                <w:color w:val="auto"/>
              </w:rPr>
            </w:pP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2,756,780</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Capital lease obligations</w:t>
            </w:r>
          </w:p>
        </w:tc>
        <w:tc>
          <w:tcPr>
            <w:tcW w:w="1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205,530</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205,530</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Deferred tax liability</w:t>
            </w:r>
          </w:p>
        </w:tc>
        <w:tc>
          <w:tcPr>
            <w:tcW w:w="1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205,000</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205,000</w:t>
            </w:r>
          </w:p>
        </w:tc>
      </w:tr>
      <w:tr>
        <w:trPr>
          <w:trHeight w:val="170"/>
        </w:trPr>
        <w:tc>
          <w:tcPr>
            <w:tcW w:w="4880" w:type="dxa"/>
            <w:vAlign w:val="bottom"/>
          </w:tcPr>
          <w:p>
            <w:pPr>
              <w:spacing w:after="0"/>
              <w:rPr>
                <w:sz w:val="14"/>
                <w:szCs w:val="14"/>
                <w:color w:val="auto"/>
              </w:rPr>
            </w:pP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ind w:left="700"/>
              <w:spacing w:after="0"/>
              <w:rPr>
                <w:sz w:val="20"/>
                <w:szCs w:val="20"/>
                <w:color w:val="auto"/>
              </w:rPr>
            </w:pPr>
            <w:r>
              <w:rPr>
                <w:rFonts w:ascii="Courier New" w:cs="Courier New" w:eastAsia="Courier New" w:hAnsi="Courier New"/>
                <w:sz w:val="15"/>
                <w:szCs w:val="15"/>
                <w:color w:val="auto"/>
              </w:rPr>
              <w:t>Total liabilities</w:t>
            </w:r>
          </w:p>
        </w:tc>
        <w:tc>
          <w:tcPr>
            <w:tcW w:w="1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3,167,310</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3,167,310</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Common stock, 50,000,000 shares authorized, par</w:t>
            </w: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0"/>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value $.001, 8,427,145 issued and outstanding  at</w:t>
            </w: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0"/>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June 30, 2000</w:t>
            </w:r>
          </w:p>
        </w:tc>
        <w:tc>
          <w:tcPr>
            <w:tcW w:w="1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8,427</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130</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G</w:t>
            </w: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8,557</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Series B Preferred Stock, $.01 par value; 2,000,000</w:t>
            </w: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0"/>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shares authorized, issued and outstanding</w:t>
            </w:r>
          </w:p>
        </w:tc>
        <w:tc>
          <w:tcPr>
            <w:tcW w:w="164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20,000</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(20,000)</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C</w:t>
            </w: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Series A Preferred Stock, $.01 par value; 1,000,000</w:t>
            </w: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0"/>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shares authorized, 627,050 shares issued and</w:t>
            </w:r>
          </w:p>
        </w:tc>
        <w:tc>
          <w:tcPr>
            <w:tcW w:w="164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6,271</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(6,271)</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C</w:t>
            </w: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Common Stock $.01 par value; 11,000,000 shares</w:t>
            </w: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0"/>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w w:val="98"/>
              </w:rPr>
              <w:t>authorized, 3,200,000 shares issued and outstanding</w:t>
            </w:r>
          </w:p>
        </w:tc>
        <w:tc>
          <w:tcPr>
            <w:tcW w:w="164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32,000</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(32,000)</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C</w:t>
            </w: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Additional paid-in capital</w:t>
            </w:r>
          </w:p>
        </w:tc>
        <w:tc>
          <w:tcPr>
            <w:tcW w:w="1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6,697,090</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5,626,060</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(5,626,060)</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C</w:t>
            </w:r>
          </w:p>
        </w:tc>
        <w:tc>
          <w:tcPr>
            <w:tcW w:w="1840" w:type="dxa"/>
            <w:vAlign w:val="bottom"/>
          </w:tcPr>
          <w:p>
            <w:pPr>
              <w:spacing w:after="0"/>
              <w:rPr>
                <w:sz w:val="14"/>
                <w:szCs w:val="14"/>
                <w:color w:val="auto"/>
              </w:rPr>
            </w:pPr>
          </w:p>
        </w:tc>
      </w:tr>
      <w:tr>
        <w:trPr>
          <w:trHeight w:val="170"/>
        </w:trPr>
        <w:tc>
          <w:tcPr>
            <w:tcW w:w="4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1,999,883</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G</w:t>
            </w: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8,696,973</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Less: Stock subscription receivable</w:t>
            </w:r>
          </w:p>
        </w:tc>
        <w:tc>
          <w:tcPr>
            <w:tcW w:w="164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(330)</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330</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C</w:t>
            </w: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Retained earnings (accumulated deficit)</w:t>
            </w:r>
          </w:p>
        </w:tc>
        <w:tc>
          <w:tcPr>
            <w:tcW w:w="1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8,047,704</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(7,470,263)</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7,470,263</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C</w:t>
            </w: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8,047,704</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Less: Donated treasury stock, 2,200,000 common shares</w:t>
            </w: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0"/>
        </w:trPr>
        <w:tc>
          <w:tcPr>
            <w:tcW w:w="4880" w:type="dxa"/>
            <w:vAlign w:val="bottom"/>
          </w:tcPr>
          <w:p>
            <w:pPr>
              <w:ind w:left="440"/>
              <w:spacing w:after="0"/>
              <w:rPr>
                <w:sz w:val="20"/>
                <w:szCs w:val="20"/>
                <w:color w:val="auto"/>
              </w:rPr>
            </w:pPr>
            <w:r>
              <w:rPr>
                <w:rFonts w:ascii="Courier New" w:cs="Courier New" w:eastAsia="Courier New" w:hAnsi="Courier New"/>
                <w:sz w:val="15"/>
                <w:szCs w:val="15"/>
                <w:color w:val="auto"/>
              </w:rPr>
              <w:t>at cost</w:t>
            </w:r>
          </w:p>
        </w:tc>
        <w:tc>
          <w:tcPr>
            <w:tcW w:w="164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(22,000)</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22,000</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C</w:t>
            </w: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14"/>
                <w:szCs w:val="14"/>
                <w:color w:val="auto"/>
              </w:rPr>
            </w:pPr>
          </w:p>
        </w:tc>
        <w:tc>
          <w:tcPr>
            <w:tcW w:w="278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1"/>
              </w:rPr>
              <w:t>---------------------------------------------</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Total shareholders' equity</w:t>
            </w:r>
          </w:p>
        </w:tc>
        <w:tc>
          <w:tcPr>
            <w:tcW w:w="1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14,753,221</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(1,808,262)</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3,808,275</w:t>
            </w:r>
          </w:p>
        </w:tc>
        <w:tc>
          <w:tcPr>
            <w:tcW w:w="260" w:type="dxa"/>
            <w:vAlign w:val="bottom"/>
          </w:tcPr>
          <w:p>
            <w:pPr>
              <w:spacing w:after="0"/>
              <w:rPr>
                <w:sz w:val="14"/>
                <w:szCs w:val="14"/>
                <w:color w:val="auto"/>
              </w:rPr>
            </w:pP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16,753,234</w:t>
            </w:r>
          </w:p>
        </w:tc>
      </w:tr>
      <w:tr>
        <w:trPr>
          <w:trHeight w:val="170"/>
        </w:trPr>
        <w:tc>
          <w:tcPr>
            <w:tcW w:w="4880" w:type="dxa"/>
            <w:vAlign w:val="bottom"/>
          </w:tcPr>
          <w:p>
            <w:pPr>
              <w:spacing w:after="0"/>
              <w:rPr>
                <w:sz w:val="14"/>
                <w:szCs w:val="14"/>
                <w:color w:val="auto"/>
              </w:rPr>
            </w:pPr>
          </w:p>
        </w:tc>
        <w:tc>
          <w:tcPr>
            <w:tcW w:w="278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1"/>
              </w:rPr>
              <w:t>---------------------------------------------</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$17,920,531</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$ 1,197,233</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802,780</w:t>
            </w:r>
          </w:p>
        </w:tc>
        <w:tc>
          <w:tcPr>
            <w:tcW w:w="260" w:type="dxa"/>
            <w:vAlign w:val="bottom"/>
          </w:tcPr>
          <w:p>
            <w:pPr>
              <w:spacing w:after="0"/>
              <w:rPr>
                <w:sz w:val="14"/>
                <w:szCs w:val="14"/>
                <w:color w:val="auto"/>
              </w:rPr>
            </w:pP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$19,920,544</w:t>
            </w:r>
          </w:p>
        </w:tc>
      </w:tr>
      <w:tr>
        <w:trPr>
          <w:trHeight w:val="170"/>
        </w:trPr>
        <w:tc>
          <w:tcPr>
            <w:tcW w:w="4880" w:type="dxa"/>
            <w:vAlign w:val="bottom"/>
          </w:tcPr>
          <w:p>
            <w:pPr>
              <w:spacing w:after="0"/>
              <w:rPr>
                <w:sz w:val="14"/>
                <w:szCs w:val="14"/>
                <w:color w:val="auto"/>
              </w:rPr>
            </w:pPr>
          </w:p>
        </w:tc>
        <w:tc>
          <w:tcPr>
            <w:tcW w:w="402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7"/>
              </w:rPr>
              <w:t>=============================================</w:t>
            </w:r>
          </w:p>
        </w:tc>
        <w:tc>
          <w:tcPr>
            <w:tcW w:w="260" w:type="dxa"/>
            <w:vAlign w:val="bottom"/>
          </w:tcPr>
          <w:p>
            <w:pPr>
              <w:spacing w:after="0"/>
              <w:rPr>
                <w:sz w:val="14"/>
                <w:szCs w:val="14"/>
                <w:color w:val="auto"/>
              </w:rPr>
            </w:pPr>
          </w:p>
        </w:tc>
        <w:tc>
          <w:tcPr>
            <w:tcW w:w="1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See accompanying notes to unaudited pro forma</w:t>
      </w:r>
    </w:p>
    <w:p>
      <w:pPr>
        <w:ind w:left="1760"/>
        <w:spacing w:after="0"/>
        <w:rPr>
          <w:sz w:val="20"/>
          <w:szCs w:val="20"/>
          <w:color w:val="auto"/>
        </w:rPr>
      </w:pPr>
      <w:r>
        <w:rPr>
          <w:rFonts w:ascii="Courier New" w:cs="Courier New" w:eastAsia="Courier New" w:hAnsi="Courier New"/>
          <w:sz w:val="15"/>
          <w:szCs w:val="15"/>
          <w:color w:val="auto"/>
        </w:rPr>
        <w:t>condensed combined financial statements</w:t>
      </w:r>
    </w:p>
    <w:p>
      <w:pPr>
        <w:spacing w:after="0" w:line="200" w:lineRule="exact"/>
        <w:rPr>
          <w:sz w:val="20"/>
          <w:szCs w:val="20"/>
          <w:color w:val="auto"/>
        </w:rPr>
      </w:pPr>
    </w:p>
    <w:p>
      <w:pPr>
        <w:spacing w:after="0" w:line="308" w:lineRule="exact"/>
        <w:rPr>
          <w:sz w:val="20"/>
          <w:szCs w:val="20"/>
          <w:color w:val="auto"/>
        </w:rPr>
      </w:pPr>
    </w:p>
    <w:p>
      <w:pPr>
        <w:ind w:left="668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1000"/>
          </w:cols>
          <w:pgMar w:left="240" w:top="1130" w:right="659" w:bottom="1440" w:gutter="0" w:footer="0" w:header="0"/>
        </w:sectPr>
      </w:pPr>
    </w:p>
    <w:bookmarkStart w:id="22" w:name="page23"/>
    <w:bookmarkEnd w:id="22"/>
    <w:p>
      <w:pPr>
        <w:jc w:val="center"/>
        <w:ind w:right="3960"/>
        <w:spacing w:after="0"/>
        <w:rPr>
          <w:sz w:val="20"/>
          <w:szCs w:val="20"/>
          <w:color w:val="auto"/>
        </w:rPr>
      </w:pPr>
      <w:r>
        <w:rPr>
          <w:rFonts w:ascii="Courier New" w:cs="Courier New" w:eastAsia="Courier New" w:hAnsi="Courier New"/>
          <w:sz w:val="15"/>
          <w:szCs w:val="15"/>
          <w:color w:val="auto"/>
        </w:rPr>
        <w:t>Unaudited Pro Forma Condensed Combined Statement of Operations</w:t>
      </w:r>
    </w:p>
    <w:p>
      <w:pPr>
        <w:jc w:val="center"/>
        <w:ind w:right="3960"/>
        <w:spacing w:after="0"/>
        <w:rPr>
          <w:sz w:val="20"/>
          <w:szCs w:val="20"/>
          <w:color w:val="auto"/>
        </w:rPr>
      </w:pPr>
      <w:r>
        <w:rPr>
          <w:rFonts w:ascii="Courier New" w:cs="Courier New" w:eastAsia="Courier New" w:hAnsi="Courier New"/>
          <w:sz w:val="15"/>
          <w:szCs w:val="15"/>
          <w:color w:val="auto"/>
        </w:rPr>
        <w:t>For the year ended June 30, 2000</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60" w:type="dxa"/>
            <w:vAlign w:val="bottom"/>
            <w:gridSpan w:val="3"/>
          </w:tcPr>
          <w:p>
            <w:pPr>
              <w:jc w:val="right"/>
              <w:ind w:right="767"/>
              <w:spacing w:after="0"/>
              <w:rPr>
                <w:sz w:val="20"/>
                <w:szCs w:val="20"/>
                <w:color w:val="auto"/>
              </w:rPr>
            </w:pPr>
            <w:r>
              <w:rPr>
                <w:rFonts w:ascii="Courier New" w:cs="Courier New" w:eastAsia="Courier New" w:hAnsi="Courier New"/>
                <w:sz w:val="15"/>
                <w:szCs w:val="15"/>
                <w:color w:val="auto"/>
              </w:rPr>
              <w:t>Historical</w:t>
            </w: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70"/>
        </w:trPr>
        <w:tc>
          <w:tcPr>
            <w:tcW w:w="4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60" w:type="dxa"/>
            <w:vAlign w:val="bottom"/>
            <w:gridSpan w:val="3"/>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70"/>
        </w:trPr>
        <w:tc>
          <w:tcPr>
            <w:tcW w:w="4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Gentner</w:t>
            </w: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70"/>
        </w:trPr>
        <w:tc>
          <w:tcPr>
            <w:tcW w:w="4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Communications</w:t>
            </w:r>
          </w:p>
        </w:tc>
        <w:tc>
          <w:tcPr>
            <w:tcW w:w="4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ClearOne,</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Pro Forma</w:t>
            </w:r>
          </w:p>
        </w:tc>
        <w:tc>
          <w:tcPr>
            <w:tcW w:w="220" w:type="dxa"/>
            <w:vAlign w:val="bottom"/>
          </w:tcPr>
          <w:p>
            <w:pPr>
              <w:spacing w:after="0"/>
              <w:rPr>
                <w:sz w:val="14"/>
                <w:szCs w:val="14"/>
                <w:color w:val="auto"/>
              </w:rPr>
            </w:pPr>
          </w:p>
        </w:tc>
        <w:tc>
          <w:tcPr>
            <w:tcW w:w="20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Pro Forma</w:t>
            </w:r>
          </w:p>
        </w:tc>
      </w:tr>
      <w:tr>
        <w:trPr>
          <w:trHeight w:val="170"/>
        </w:trPr>
        <w:tc>
          <w:tcPr>
            <w:tcW w:w="4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Corporation</w:t>
            </w:r>
          </w:p>
        </w:tc>
        <w:tc>
          <w:tcPr>
            <w:tcW w:w="48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Inc.</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Adjustments</w:t>
            </w:r>
          </w:p>
        </w:tc>
        <w:tc>
          <w:tcPr>
            <w:tcW w:w="220" w:type="dxa"/>
            <w:vAlign w:val="bottom"/>
          </w:tcPr>
          <w:p>
            <w:pPr>
              <w:spacing w:after="0"/>
              <w:rPr>
                <w:sz w:val="14"/>
                <w:szCs w:val="14"/>
                <w:color w:val="auto"/>
              </w:rPr>
            </w:pPr>
          </w:p>
        </w:tc>
        <w:tc>
          <w:tcPr>
            <w:tcW w:w="20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Combined</w:t>
            </w:r>
          </w:p>
        </w:tc>
      </w:tr>
      <w:tr>
        <w:trPr>
          <w:trHeight w:val="170"/>
        </w:trPr>
        <w:tc>
          <w:tcPr>
            <w:tcW w:w="4260" w:type="dxa"/>
            <w:vAlign w:val="bottom"/>
          </w:tcPr>
          <w:p>
            <w:pPr>
              <w:spacing w:after="0"/>
              <w:rPr>
                <w:sz w:val="14"/>
                <w:szCs w:val="14"/>
                <w:color w:val="auto"/>
              </w:rPr>
            </w:pPr>
          </w:p>
        </w:tc>
        <w:tc>
          <w:tcPr>
            <w:tcW w:w="674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42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30,871,942</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98,588</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400,000</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H</w:t>
            </w:r>
          </w:p>
        </w:tc>
        <w:tc>
          <w:tcPr>
            <w:tcW w:w="2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$ 31,370,530</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32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11,932,811</w:t>
            </w:r>
          </w:p>
        </w:tc>
        <w:tc>
          <w:tcPr>
            <w:tcW w:w="4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77,994</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91,180</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I</w:t>
            </w:r>
          </w:p>
        </w:tc>
        <w:tc>
          <w:tcPr>
            <w:tcW w:w="2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12,101,985</w:t>
            </w:r>
          </w:p>
        </w:tc>
      </w:tr>
      <w:tr>
        <w:trPr>
          <w:trHeight w:val="170"/>
        </w:trPr>
        <w:tc>
          <w:tcPr>
            <w:tcW w:w="4260" w:type="dxa"/>
            <w:vAlign w:val="bottom"/>
          </w:tcPr>
          <w:p>
            <w:pPr>
              <w:spacing w:after="0"/>
              <w:rPr>
                <w:sz w:val="14"/>
                <w:szCs w:val="14"/>
                <w:color w:val="auto"/>
              </w:rPr>
            </w:pPr>
          </w:p>
        </w:tc>
        <w:tc>
          <w:tcPr>
            <w:tcW w:w="1640" w:type="dxa"/>
            <w:vAlign w:val="bottom"/>
            <w:gridSpan w:val="2"/>
          </w:tcPr>
          <w:p>
            <w:pPr>
              <w:ind w:left="40"/>
              <w:spacing w:after="0"/>
              <w:rPr>
                <w:sz w:val="20"/>
                <w:szCs w:val="20"/>
                <w:color w:val="auto"/>
              </w:rPr>
            </w:pPr>
            <w:r>
              <w:rPr>
                <w:rFonts w:ascii="Courier New" w:cs="Courier New" w:eastAsia="Courier New" w:hAnsi="Courier New"/>
                <w:sz w:val="7"/>
                <w:szCs w:val="7"/>
                <w:color w:val="auto"/>
                <w:w w:val="75"/>
              </w:rPr>
              <w:t>--------------------------------------------------</w:t>
            </w: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Gross profit</w:t>
            </w:r>
          </w:p>
        </w:tc>
        <w:tc>
          <w:tcPr>
            <w:tcW w:w="32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18,939,131</w:t>
            </w:r>
          </w:p>
        </w:tc>
        <w:tc>
          <w:tcPr>
            <w:tcW w:w="4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20,594</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308,820</w:t>
            </w:r>
          </w:p>
        </w:tc>
        <w:tc>
          <w:tcPr>
            <w:tcW w:w="220" w:type="dxa"/>
            <w:vAlign w:val="bottom"/>
          </w:tcPr>
          <w:p>
            <w:pPr>
              <w:spacing w:after="0"/>
              <w:rPr>
                <w:sz w:val="14"/>
                <w:szCs w:val="14"/>
                <w:color w:val="auto"/>
              </w:rPr>
            </w:pPr>
          </w:p>
        </w:tc>
        <w:tc>
          <w:tcPr>
            <w:tcW w:w="2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19,268,545</w:t>
            </w:r>
          </w:p>
        </w:tc>
      </w:tr>
      <w:tr>
        <w:trPr>
          <w:trHeight w:val="509"/>
        </w:trPr>
        <w:tc>
          <w:tcPr>
            <w:tcW w:w="42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70"/>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Marketing and selling</w:t>
            </w:r>
          </w:p>
        </w:tc>
        <w:tc>
          <w:tcPr>
            <w:tcW w:w="32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6,763,752</w:t>
            </w:r>
          </w:p>
        </w:tc>
        <w:tc>
          <w:tcPr>
            <w:tcW w:w="4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299,832</w:t>
            </w: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7,063,584</w:t>
            </w:r>
          </w:p>
        </w:tc>
      </w:tr>
      <w:tr>
        <w:trPr>
          <w:trHeight w:val="170"/>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General and administrative</w:t>
            </w:r>
          </w:p>
        </w:tc>
        <w:tc>
          <w:tcPr>
            <w:tcW w:w="32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3,132,125</w:t>
            </w:r>
          </w:p>
        </w:tc>
        <w:tc>
          <w:tcPr>
            <w:tcW w:w="4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687,667</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268,124</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D</w:t>
            </w:r>
          </w:p>
        </w:tc>
        <w:tc>
          <w:tcPr>
            <w:tcW w:w="2060" w:type="dxa"/>
            <w:vAlign w:val="bottom"/>
          </w:tcPr>
          <w:p>
            <w:pPr>
              <w:spacing w:after="0"/>
              <w:rPr>
                <w:sz w:val="14"/>
                <w:szCs w:val="14"/>
                <w:color w:val="auto"/>
              </w:rPr>
            </w:pPr>
          </w:p>
        </w:tc>
      </w:tr>
      <w:tr>
        <w:trPr>
          <w:trHeight w:val="170"/>
        </w:trPr>
        <w:tc>
          <w:tcPr>
            <w:tcW w:w="4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207,850</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I</w:t>
            </w:r>
          </w:p>
        </w:tc>
        <w:tc>
          <w:tcPr>
            <w:tcW w:w="2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4,295,766</w:t>
            </w:r>
          </w:p>
        </w:tc>
      </w:tr>
      <w:tr>
        <w:trPr>
          <w:trHeight w:val="170"/>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Research and product development</w:t>
            </w:r>
          </w:p>
        </w:tc>
        <w:tc>
          <w:tcPr>
            <w:tcW w:w="32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1,821,656</w:t>
            </w:r>
          </w:p>
        </w:tc>
        <w:tc>
          <w:tcPr>
            <w:tcW w:w="4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243,187</w:t>
            </w: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2,064,843</w:t>
            </w:r>
          </w:p>
        </w:tc>
      </w:tr>
      <w:tr>
        <w:trPr>
          <w:trHeight w:val="170"/>
        </w:trPr>
        <w:tc>
          <w:tcPr>
            <w:tcW w:w="4260" w:type="dxa"/>
            <w:vAlign w:val="bottom"/>
          </w:tcPr>
          <w:p>
            <w:pPr>
              <w:spacing w:after="0"/>
              <w:rPr>
                <w:sz w:val="14"/>
                <w:szCs w:val="14"/>
                <w:color w:val="auto"/>
              </w:rPr>
            </w:pPr>
          </w:p>
        </w:tc>
        <w:tc>
          <w:tcPr>
            <w:tcW w:w="1640" w:type="dxa"/>
            <w:vAlign w:val="bottom"/>
            <w:gridSpan w:val="2"/>
          </w:tcPr>
          <w:p>
            <w:pPr>
              <w:ind w:left="40"/>
              <w:spacing w:after="0"/>
              <w:rPr>
                <w:sz w:val="20"/>
                <w:szCs w:val="20"/>
                <w:color w:val="auto"/>
              </w:rPr>
            </w:pPr>
            <w:r>
              <w:rPr>
                <w:rFonts w:ascii="Courier New" w:cs="Courier New" w:eastAsia="Courier New" w:hAnsi="Courier New"/>
                <w:sz w:val="7"/>
                <w:szCs w:val="7"/>
                <w:color w:val="auto"/>
                <w:w w:val="75"/>
              </w:rPr>
              <w:t>--------------------------------------------------</w:t>
            </w: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ind w:left="700"/>
              <w:spacing w:after="0"/>
              <w:rPr>
                <w:sz w:val="20"/>
                <w:szCs w:val="20"/>
                <w:color w:val="auto"/>
              </w:rPr>
            </w:pPr>
            <w:r>
              <w:rPr>
                <w:rFonts w:ascii="Courier New" w:cs="Courier New" w:eastAsia="Courier New" w:hAnsi="Courier New"/>
                <w:sz w:val="15"/>
                <w:szCs w:val="15"/>
                <w:color w:val="auto"/>
              </w:rPr>
              <w:t>Total operating expenses</w:t>
            </w:r>
          </w:p>
        </w:tc>
        <w:tc>
          <w:tcPr>
            <w:tcW w:w="32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11,717,533</w:t>
            </w:r>
          </w:p>
        </w:tc>
        <w:tc>
          <w:tcPr>
            <w:tcW w:w="4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1,230,686</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475,974</w:t>
            </w:r>
          </w:p>
        </w:tc>
        <w:tc>
          <w:tcPr>
            <w:tcW w:w="220" w:type="dxa"/>
            <w:vAlign w:val="bottom"/>
          </w:tcPr>
          <w:p>
            <w:pPr>
              <w:spacing w:after="0"/>
              <w:rPr>
                <w:sz w:val="14"/>
                <w:szCs w:val="14"/>
                <w:color w:val="auto"/>
              </w:rPr>
            </w:pPr>
          </w:p>
        </w:tc>
        <w:tc>
          <w:tcPr>
            <w:tcW w:w="2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13,424,193</w:t>
            </w:r>
          </w:p>
        </w:tc>
      </w:tr>
      <w:tr>
        <w:trPr>
          <w:trHeight w:val="339"/>
        </w:trPr>
        <w:tc>
          <w:tcPr>
            <w:tcW w:w="4260" w:type="dxa"/>
            <w:vAlign w:val="bottom"/>
          </w:tcPr>
          <w:p>
            <w:pPr>
              <w:ind w:left="700"/>
              <w:spacing w:after="0"/>
              <w:rPr>
                <w:sz w:val="20"/>
                <w:szCs w:val="20"/>
                <w:color w:val="auto"/>
              </w:rPr>
            </w:pPr>
            <w:r>
              <w:rPr>
                <w:rFonts w:ascii="Courier New" w:cs="Courier New" w:eastAsia="Courier New" w:hAnsi="Courier New"/>
                <w:sz w:val="15"/>
                <w:szCs w:val="15"/>
                <w:color w:val="auto"/>
              </w:rPr>
              <w:t>Operating income (loss)</w:t>
            </w:r>
          </w:p>
        </w:tc>
        <w:tc>
          <w:tcPr>
            <w:tcW w:w="320" w:type="dxa"/>
            <w:vAlign w:val="bottom"/>
          </w:tcPr>
          <w:p>
            <w:pPr>
              <w:spacing w:after="0"/>
              <w:rPr>
                <w:sz w:val="24"/>
                <w:szCs w:val="2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7,221,598</w:t>
            </w: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(1,210,092)</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(167,154)</w:t>
            </w:r>
          </w:p>
        </w:tc>
        <w:tc>
          <w:tcPr>
            <w:tcW w:w="220" w:type="dxa"/>
            <w:vAlign w:val="bottom"/>
          </w:tcPr>
          <w:p>
            <w:pPr>
              <w:spacing w:after="0"/>
              <w:rPr>
                <w:sz w:val="24"/>
                <w:szCs w:val="24"/>
                <w:color w:val="auto"/>
              </w:rPr>
            </w:pPr>
          </w:p>
        </w:tc>
        <w:tc>
          <w:tcPr>
            <w:tcW w:w="2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5,844,352</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70"/>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Interest income</w:t>
            </w:r>
          </w:p>
        </w:tc>
        <w:tc>
          <w:tcPr>
            <w:tcW w:w="32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236,387</w:t>
            </w: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236,387</w:t>
            </w:r>
          </w:p>
        </w:tc>
      </w:tr>
      <w:tr>
        <w:trPr>
          <w:trHeight w:val="170"/>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Interest expense</w:t>
            </w:r>
          </w:p>
        </w:tc>
        <w:tc>
          <w:tcPr>
            <w:tcW w:w="32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(65,554)</w:t>
            </w:r>
          </w:p>
        </w:tc>
        <w:tc>
          <w:tcPr>
            <w:tcW w:w="4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(199,145)</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199,145</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E</w:t>
            </w:r>
          </w:p>
        </w:tc>
        <w:tc>
          <w:tcPr>
            <w:tcW w:w="2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(65,554)</w:t>
            </w:r>
          </w:p>
        </w:tc>
      </w:tr>
      <w:tr>
        <w:trPr>
          <w:trHeight w:val="170"/>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License agreement revenue</w:t>
            </w: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400,000</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(400,000)</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I</w:t>
            </w:r>
          </w:p>
        </w:tc>
        <w:tc>
          <w:tcPr>
            <w:tcW w:w="2060" w:type="dxa"/>
            <w:vAlign w:val="bottom"/>
          </w:tcPr>
          <w:p>
            <w:pPr>
              <w:spacing w:after="0"/>
              <w:rPr>
                <w:sz w:val="14"/>
                <w:szCs w:val="14"/>
                <w:color w:val="auto"/>
              </w:rPr>
            </w:pPr>
          </w:p>
        </w:tc>
      </w:tr>
      <w:tr>
        <w:trPr>
          <w:trHeight w:val="170"/>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Impairment of license agreement</w:t>
            </w: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(156,751)</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156,751</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I</w:t>
            </w:r>
          </w:p>
        </w:tc>
        <w:tc>
          <w:tcPr>
            <w:tcW w:w="2060" w:type="dxa"/>
            <w:vAlign w:val="bottom"/>
          </w:tcPr>
          <w:p>
            <w:pPr>
              <w:spacing w:after="0"/>
              <w:rPr>
                <w:sz w:val="14"/>
                <w:szCs w:val="14"/>
                <w:color w:val="auto"/>
              </w:rPr>
            </w:pPr>
          </w:p>
        </w:tc>
      </w:tr>
      <w:tr>
        <w:trPr>
          <w:trHeight w:val="170"/>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w w:val="98"/>
              </w:rPr>
              <w:t>Inventory write down to net realizable value</w:t>
            </w: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(91,180)</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91,180</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I</w:t>
            </w:r>
          </w:p>
        </w:tc>
        <w:tc>
          <w:tcPr>
            <w:tcW w:w="2060" w:type="dxa"/>
            <w:vAlign w:val="bottom"/>
          </w:tcPr>
          <w:p>
            <w:pPr>
              <w:spacing w:after="0"/>
              <w:rPr>
                <w:sz w:val="14"/>
                <w:szCs w:val="14"/>
                <w:color w:val="auto"/>
              </w:rPr>
            </w:pPr>
          </w:p>
        </w:tc>
      </w:tr>
      <w:tr>
        <w:trPr>
          <w:trHeight w:val="170"/>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Realized loss on asset disposition</w:t>
            </w: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(36,929)</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36,929</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I</w:t>
            </w:r>
          </w:p>
        </w:tc>
        <w:tc>
          <w:tcPr>
            <w:tcW w:w="2060" w:type="dxa"/>
            <w:vAlign w:val="bottom"/>
          </w:tcPr>
          <w:p>
            <w:pPr>
              <w:spacing w:after="0"/>
              <w:rPr>
                <w:sz w:val="14"/>
                <w:szCs w:val="14"/>
                <w:color w:val="auto"/>
              </w:rPr>
            </w:pPr>
          </w:p>
        </w:tc>
      </w:tr>
      <w:tr>
        <w:trPr>
          <w:trHeight w:val="170"/>
        </w:trPr>
        <w:tc>
          <w:tcPr>
            <w:tcW w:w="590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Realized loss on abandoned leaseholds improvements</w:t>
            </w:r>
          </w:p>
        </w:tc>
        <w:tc>
          <w:tcPr>
            <w:tcW w:w="4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(14,170)</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14,170</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I</w:t>
            </w:r>
          </w:p>
        </w:tc>
        <w:tc>
          <w:tcPr>
            <w:tcW w:w="2060" w:type="dxa"/>
            <w:vAlign w:val="bottom"/>
          </w:tcPr>
          <w:p>
            <w:pPr>
              <w:spacing w:after="0"/>
              <w:rPr>
                <w:sz w:val="14"/>
                <w:szCs w:val="14"/>
                <w:color w:val="auto"/>
              </w:rPr>
            </w:pPr>
          </w:p>
        </w:tc>
      </w:tr>
      <w:tr>
        <w:trPr>
          <w:trHeight w:val="170"/>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Other, net</w:t>
            </w:r>
          </w:p>
        </w:tc>
        <w:tc>
          <w:tcPr>
            <w:tcW w:w="32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8,503</w:t>
            </w:r>
          </w:p>
        </w:tc>
        <w:tc>
          <w:tcPr>
            <w:tcW w:w="480" w:type="dxa"/>
            <w:vAlign w:val="bottom"/>
          </w:tcPr>
          <w:p>
            <w:pPr>
              <w:spacing w:after="0"/>
              <w:rPr>
                <w:sz w:val="14"/>
                <w:szCs w:val="1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642</w:t>
            </w: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9,145</w:t>
            </w:r>
          </w:p>
        </w:tc>
      </w:tr>
      <w:tr>
        <w:trPr>
          <w:trHeight w:val="170"/>
        </w:trPr>
        <w:tc>
          <w:tcPr>
            <w:tcW w:w="4260" w:type="dxa"/>
            <w:vAlign w:val="bottom"/>
          </w:tcPr>
          <w:p>
            <w:pPr>
              <w:spacing w:after="0"/>
              <w:rPr>
                <w:sz w:val="14"/>
                <w:szCs w:val="14"/>
                <w:color w:val="auto"/>
              </w:rPr>
            </w:pPr>
          </w:p>
        </w:tc>
        <w:tc>
          <w:tcPr>
            <w:tcW w:w="1640" w:type="dxa"/>
            <w:vAlign w:val="bottom"/>
            <w:gridSpan w:val="2"/>
          </w:tcPr>
          <w:p>
            <w:pPr>
              <w:ind w:left="40"/>
              <w:spacing w:after="0"/>
              <w:rPr>
                <w:sz w:val="20"/>
                <w:szCs w:val="20"/>
                <w:color w:val="auto"/>
              </w:rPr>
            </w:pPr>
            <w:r>
              <w:rPr>
                <w:rFonts w:ascii="Courier New" w:cs="Courier New" w:eastAsia="Courier New" w:hAnsi="Courier New"/>
                <w:sz w:val="7"/>
                <w:szCs w:val="7"/>
                <w:color w:val="auto"/>
                <w:w w:val="75"/>
              </w:rPr>
              <w:t>--------------------------------------------------</w:t>
            </w: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ind w:left="700"/>
              <w:spacing w:after="0"/>
              <w:rPr>
                <w:sz w:val="20"/>
                <w:szCs w:val="20"/>
                <w:color w:val="auto"/>
              </w:rPr>
            </w:pPr>
            <w:r>
              <w:rPr>
                <w:rFonts w:ascii="Courier New" w:cs="Courier New" w:eastAsia="Courier New" w:hAnsi="Courier New"/>
                <w:sz w:val="15"/>
                <w:szCs w:val="15"/>
                <w:color w:val="auto"/>
              </w:rPr>
              <w:t>Total other income (expense)</w:t>
            </w:r>
          </w:p>
        </w:tc>
        <w:tc>
          <w:tcPr>
            <w:tcW w:w="32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179,336</w:t>
            </w:r>
          </w:p>
        </w:tc>
        <w:tc>
          <w:tcPr>
            <w:tcW w:w="4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(97,533)</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98,175</w:t>
            </w:r>
          </w:p>
        </w:tc>
        <w:tc>
          <w:tcPr>
            <w:tcW w:w="220" w:type="dxa"/>
            <w:vAlign w:val="bottom"/>
          </w:tcPr>
          <w:p>
            <w:pPr>
              <w:spacing w:after="0"/>
              <w:rPr>
                <w:sz w:val="14"/>
                <w:szCs w:val="14"/>
                <w:color w:val="auto"/>
              </w:rPr>
            </w:pPr>
          </w:p>
        </w:tc>
        <w:tc>
          <w:tcPr>
            <w:tcW w:w="2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179,978</w:t>
            </w:r>
          </w:p>
        </w:tc>
      </w:tr>
      <w:tr>
        <w:trPr>
          <w:trHeight w:val="170"/>
        </w:trPr>
        <w:tc>
          <w:tcPr>
            <w:tcW w:w="4260" w:type="dxa"/>
            <w:vAlign w:val="bottom"/>
          </w:tcPr>
          <w:p>
            <w:pPr>
              <w:spacing w:after="0"/>
              <w:rPr>
                <w:sz w:val="14"/>
                <w:szCs w:val="14"/>
                <w:color w:val="auto"/>
              </w:rPr>
            </w:pPr>
          </w:p>
        </w:tc>
        <w:tc>
          <w:tcPr>
            <w:tcW w:w="1640" w:type="dxa"/>
            <w:vAlign w:val="bottom"/>
            <w:gridSpan w:val="2"/>
          </w:tcPr>
          <w:p>
            <w:pPr>
              <w:ind w:left="40"/>
              <w:spacing w:after="0"/>
              <w:rPr>
                <w:sz w:val="20"/>
                <w:szCs w:val="20"/>
                <w:color w:val="auto"/>
              </w:rPr>
            </w:pPr>
            <w:r>
              <w:rPr>
                <w:rFonts w:ascii="Courier New" w:cs="Courier New" w:eastAsia="Courier New" w:hAnsi="Courier New"/>
                <w:sz w:val="7"/>
                <w:szCs w:val="7"/>
                <w:color w:val="auto"/>
                <w:w w:val="75"/>
              </w:rPr>
              <w:t>--------------------------------------------------</w:t>
            </w: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32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7,400,934</w:t>
            </w: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(1,307,625)</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(68,979)</w:t>
            </w:r>
          </w:p>
        </w:tc>
        <w:tc>
          <w:tcPr>
            <w:tcW w:w="220" w:type="dxa"/>
            <w:vAlign w:val="bottom"/>
          </w:tcPr>
          <w:p>
            <w:pPr>
              <w:spacing w:after="0"/>
              <w:rPr>
                <w:sz w:val="14"/>
                <w:szCs w:val="14"/>
                <w:color w:val="auto"/>
              </w:rPr>
            </w:pPr>
          </w:p>
        </w:tc>
        <w:tc>
          <w:tcPr>
            <w:tcW w:w="2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6,024,330</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32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(2,672,601)</w:t>
            </w:r>
          </w:p>
        </w:tc>
        <w:tc>
          <w:tcPr>
            <w:tcW w:w="4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(456)</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23,453</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F</w:t>
            </w:r>
          </w:p>
        </w:tc>
        <w:tc>
          <w:tcPr>
            <w:tcW w:w="2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(2,649,604)</w:t>
            </w:r>
          </w:p>
        </w:tc>
      </w:tr>
      <w:tr>
        <w:trPr>
          <w:trHeight w:val="170"/>
        </w:trPr>
        <w:tc>
          <w:tcPr>
            <w:tcW w:w="4260" w:type="dxa"/>
            <w:vAlign w:val="bottom"/>
          </w:tcPr>
          <w:p>
            <w:pPr>
              <w:spacing w:after="0"/>
              <w:rPr>
                <w:sz w:val="14"/>
                <w:szCs w:val="14"/>
                <w:color w:val="auto"/>
              </w:rPr>
            </w:pPr>
          </w:p>
        </w:tc>
        <w:tc>
          <w:tcPr>
            <w:tcW w:w="1640" w:type="dxa"/>
            <w:vAlign w:val="bottom"/>
            <w:gridSpan w:val="2"/>
          </w:tcPr>
          <w:p>
            <w:pPr>
              <w:ind w:left="40"/>
              <w:spacing w:after="0"/>
              <w:rPr>
                <w:sz w:val="20"/>
                <w:szCs w:val="20"/>
                <w:color w:val="auto"/>
              </w:rPr>
            </w:pPr>
            <w:r>
              <w:rPr>
                <w:rFonts w:ascii="Courier New" w:cs="Courier New" w:eastAsia="Courier New" w:hAnsi="Courier New"/>
                <w:sz w:val="7"/>
                <w:szCs w:val="7"/>
                <w:color w:val="auto"/>
                <w:w w:val="75"/>
              </w:rPr>
              <w:t>--------------------------------------------------</w:t>
            </w: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ind w:left="700"/>
              <w:spacing w:after="0"/>
              <w:rPr>
                <w:sz w:val="20"/>
                <w:szCs w:val="20"/>
                <w:color w:val="auto"/>
              </w:rPr>
            </w:pPr>
            <w:r>
              <w:rPr>
                <w:rFonts w:ascii="Courier New" w:cs="Courier New" w:eastAsia="Courier New" w:hAnsi="Courier New"/>
                <w:sz w:val="15"/>
                <w:szCs w:val="15"/>
                <w:color w:val="auto"/>
              </w:rPr>
              <w:t>Net income (loss)</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4,728,333</w:t>
            </w: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(1,308,081)</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(45,526)</w:t>
            </w:r>
          </w:p>
        </w:tc>
        <w:tc>
          <w:tcPr>
            <w:tcW w:w="220" w:type="dxa"/>
            <w:vAlign w:val="bottom"/>
          </w:tcPr>
          <w:p>
            <w:pPr>
              <w:spacing w:after="0"/>
              <w:rPr>
                <w:sz w:val="14"/>
                <w:szCs w:val="14"/>
                <w:color w:val="auto"/>
              </w:rPr>
            </w:pPr>
          </w:p>
        </w:tc>
        <w:tc>
          <w:tcPr>
            <w:tcW w:w="2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$ 3,374,726</w:t>
            </w:r>
          </w:p>
        </w:tc>
      </w:tr>
      <w:tr>
        <w:trPr>
          <w:trHeight w:val="170"/>
        </w:trPr>
        <w:tc>
          <w:tcPr>
            <w:tcW w:w="4260" w:type="dxa"/>
            <w:vAlign w:val="bottom"/>
          </w:tcPr>
          <w:p>
            <w:pPr>
              <w:spacing w:after="0"/>
              <w:rPr>
                <w:sz w:val="14"/>
                <w:szCs w:val="14"/>
                <w:color w:val="auto"/>
              </w:rPr>
            </w:pPr>
          </w:p>
        </w:tc>
        <w:tc>
          <w:tcPr>
            <w:tcW w:w="446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w:t>
            </w:r>
          </w:p>
        </w:tc>
        <w:tc>
          <w:tcPr>
            <w:tcW w:w="220" w:type="dxa"/>
            <w:vAlign w:val="bottom"/>
          </w:tcPr>
          <w:p>
            <w:pPr>
              <w:spacing w:after="0"/>
              <w:rPr>
                <w:sz w:val="14"/>
                <w:szCs w:val="14"/>
                <w:color w:val="auto"/>
              </w:rPr>
            </w:pPr>
          </w:p>
        </w:tc>
        <w:tc>
          <w:tcPr>
            <w:tcW w:w="2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9"/>
        </w:trPr>
        <w:tc>
          <w:tcPr>
            <w:tcW w:w="426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320" w:type="dxa"/>
            <w:vAlign w:val="bottom"/>
          </w:tcPr>
          <w:p>
            <w:pPr>
              <w:spacing w:after="0"/>
              <w:rPr>
                <w:sz w:val="24"/>
                <w:szCs w:val="2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.57</w:t>
            </w: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.40</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32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.54</w:t>
            </w: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.38</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70"/>
        </w:trPr>
        <w:tc>
          <w:tcPr>
            <w:tcW w:w="4260" w:type="dxa"/>
            <w:vAlign w:val="bottom"/>
          </w:tcPr>
          <w:p>
            <w:pPr>
              <w:ind w:left="1320"/>
              <w:spacing w:after="0"/>
              <w:rPr>
                <w:sz w:val="20"/>
                <w:szCs w:val="20"/>
                <w:color w:val="auto"/>
              </w:rPr>
            </w:pPr>
            <w:r>
              <w:rPr>
                <w:rFonts w:ascii="Courier New" w:cs="Courier New" w:eastAsia="Courier New" w:hAnsi="Courier New"/>
                <w:sz w:val="15"/>
                <w:szCs w:val="15"/>
                <w:color w:val="auto"/>
              </w:rPr>
              <w:t>Basic</w:t>
            </w:r>
          </w:p>
        </w:tc>
        <w:tc>
          <w:tcPr>
            <w:tcW w:w="32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8,269,941</w:t>
            </w: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129,871</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G</w:t>
            </w:r>
          </w:p>
        </w:tc>
        <w:tc>
          <w:tcPr>
            <w:tcW w:w="2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8,399,812</w:t>
            </w:r>
          </w:p>
        </w:tc>
      </w:tr>
      <w:tr>
        <w:trPr>
          <w:trHeight w:val="170"/>
        </w:trPr>
        <w:tc>
          <w:tcPr>
            <w:tcW w:w="4260" w:type="dxa"/>
            <w:vAlign w:val="bottom"/>
          </w:tcPr>
          <w:p>
            <w:pPr>
              <w:ind w:left="1320"/>
              <w:spacing w:after="0"/>
              <w:rPr>
                <w:sz w:val="20"/>
                <w:szCs w:val="20"/>
                <w:color w:val="auto"/>
              </w:rPr>
            </w:pPr>
            <w:r>
              <w:rPr>
                <w:rFonts w:ascii="Courier New" w:cs="Courier New" w:eastAsia="Courier New" w:hAnsi="Courier New"/>
                <w:sz w:val="15"/>
                <w:szCs w:val="15"/>
                <w:color w:val="auto"/>
              </w:rPr>
              <w:t>Diluted</w:t>
            </w:r>
          </w:p>
        </w:tc>
        <w:tc>
          <w:tcPr>
            <w:tcW w:w="32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8,740,209</w:t>
            </w: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129,871</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G</w:t>
            </w:r>
          </w:p>
        </w:tc>
        <w:tc>
          <w:tcPr>
            <w:tcW w:w="2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8,870,080</w:t>
            </w:r>
          </w:p>
        </w:tc>
      </w:tr>
    </w:tbl>
    <w:p>
      <w:pPr>
        <w:spacing w:after="0" w:line="33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See accompanying notes to unaudited pro forma</w:t>
      </w:r>
    </w:p>
    <w:p>
      <w:pPr>
        <w:ind w:left="1840"/>
        <w:spacing w:after="0"/>
        <w:rPr>
          <w:sz w:val="20"/>
          <w:szCs w:val="20"/>
          <w:color w:val="auto"/>
        </w:rPr>
      </w:pPr>
      <w:r>
        <w:rPr>
          <w:rFonts w:ascii="Courier New" w:cs="Courier New" w:eastAsia="Courier New" w:hAnsi="Courier New"/>
          <w:sz w:val="15"/>
          <w:szCs w:val="15"/>
          <w:color w:val="auto"/>
        </w:rPr>
        <w:t>condensed combined financial statement</w:t>
      </w:r>
    </w:p>
    <w:p>
      <w:pPr>
        <w:spacing w:after="0" w:line="200" w:lineRule="exact"/>
        <w:rPr>
          <w:sz w:val="20"/>
          <w:szCs w:val="20"/>
          <w:color w:val="auto"/>
        </w:rPr>
      </w:pPr>
    </w:p>
    <w:p>
      <w:pPr>
        <w:spacing w:after="0" w:line="308" w:lineRule="exact"/>
        <w:rPr>
          <w:sz w:val="20"/>
          <w:szCs w:val="20"/>
          <w:color w:val="auto"/>
        </w:rPr>
      </w:pPr>
    </w:p>
    <w:p>
      <w:pPr>
        <w:ind w:left="668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1000"/>
          </w:cols>
          <w:pgMar w:left="240" w:top="961" w:right="659" w:bottom="1440" w:gutter="0" w:footer="0" w:header="0"/>
        </w:sectPr>
      </w:pPr>
    </w:p>
    <w:bookmarkStart w:id="23" w:name="page24"/>
    <w:bookmarkEnd w:id="23"/>
    <w:p>
      <w:pPr>
        <w:ind w:left="520"/>
        <w:spacing w:after="0"/>
        <w:rPr>
          <w:sz w:val="20"/>
          <w:szCs w:val="20"/>
          <w:color w:val="auto"/>
        </w:rPr>
      </w:pPr>
      <w:r>
        <w:rPr>
          <w:rFonts w:ascii="Courier New" w:cs="Courier New" w:eastAsia="Courier New" w:hAnsi="Courier New"/>
          <w:sz w:val="15"/>
          <w:szCs w:val="15"/>
          <w:color w:val="auto"/>
        </w:rPr>
        <w:t>NOTES TO UNAUDITED PRO FORMA CONDENSED COMBINED FINANCIAL STATEMENTS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NOTE 1.</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220" w:type="dxa"/>
            <w:vAlign w:val="bottom"/>
          </w:tcPr>
          <w:p>
            <w:pPr>
              <w:spacing w:after="0"/>
              <w:rPr>
                <w:sz w:val="14"/>
                <w:szCs w:val="14"/>
                <w:color w:val="auto"/>
              </w:rPr>
            </w:pPr>
          </w:p>
        </w:tc>
        <w:tc>
          <w:tcPr>
            <w:tcW w:w="3040" w:type="dxa"/>
            <w:vAlign w:val="bottom"/>
            <w:gridSpan w:val="7"/>
          </w:tcPr>
          <w:p>
            <w:pPr>
              <w:ind w:left="220"/>
              <w:spacing w:after="0"/>
              <w:rPr>
                <w:sz w:val="20"/>
                <w:szCs w:val="20"/>
                <w:color w:val="auto"/>
              </w:rPr>
            </w:pPr>
            <w:r>
              <w:rPr>
                <w:rFonts w:ascii="Courier New" w:cs="Courier New" w:eastAsia="Courier New" w:hAnsi="Courier New"/>
                <w:sz w:val="15"/>
                <w:szCs w:val="15"/>
                <w:color w:val="auto"/>
              </w:rPr>
              <w:t>On July 5, 2000, the Registrant</w:t>
            </w:r>
          </w:p>
        </w:tc>
        <w:tc>
          <w:tcPr>
            <w:tcW w:w="254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executed its asset purchase</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agreement with</w:t>
            </w:r>
          </w:p>
        </w:tc>
      </w:tr>
      <w:tr>
        <w:trPr>
          <w:trHeight w:val="170"/>
        </w:trPr>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w w:val="93"/>
              </w:rPr>
              <w:t>ClearOne.</w:t>
            </w:r>
          </w:p>
        </w:tc>
        <w:tc>
          <w:tcPr>
            <w:tcW w:w="3260" w:type="dxa"/>
            <w:vAlign w:val="bottom"/>
            <w:gridSpan w:val="8"/>
          </w:tcPr>
          <w:p>
            <w:pPr>
              <w:ind w:left="180"/>
              <w:spacing w:after="0"/>
              <w:rPr>
                <w:sz w:val="20"/>
                <w:szCs w:val="20"/>
                <w:color w:val="auto"/>
              </w:rPr>
            </w:pPr>
            <w:r>
              <w:rPr>
                <w:rFonts w:ascii="Courier New" w:cs="Courier New" w:eastAsia="Courier New" w:hAnsi="Courier New"/>
                <w:sz w:val="15"/>
                <w:szCs w:val="15"/>
                <w:color w:val="auto"/>
              </w:rPr>
              <w:t>Under the terms of the agreement,</w:t>
            </w:r>
          </w:p>
        </w:tc>
        <w:tc>
          <w:tcPr>
            <w:tcW w:w="300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7"/>
              </w:rPr>
              <w:t>the Registrant purchased the fixed</w:t>
            </w:r>
          </w:p>
        </w:tc>
      </w:tr>
      <w:tr>
        <w:trPr>
          <w:trHeight w:val="170"/>
        </w:trPr>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assets,</w:t>
            </w:r>
          </w:p>
        </w:tc>
        <w:tc>
          <w:tcPr>
            <w:tcW w:w="1320" w:type="dxa"/>
            <w:vAlign w:val="bottom"/>
            <w:gridSpan w:val="3"/>
          </w:tcPr>
          <w:p>
            <w:pPr>
              <w:spacing w:after="0"/>
              <w:rPr>
                <w:sz w:val="20"/>
                <w:szCs w:val="20"/>
                <w:color w:val="auto"/>
              </w:rPr>
            </w:pPr>
            <w:r>
              <w:rPr>
                <w:rFonts w:ascii="Courier New" w:cs="Courier New" w:eastAsia="Courier New" w:hAnsi="Courier New"/>
                <w:sz w:val="15"/>
                <w:szCs w:val="15"/>
                <w:color w:val="auto"/>
                <w:w w:val="96"/>
              </w:rPr>
              <w:t>portions of the</w:t>
            </w:r>
          </w:p>
        </w:tc>
        <w:tc>
          <w:tcPr>
            <w:tcW w:w="116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inventory,</w:t>
            </w:r>
          </w:p>
        </w:tc>
        <w:tc>
          <w:tcPr>
            <w:tcW w:w="7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certain</w:t>
            </w:r>
          </w:p>
        </w:tc>
        <w:tc>
          <w:tcPr>
            <w:tcW w:w="17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deposits , and the</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technological</w:t>
            </w:r>
          </w:p>
        </w:tc>
      </w:tr>
      <w:tr>
        <w:trPr>
          <w:trHeight w:val="170"/>
        </w:trPr>
        <w:tc>
          <w:tcPr>
            <w:tcW w:w="1440" w:type="dxa"/>
            <w:vAlign w:val="bottom"/>
            <w:gridSpan w:val="4"/>
          </w:tcPr>
          <w:p>
            <w:pPr>
              <w:spacing w:after="0"/>
              <w:rPr>
                <w:sz w:val="20"/>
                <w:szCs w:val="20"/>
                <w:color w:val="auto"/>
              </w:rPr>
            </w:pPr>
            <w:r>
              <w:rPr>
                <w:rFonts w:ascii="Courier New" w:cs="Courier New" w:eastAsia="Courier New" w:hAnsi="Courier New"/>
                <w:sz w:val="15"/>
                <w:szCs w:val="15"/>
                <w:color w:val="auto"/>
              </w:rPr>
              <w:t>infrastructure,</w:t>
            </w:r>
          </w:p>
        </w:tc>
        <w:tc>
          <w:tcPr>
            <w:tcW w:w="182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w w:val="99"/>
              </w:rPr>
              <w:t>including patents,</w:t>
            </w:r>
          </w:p>
        </w:tc>
        <w:tc>
          <w:tcPr>
            <w:tcW w:w="1100" w:type="dxa"/>
            <w:vAlign w:val="bottom"/>
            <w:gridSpan w:val="3"/>
          </w:tcPr>
          <w:p>
            <w:pPr>
              <w:spacing w:after="0"/>
              <w:rPr>
                <w:sz w:val="20"/>
                <w:szCs w:val="20"/>
                <w:color w:val="auto"/>
              </w:rPr>
            </w:pPr>
            <w:r>
              <w:rPr>
                <w:rFonts w:ascii="Courier New" w:cs="Courier New" w:eastAsia="Courier New" w:hAnsi="Courier New"/>
                <w:sz w:val="15"/>
                <w:szCs w:val="15"/>
                <w:color w:val="auto"/>
                <w:w w:val="99"/>
              </w:rPr>
              <w:t>of ClearOne.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Registrant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issued 129,871</w:t>
            </w:r>
          </w:p>
        </w:tc>
      </w:tr>
      <w:tr>
        <w:trPr>
          <w:trHeight w:val="170"/>
        </w:trPr>
        <w:tc>
          <w:tcPr>
            <w:tcW w:w="1440" w:type="dxa"/>
            <w:vAlign w:val="bottom"/>
            <w:gridSpan w:val="4"/>
          </w:tcPr>
          <w:p>
            <w:pPr>
              <w:spacing w:after="0"/>
              <w:rPr>
                <w:sz w:val="20"/>
                <w:szCs w:val="20"/>
                <w:color w:val="auto"/>
              </w:rPr>
            </w:pPr>
            <w:r>
              <w:rPr>
                <w:rFonts w:ascii="Courier New" w:cs="Courier New" w:eastAsia="Courier New" w:hAnsi="Courier New"/>
                <w:sz w:val="15"/>
                <w:szCs w:val="15"/>
                <w:color w:val="auto"/>
                <w:w w:val="98"/>
              </w:rPr>
              <w:t>shares of common</w:t>
            </w: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rPr>
              <w:t>stock</w:t>
            </w:r>
          </w:p>
        </w:tc>
        <w:tc>
          <w:tcPr>
            <w:tcW w:w="2700" w:type="dxa"/>
            <w:vAlign w:val="bottom"/>
            <w:gridSpan w:val="7"/>
          </w:tcPr>
          <w:p>
            <w:pPr>
              <w:jc w:val="right"/>
              <w:ind w:right="67"/>
              <w:spacing w:after="0"/>
              <w:rPr>
                <w:sz w:val="20"/>
                <w:szCs w:val="20"/>
                <w:color w:val="auto"/>
              </w:rPr>
            </w:pPr>
            <w:r>
              <w:rPr>
                <w:rFonts w:ascii="Courier New" w:cs="Courier New" w:eastAsia="Courier New" w:hAnsi="Courier New"/>
                <w:sz w:val="15"/>
                <w:szCs w:val="15"/>
                <w:color w:val="auto"/>
              </w:rPr>
              <w:t>valued at $15.40 and cash of</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$1,758,085</w:t>
            </w:r>
          </w:p>
        </w:tc>
        <w:tc>
          <w:tcPr>
            <w:tcW w:w="400" w:type="dxa"/>
            <w:vAlign w:val="bottom"/>
          </w:tcPr>
          <w:p>
            <w:pPr>
              <w:ind w:left="100"/>
              <w:spacing w:after="0"/>
              <w:rPr>
                <w:sz w:val="20"/>
                <w:szCs w:val="20"/>
                <w:color w:val="auto"/>
              </w:rPr>
            </w:pPr>
            <w:r>
              <w:rPr>
                <w:rFonts w:ascii="Courier New" w:cs="Courier New" w:eastAsia="Courier New" w:hAnsi="Courier New"/>
                <w:sz w:val="15"/>
                <w:szCs w:val="15"/>
                <w:color w:val="auto"/>
              </w:rPr>
              <w:t>and</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incurred</w:t>
            </w:r>
          </w:p>
        </w:tc>
      </w:tr>
      <w:tr>
        <w:trPr>
          <w:trHeight w:val="170"/>
        </w:trPr>
        <w:tc>
          <w:tcPr>
            <w:tcW w:w="1100" w:type="dxa"/>
            <w:vAlign w:val="bottom"/>
            <w:gridSpan w:val="3"/>
          </w:tcPr>
          <w:p>
            <w:pPr>
              <w:spacing w:after="0"/>
              <w:rPr>
                <w:sz w:val="20"/>
                <w:szCs w:val="20"/>
                <w:color w:val="auto"/>
              </w:rPr>
            </w:pPr>
            <w:r>
              <w:rPr>
                <w:rFonts w:ascii="Courier New" w:cs="Courier New" w:eastAsia="Courier New" w:hAnsi="Courier New"/>
                <w:sz w:val="15"/>
                <w:szCs w:val="15"/>
                <w:color w:val="auto"/>
              </w:rPr>
              <w:t>acquisition</w:t>
            </w:r>
          </w:p>
        </w:tc>
        <w:tc>
          <w:tcPr>
            <w:tcW w:w="3260" w:type="dxa"/>
            <w:vAlign w:val="bottom"/>
            <w:gridSpan w:val="8"/>
          </w:tcPr>
          <w:p>
            <w:pPr>
              <w:ind w:left="40"/>
              <w:spacing w:after="0"/>
              <w:rPr>
                <w:sz w:val="20"/>
                <w:szCs w:val="20"/>
                <w:color w:val="auto"/>
              </w:rPr>
            </w:pPr>
            <w:r>
              <w:rPr>
                <w:rFonts w:ascii="Courier New" w:cs="Courier New" w:eastAsia="Courier New" w:hAnsi="Courier New"/>
                <w:sz w:val="15"/>
                <w:szCs w:val="15"/>
                <w:color w:val="auto"/>
                <w:w w:val="98"/>
              </w:rPr>
              <w:t>costs of $40,000 in the transaction.</w:t>
            </w:r>
          </w:p>
        </w:tc>
        <w:tc>
          <w:tcPr>
            <w:tcW w:w="26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The following is a summary of</w:t>
            </w:r>
          </w:p>
        </w:tc>
      </w:tr>
      <w:tr>
        <w:trPr>
          <w:trHeight w:val="170"/>
        </w:trPr>
        <w:tc>
          <w:tcPr>
            <w:tcW w:w="2720" w:type="dxa"/>
            <w:vAlign w:val="bottom"/>
            <w:gridSpan w:val="6"/>
          </w:tcPr>
          <w:p>
            <w:pPr>
              <w:spacing w:after="0"/>
              <w:rPr>
                <w:sz w:val="20"/>
                <w:szCs w:val="20"/>
                <w:color w:val="auto"/>
              </w:rPr>
            </w:pPr>
            <w:r>
              <w:rPr>
                <w:rFonts w:ascii="Courier New" w:cs="Courier New" w:eastAsia="Courier New" w:hAnsi="Courier New"/>
                <w:sz w:val="15"/>
                <w:szCs w:val="15"/>
                <w:color w:val="auto"/>
                <w:w w:val="99"/>
              </w:rPr>
              <w:t>the purchase price allocation:</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509"/>
        </w:trPr>
        <w:tc>
          <w:tcPr>
            <w:tcW w:w="1100" w:type="dxa"/>
            <w:vAlign w:val="bottom"/>
            <w:gridSpan w:val="3"/>
          </w:tcPr>
          <w:p>
            <w:pPr>
              <w:spacing w:after="0"/>
              <w:rPr>
                <w:sz w:val="20"/>
                <w:szCs w:val="20"/>
                <w:color w:val="auto"/>
              </w:rPr>
            </w:pPr>
            <w:r>
              <w:rPr>
                <w:rFonts w:ascii="Courier New" w:cs="Courier New" w:eastAsia="Courier New" w:hAnsi="Courier New"/>
                <w:sz w:val="15"/>
                <w:szCs w:val="15"/>
                <w:color w:val="auto"/>
                <w:w w:val="99"/>
              </w:rPr>
              <w:t>Fixed Assets</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316,284</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w w:val="93"/>
              </w:rPr>
              <w:t>Inventory</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299,085</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Patents</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21,624</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Goodwill</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3,101,855</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1100" w:type="dxa"/>
            <w:vAlign w:val="bottom"/>
            <w:gridSpan w:val="3"/>
          </w:tcPr>
          <w:p>
            <w:pPr>
              <w:spacing w:after="0"/>
              <w:rPr>
                <w:sz w:val="20"/>
                <w:szCs w:val="20"/>
                <w:color w:val="auto"/>
              </w:rPr>
            </w:pPr>
            <w:r>
              <w:rPr>
                <w:rFonts w:ascii="Courier New" w:cs="Courier New" w:eastAsia="Courier New" w:hAnsi="Courier New"/>
                <w:sz w:val="15"/>
                <w:szCs w:val="15"/>
                <w:color w:val="auto"/>
                <w:w w:val="99"/>
              </w:rPr>
              <w:t>Other Assets</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59,250</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220" w:type="dxa"/>
            <w:vAlign w:val="bottom"/>
          </w:tcPr>
          <w:p>
            <w:pPr>
              <w:spacing w:after="0"/>
              <w:rPr>
                <w:sz w:val="14"/>
                <w:szCs w:val="14"/>
                <w:color w:val="auto"/>
              </w:rPr>
            </w:pP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w w:val="93"/>
              </w:rPr>
              <w:t>Total</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$3,798,098</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9"/>
        </w:trPr>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NOTE 2.</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220" w:type="dxa"/>
            <w:vAlign w:val="bottom"/>
          </w:tcPr>
          <w:p>
            <w:pPr>
              <w:spacing w:after="0"/>
              <w:rPr>
                <w:sz w:val="14"/>
                <w:szCs w:val="14"/>
                <w:color w:val="auto"/>
              </w:rPr>
            </w:pPr>
          </w:p>
        </w:tc>
        <w:tc>
          <w:tcPr>
            <w:tcW w:w="560" w:type="dxa"/>
            <w:vAlign w:val="bottom"/>
          </w:tcPr>
          <w:p>
            <w:pPr>
              <w:ind w:left="220"/>
              <w:spacing w:after="0"/>
              <w:rPr>
                <w:sz w:val="20"/>
                <w:szCs w:val="20"/>
                <w:color w:val="auto"/>
              </w:rPr>
            </w:pPr>
            <w:r>
              <w:rPr>
                <w:rFonts w:ascii="Courier New" w:cs="Courier New" w:eastAsia="Courier New" w:hAnsi="Courier New"/>
                <w:sz w:val="15"/>
                <w:szCs w:val="15"/>
                <w:color w:val="auto"/>
              </w:rPr>
              <w:t>The</w:t>
            </w:r>
          </w:p>
        </w:tc>
        <w:tc>
          <w:tcPr>
            <w:tcW w:w="132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unaudited pro</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forma</w:t>
            </w:r>
          </w:p>
        </w:tc>
        <w:tc>
          <w:tcPr>
            <w:tcW w:w="98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w w:val="96"/>
              </w:rPr>
              <w:t>condensed</w:t>
            </w:r>
          </w:p>
        </w:tc>
        <w:tc>
          <w:tcPr>
            <w:tcW w:w="334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7"/>
              </w:rPr>
              <w:t>combined  balance  sheet  includes the</w:t>
            </w:r>
          </w:p>
        </w:tc>
      </w:tr>
      <w:tr>
        <w:trPr>
          <w:trHeight w:val="170"/>
        </w:trPr>
        <w:tc>
          <w:tcPr>
            <w:tcW w:w="1100" w:type="dxa"/>
            <w:vAlign w:val="bottom"/>
            <w:gridSpan w:val="3"/>
          </w:tcPr>
          <w:p>
            <w:pPr>
              <w:spacing w:after="0"/>
              <w:rPr>
                <w:sz w:val="20"/>
                <w:szCs w:val="20"/>
                <w:color w:val="auto"/>
              </w:rPr>
            </w:pPr>
            <w:r>
              <w:rPr>
                <w:rFonts w:ascii="Courier New" w:cs="Courier New" w:eastAsia="Courier New" w:hAnsi="Courier New"/>
                <w:sz w:val="15"/>
                <w:szCs w:val="15"/>
                <w:color w:val="auto"/>
              </w:rPr>
              <w:t>adjustments</w:t>
            </w:r>
          </w:p>
        </w:tc>
        <w:tc>
          <w:tcPr>
            <w:tcW w:w="1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necessary</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to give</w:t>
            </w:r>
          </w:p>
        </w:tc>
        <w:tc>
          <w:tcPr>
            <w:tcW w:w="1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effect to</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w w:val="88"/>
              </w:rPr>
              <w:t>the</w:t>
            </w:r>
          </w:p>
        </w:tc>
        <w:tc>
          <w:tcPr>
            <w:tcW w:w="10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ClearOne</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purchase</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if it had</w:t>
            </w:r>
          </w:p>
        </w:tc>
      </w:tr>
      <w:tr>
        <w:trPr>
          <w:trHeight w:val="170"/>
        </w:trPr>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occurred</w:t>
            </w:r>
          </w:p>
        </w:tc>
        <w:tc>
          <w:tcPr>
            <w:tcW w:w="2120" w:type="dxa"/>
            <w:vAlign w:val="bottom"/>
            <w:gridSpan w:val="5"/>
          </w:tcPr>
          <w:p>
            <w:pPr>
              <w:ind w:left="100"/>
              <w:spacing w:after="0"/>
              <w:rPr>
                <w:sz w:val="20"/>
                <w:szCs w:val="20"/>
                <w:color w:val="auto"/>
              </w:rPr>
            </w:pPr>
            <w:r>
              <w:rPr>
                <w:rFonts w:ascii="Courier New" w:cs="Courier New" w:eastAsia="Courier New" w:hAnsi="Courier New"/>
                <w:sz w:val="15"/>
                <w:szCs w:val="15"/>
                <w:color w:val="auto"/>
                <w:w w:val="96"/>
              </w:rPr>
              <w:t>at June 30, 2000 and to</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reflect</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w w:val="88"/>
              </w:rPr>
              <w:t>the</w:t>
            </w:r>
          </w:p>
        </w:tc>
        <w:tc>
          <w:tcPr>
            <w:tcW w:w="106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5"/>
              </w:rPr>
              <w:t>allocation</w:t>
            </w:r>
          </w:p>
        </w:tc>
        <w:tc>
          <w:tcPr>
            <w:tcW w:w="19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of costs to the fair</w:t>
            </w:r>
          </w:p>
        </w:tc>
      </w:tr>
      <w:tr>
        <w:trPr>
          <w:trHeight w:val="170"/>
        </w:trPr>
        <w:tc>
          <w:tcPr>
            <w:tcW w:w="2900" w:type="dxa"/>
            <w:vAlign w:val="bottom"/>
            <w:gridSpan w:val="7"/>
          </w:tcPr>
          <w:p>
            <w:pPr>
              <w:spacing w:after="0"/>
              <w:rPr>
                <w:sz w:val="20"/>
                <w:szCs w:val="20"/>
                <w:color w:val="auto"/>
              </w:rPr>
            </w:pPr>
            <w:r>
              <w:rPr>
                <w:rFonts w:ascii="Courier New" w:cs="Courier New" w:eastAsia="Courier New" w:hAnsi="Courier New"/>
                <w:sz w:val="15"/>
                <w:szCs w:val="15"/>
                <w:color w:val="auto"/>
                <w:w w:val="99"/>
              </w:rPr>
              <w:t>value of tangible and intangible</w:t>
            </w:r>
          </w:p>
        </w:tc>
        <w:tc>
          <w:tcPr>
            <w:tcW w:w="2900" w:type="dxa"/>
            <w:vAlign w:val="bottom"/>
            <w:gridSpan w:val="7"/>
          </w:tcPr>
          <w:p>
            <w:pPr>
              <w:jc w:val="right"/>
              <w:ind w:right="7"/>
              <w:spacing w:after="0"/>
              <w:rPr>
                <w:sz w:val="20"/>
                <w:szCs w:val="20"/>
                <w:color w:val="auto"/>
              </w:rPr>
            </w:pPr>
            <w:r>
              <w:rPr>
                <w:rFonts w:ascii="Courier New" w:cs="Courier New" w:eastAsia="Courier New" w:hAnsi="Courier New"/>
                <w:sz w:val="15"/>
                <w:szCs w:val="15"/>
                <w:color w:val="auto"/>
              </w:rPr>
              <w:t>assets acquired as noted above.</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 unaudited</w:t>
            </w:r>
          </w:p>
        </w:tc>
      </w:tr>
      <w:tr>
        <w:trPr>
          <w:trHeight w:val="170"/>
        </w:trPr>
        <w:tc>
          <w:tcPr>
            <w:tcW w:w="2720" w:type="dxa"/>
            <w:vAlign w:val="bottom"/>
            <w:gridSpan w:val="6"/>
          </w:tcPr>
          <w:p>
            <w:pPr>
              <w:spacing w:after="0"/>
              <w:rPr>
                <w:sz w:val="20"/>
                <w:szCs w:val="20"/>
                <w:color w:val="auto"/>
              </w:rPr>
            </w:pPr>
            <w:r>
              <w:rPr>
                <w:rFonts w:ascii="Courier New" w:cs="Courier New" w:eastAsia="Courier New" w:hAnsi="Courier New"/>
                <w:sz w:val="15"/>
                <w:szCs w:val="15"/>
                <w:color w:val="auto"/>
              </w:rPr>
              <w:t>pro forma condensed  combined</w:t>
            </w:r>
          </w:p>
        </w:tc>
        <w:tc>
          <w:tcPr>
            <w:tcW w:w="208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7"/>
              </w:rPr>
              <w:t>statement of operations</w:t>
            </w:r>
          </w:p>
        </w:tc>
        <w:tc>
          <w:tcPr>
            <w:tcW w:w="22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includes the adjustments</w:t>
            </w:r>
          </w:p>
        </w:tc>
      </w:tr>
      <w:tr>
        <w:trPr>
          <w:trHeight w:val="170"/>
        </w:trPr>
        <w:tc>
          <w:tcPr>
            <w:tcW w:w="3700" w:type="dxa"/>
            <w:vAlign w:val="bottom"/>
            <w:gridSpan w:val="9"/>
          </w:tcPr>
          <w:p>
            <w:pPr>
              <w:spacing w:after="0"/>
              <w:rPr>
                <w:sz w:val="20"/>
                <w:szCs w:val="20"/>
                <w:color w:val="auto"/>
              </w:rPr>
            </w:pPr>
            <w:r>
              <w:rPr>
                <w:rFonts w:ascii="Courier New" w:cs="Courier New" w:eastAsia="Courier New" w:hAnsi="Courier New"/>
                <w:sz w:val="15"/>
                <w:szCs w:val="15"/>
                <w:color w:val="auto"/>
              </w:rPr>
              <w:t>necessary to give effect to the ClearOne</w:t>
            </w:r>
          </w:p>
        </w:tc>
        <w:tc>
          <w:tcPr>
            <w:tcW w:w="334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7"/>
              </w:rPr>
              <w:t>purchase as if it had occurred at July</w:t>
            </w:r>
          </w:p>
        </w:tc>
      </w:tr>
      <w:tr>
        <w:trPr>
          <w:trHeight w:val="170"/>
        </w:trPr>
        <w:tc>
          <w:tcPr>
            <w:tcW w:w="22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9"/>
        </w:trPr>
        <w:tc>
          <w:tcPr>
            <w:tcW w:w="220" w:type="dxa"/>
            <w:vAlign w:val="bottom"/>
          </w:tcPr>
          <w:p>
            <w:pPr>
              <w:spacing w:after="0"/>
              <w:rPr>
                <w:sz w:val="24"/>
                <w:szCs w:val="24"/>
                <w:color w:val="auto"/>
              </w:rPr>
            </w:pPr>
          </w:p>
        </w:tc>
        <w:tc>
          <w:tcPr>
            <w:tcW w:w="1220" w:type="dxa"/>
            <w:vAlign w:val="bottom"/>
            <w:gridSpan w:val="3"/>
          </w:tcPr>
          <w:p>
            <w:pPr>
              <w:ind w:left="220"/>
              <w:spacing w:after="0"/>
              <w:rPr>
                <w:sz w:val="20"/>
                <w:szCs w:val="20"/>
                <w:color w:val="auto"/>
              </w:rPr>
            </w:pPr>
            <w:r>
              <w:rPr>
                <w:rFonts w:ascii="Courier New" w:cs="Courier New" w:eastAsia="Courier New" w:hAnsi="Courier New"/>
                <w:sz w:val="15"/>
                <w:szCs w:val="15"/>
                <w:color w:val="auto"/>
                <w:w w:val="98"/>
              </w:rPr>
              <w:t>Adjustments</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included  in</w:t>
            </w:r>
          </w:p>
        </w:tc>
        <w:tc>
          <w:tcPr>
            <w:tcW w:w="180" w:type="dxa"/>
            <w:vAlign w:val="bottom"/>
          </w:tcPr>
          <w:p>
            <w:pPr>
              <w:spacing w:after="0"/>
              <w:rPr>
                <w:sz w:val="24"/>
                <w:szCs w:val="24"/>
                <w:color w:val="auto"/>
              </w:rPr>
            </w:pP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the</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pro</w:t>
            </w:r>
          </w:p>
        </w:tc>
        <w:tc>
          <w:tcPr>
            <w:tcW w:w="6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forma</w:t>
            </w:r>
          </w:p>
        </w:tc>
        <w:tc>
          <w:tcPr>
            <w:tcW w:w="184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condensed  combined</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financial</w:t>
            </w:r>
          </w:p>
        </w:tc>
      </w:tr>
      <w:tr>
        <w:trPr>
          <w:trHeight w:val="170"/>
        </w:trPr>
        <w:tc>
          <w:tcPr>
            <w:tcW w:w="3260" w:type="dxa"/>
            <w:vAlign w:val="bottom"/>
            <w:gridSpan w:val="8"/>
          </w:tcPr>
          <w:p>
            <w:pPr>
              <w:spacing w:after="0"/>
              <w:rPr>
                <w:sz w:val="20"/>
                <w:szCs w:val="20"/>
                <w:color w:val="auto"/>
              </w:rPr>
            </w:pPr>
            <w:r>
              <w:rPr>
                <w:rFonts w:ascii="Courier New" w:cs="Courier New" w:eastAsia="Courier New" w:hAnsi="Courier New"/>
                <w:sz w:val="15"/>
                <w:szCs w:val="15"/>
                <w:color w:val="auto"/>
                <w:w w:val="97"/>
              </w:rPr>
              <w:t>statements are summarized as follows:</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169" w:lineRule="exact"/>
        <w:rPr>
          <w:sz w:val="20"/>
          <w:szCs w:val="20"/>
          <w:color w:val="auto"/>
        </w:rPr>
      </w:pPr>
    </w:p>
    <w:p>
      <w:pPr>
        <w:ind w:left="880" w:hanging="449"/>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outlay for acquisition includes:</w:t>
      </w:r>
    </w:p>
    <w:p>
      <w:pPr>
        <w:spacing w:after="0" w:line="5" w:lineRule="exact"/>
        <w:rPr>
          <w:rFonts w:ascii="Courier New" w:cs="Courier New" w:eastAsia="Courier New" w:hAnsi="Courier New"/>
          <w:sz w:val="15"/>
          <w:szCs w:val="15"/>
          <w:color w:val="auto"/>
        </w:rPr>
      </w:pPr>
    </w:p>
    <w:p>
      <w:pPr>
        <w:ind w:left="1320" w:right="3179" w:hanging="441"/>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o$1,758,085 - Cash paid for a portion of the purchase price as specified in the asset purchase agreement.</w:t>
      </w:r>
    </w:p>
    <w:p>
      <w:pPr>
        <w:spacing w:after="0" w:line="1"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w:t>
      </w:r>
      <w:r>
        <w:rPr>
          <w:rFonts w:ascii="Courier New" w:cs="Courier New" w:eastAsia="Courier New" w:hAnsi="Courier New"/>
          <w:sz w:val="14"/>
          <w:szCs w:val="14"/>
          <w:color w:val="auto"/>
        </w:rPr>
        <w:t>$ 40,000 - Cash paid for costs associated with the acquisition.</w:t>
      </w:r>
    </w:p>
    <w:p>
      <w:pPr>
        <w:spacing w:after="0" w:line="4" w:lineRule="exact"/>
        <w:rPr>
          <w:rFonts w:ascii="Courier New" w:cs="Courier New" w:eastAsia="Courier New" w:hAnsi="Courier New"/>
          <w:sz w:val="15"/>
          <w:szCs w:val="15"/>
          <w:color w:val="auto"/>
        </w:rPr>
      </w:pPr>
    </w:p>
    <w:p>
      <w:pPr>
        <w:ind w:left="880" w:right="3179" w:hanging="449"/>
        <w:spacing w:after="0" w:line="235"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assets that were not purchased or liabilities that were not assumed as part of the acquisition.</w:t>
      </w:r>
    </w:p>
    <w:p>
      <w:pPr>
        <w:spacing w:after="0" w:line="1"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the equity of ClearOne.</w:t>
      </w:r>
    </w:p>
    <w:p>
      <w:pPr>
        <w:spacing w:after="0" w:line="4" w:lineRule="exact"/>
        <w:rPr>
          <w:rFonts w:ascii="Courier New" w:cs="Courier New" w:eastAsia="Courier New" w:hAnsi="Courier New"/>
          <w:sz w:val="15"/>
          <w:szCs w:val="15"/>
          <w:color w:val="auto"/>
        </w:rPr>
      </w:pPr>
    </w:p>
    <w:p>
      <w:pPr>
        <w:jc w:val="both"/>
        <w:ind w:left="880" w:right="3179" w:hanging="449"/>
        <w:spacing w:after="0" w:line="237"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represents goodwill of $3,061,855, capitalized acquisition costs of approximately $40,000 and related pro forma goodwill amortization expense for the year ended June 30, 2000.</w:t>
      </w:r>
    </w:p>
    <w:p>
      <w:pPr>
        <w:spacing w:after="0" w:line="5" w:lineRule="exact"/>
        <w:rPr>
          <w:rFonts w:ascii="Courier New" w:cs="Courier New" w:eastAsia="Courier New" w:hAnsi="Courier New"/>
          <w:sz w:val="15"/>
          <w:szCs w:val="15"/>
          <w:color w:val="auto"/>
        </w:rPr>
      </w:pPr>
    </w:p>
    <w:p>
      <w:pPr>
        <w:ind w:left="880" w:right="3179" w:hanging="449"/>
        <w:spacing w:after="0" w:line="235"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the ClearOne debt, which was not assumed, and related interest expense.</w:t>
      </w:r>
    </w:p>
    <w:p>
      <w:pPr>
        <w:spacing w:after="0" w:line="6" w:lineRule="exact"/>
        <w:rPr>
          <w:rFonts w:ascii="Courier New" w:cs="Courier New" w:eastAsia="Courier New" w:hAnsi="Courier New"/>
          <w:sz w:val="15"/>
          <w:szCs w:val="15"/>
          <w:color w:val="auto"/>
        </w:rPr>
      </w:pPr>
    </w:p>
    <w:p>
      <w:pPr>
        <w:jc w:val="both"/>
        <w:ind w:left="880" w:right="3179" w:hanging="449"/>
        <w:spacing w:after="0" w:line="237"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represents an adjustment to the income tax provision due to the change in taxable income from pro forma adjustments at a federal tax rate of 34%.</w:t>
      </w:r>
    </w:p>
    <w:p>
      <w:pPr>
        <w:spacing w:after="0" w:line="5" w:lineRule="exact"/>
        <w:rPr>
          <w:rFonts w:ascii="Courier New" w:cs="Courier New" w:eastAsia="Courier New" w:hAnsi="Courier New"/>
          <w:sz w:val="15"/>
          <w:szCs w:val="15"/>
          <w:color w:val="auto"/>
        </w:rPr>
      </w:pPr>
    </w:p>
    <w:p>
      <w:pPr>
        <w:ind w:left="880" w:right="3179" w:hanging="449"/>
        <w:spacing w:after="0" w:line="235"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or value of shares issued for a portion of the purchase price as specified in the asset purchase agreement.</w:t>
      </w:r>
    </w:p>
    <w:p>
      <w:pPr>
        <w:spacing w:after="0" w:line="6" w:lineRule="exact"/>
        <w:rPr>
          <w:rFonts w:ascii="Courier New" w:cs="Courier New" w:eastAsia="Courier New" w:hAnsi="Courier New"/>
          <w:sz w:val="15"/>
          <w:szCs w:val="15"/>
          <w:color w:val="auto"/>
        </w:rPr>
      </w:pPr>
    </w:p>
    <w:p>
      <w:pPr>
        <w:jc w:val="both"/>
        <w:ind w:left="880" w:right="3179" w:hanging="449"/>
        <w:spacing w:after="0" w:line="237"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revenue reported by ClearOne as a non-operating item that has been reclassified to conform to the Registrant's method of presentation.</w:t>
      </w:r>
    </w:p>
    <w:p>
      <w:pPr>
        <w:spacing w:after="0" w:line="5" w:lineRule="exact"/>
        <w:rPr>
          <w:rFonts w:ascii="Courier New" w:cs="Courier New" w:eastAsia="Courier New" w:hAnsi="Courier New"/>
          <w:sz w:val="15"/>
          <w:szCs w:val="15"/>
          <w:color w:val="auto"/>
        </w:rPr>
      </w:pPr>
    </w:p>
    <w:p>
      <w:pPr>
        <w:jc w:val="both"/>
        <w:ind w:left="880" w:right="3179" w:hanging="449"/>
        <w:spacing w:after="0" w:line="237"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expenses reported by ClearOne as non-operating expenses that have been reclassified to conform to the Registrant's method of presentation.</w:t>
      </w:r>
    </w:p>
    <w:p>
      <w:pPr>
        <w:spacing w:after="0" w:line="3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19"/>
          </w:cols>
          <w:pgMar w:left="240" w:top="791" w:right="1440" w:bottom="1440" w:gutter="0" w:footer="0" w:header="0"/>
        </w:sectPr>
      </w:pPr>
    </w:p>
    <w:bookmarkStart w:id="24" w:name="page25"/>
    <w:bookmarkEnd w:id="24"/>
    <w:p>
      <w:pPr>
        <w:jc w:val="center"/>
        <w:ind w:right="3179"/>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hereunto duly authorized.</w:t>
      </w:r>
    </w:p>
    <w:p>
      <w:pPr>
        <w:spacing w:after="0" w:line="33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Gentner Communications Corp.</w:t>
      </w:r>
    </w:p>
    <w:p>
      <w:pPr>
        <w:ind w:left="3600"/>
        <w:spacing w:after="0"/>
        <w:rPr>
          <w:sz w:val="20"/>
          <w:szCs w:val="20"/>
          <w:color w:val="auto"/>
        </w:rPr>
      </w:pPr>
      <w:r>
        <w:rPr>
          <w:rFonts w:ascii="Courier New" w:cs="Courier New" w:eastAsia="Courier New" w:hAnsi="Courier New"/>
          <w:sz w:val="15"/>
          <w:szCs w:val="15"/>
          <w:color w:val="auto"/>
        </w:rPr>
        <w:t>(Registrant)</w:t>
      </w:r>
    </w:p>
    <w:p>
      <w:pPr>
        <w:spacing w:after="0" w:line="338" w:lineRule="exact"/>
        <w:rPr>
          <w:sz w:val="20"/>
          <w:szCs w:val="20"/>
          <w:color w:val="auto"/>
        </w:rPr>
      </w:pPr>
    </w:p>
    <w:p>
      <w:pPr>
        <w:ind w:left="3260"/>
        <w:spacing w:after="0"/>
        <w:tabs>
          <w:tab w:leader="none" w:pos="3680" w:val="left"/>
        </w:tabs>
        <w:rPr>
          <w:sz w:val="20"/>
          <w:szCs w:val="20"/>
          <w:color w:val="auto"/>
        </w:rPr>
      </w:pPr>
      <w:r>
        <w:rPr>
          <w:rFonts w:ascii="Courier New" w:cs="Courier New" w:eastAsia="Courier New" w:hAnsi="Courier New"/>
          <w:sz w:val="15"/>
          <w:szCs w:val="15"/>
          <w:color w:val="auto"/>
        </w:rPr>
        <w:t>By:</w:t>
        <w:tab/>
        <w:t>/s/ Susie Strohm</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Susie Strohm</w:t>
      </w:r>
    </w:p>
    <w:p>
      <w:pPr>
        <w:ind w:left="3600"/>
        <w:spacing w:after="0"/>
        <w:rPr>
          <w:sz w:val="20"/>
          <w:szCs w:val="20"/>
          <w:color w:val="auto"/>
        </w:rPr>
      </w:pPr>
      <w:r>
        <w:rPr>
          <w:rFonts w:ascii="Courier New" w:cs="Courier New" w:eastAsia="Courier New" w:hAnsi="Courier New"/>
          <w:sz w:val="15"/>
          <w:szCs w:val="15"/>
          <w:color w:val="auto"/>
        </w:rPr>
        <w:t>Vice President, Finance</w:t>
      </w:r>
    </w:p>
    <w:p>
      <w:pPr>
        <w:ind w:left="3600"/>
        <w:spacing w:after="0"/>
        <w:rPr>
          <w:sz w:val="20"/>
          <w:szCs w:val="20"/>
          <w:color w:val="auto"/>
        </w:rPr>
      </w:pPr>
      <w:r>
        <w:rPr>
          <w:rFonts w:ascii="Courier New" w:cs="Courier New" w:eastAsia="Courier New" w:hAnsi="Courier New"/>
          <w:sz w:val="15"/>
          <w:szCs w:val="15"/>
          <w:color w:val="auto"/>
        </w:rPr>
        <w:t>(Duly authorized Officer and Principal</w:t>
      </w:r>
    </w:p>
    <w:p>
      <w:pPr>
        <w:ind w:left="3600"/>
        <w:spacing w:after="0" w:line="238" w:lineRule="auto"/>
        <w:rPr>
          <w:sz w:val="20"/>
          <w:szCs w:val="20"/>
          <w:color w:val="auto"/>
        </w:rPr>
      </w:pPr>
      <w:r>
        <w:rPr>
          <w:rFonts w:ascii="Courier New" w:cs="Courier New" w:eastAsia="Courier New" w:hAnsi="Courier New"/>
          <w:sz w:val="15"/>
          <w:szCs w:val="15"/>
          <w:color w:val="auto"/>
        </w:rPr>
        <w:t>Financial and Accounting Officer)</w:t>
      </w:r>
    </w:p>
    <w:p>
      <w:pPr>
        <w:spacing w:after="0" w:line="16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Dated:</w:t>
        <w:tab/>
        <w:t>September 18,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19"/>
          </w:cols>
          <w:pgMar w:left="240" w:top="622" w:right="1440" w:bottom="1440" w:gutter="0" w:footer="0" w:header="0"/>
        </w:sectPr>
      </w:pPr>
    </w:p>
    <w:bookmarkStart w:id="25" w:name="page26"/>
    <w:bookmarkEnd w:id="25"/>
    <w:p>
      <w:pPr>
        <w:ind w:left="2990"/>
        <w:spacing w:after="0"/>
        <w:rPr>
          <w:sz w:val="20"/>
          <w:szCs w:val="20"/>
          <w:color w:val="auto"/>
        </w:rPr>
      </w:pPr>
      <w:r>
        <w:rPr>
          <w:rFonts w:ascii="Courier New" w:cs="Courier New" w:eastAsia="Courier New" w:hAnsi="Courier New"/>
          <w:sz w:val="15"/>
          <w:szCs w:val="15"/>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ASSET PURCHASE AGREEMENT</w:t>
      </w:r>
    </w:p>
    <w:p>
      <w:pPr>
        <w:ind w:left="3350"/>
        <w:spacing w:after="0"/>
        <w:rPr>
          <w:sz w:val="20"/>
          <w:szCs w:val="20"/>
          <w:color w:val="auto"/>
        </w:rPr>
      </w:pPr>
      <w:r>
        <w:rPr>
          <w:rFonts w:ascii="Courier New" w:cs="Courier New" w:eastAsia="Courier New" w:hAnsi="Courier New"/>
          <w:sz w:val="15"/>
          <w:szCs w:val="15"/>
          <w:color w:val="auto"/>
        </w:rPr>
        <w:t>AMONG</w:t>
      </w:r>
    </w:p>
    <w:p>
      <w:pPr>
        <w:ind w:left="2030"/>
        <w:spacing w:after="0"/>
        <w:rPr>
          <w:sz w:val="20"/>
          <w:szCs w:val="20"/>
          <w:color w:val="auto"/>
        </w:rPr>
      </w:pPr>
      <w:r>
        <w:rPr>
          <w:rFonts w:ascii="Courier New" w:cs="Courier New" w:eastAsia="Courier New" w:hAnsi="Courier New"/>
          <w:sz w:val="15"/>
          <w:szCs w:val="15"/>
          <w:color w:val="auto"/>
        </w:rPr>
        <w:t>GENTNER COMMUNICATIONS CORPORATION,</w:t>
      </w:r>
    </w:p>
    <w:p>
      <w:pPr>
        <w:ind w:left="3430"/>
        <w:spacing w:after="0" w:line="238" w:lineRule="auto"/>
        <w:rPr>
          <w:sz w:val="20"/>
          <w:szCs w:val="20"/>
          <w:color w:val="auto"/>
        </w:rPr>
      </w:pPr>
      <w:r>
        <w:rPr>
          <w:rFonts w:ascii="Courier New" w:cs="Courier New" w:eastAsia="Courier New" w:hAnsi="Courier New"/>
          <w:sz w:val="15"/>
          <w:szCs w:val="15"/>
          <w:color w:val="auto"/>
        </w:rPr>
        <w:t>AND</w:t>
      </w:r>
    </w:p>
    <w:p>
      <w:pPr>
        <w:ind w:left="2910"/>
        <w:spacing w:after="0"/>
        <w:rPr>
          <w:sz w:val="20"/>
          <w:szCs w:val="20"/>
          <w:color w:val="auto"/>
        </w:rPr>
      </w:pPr>
      <w:r>
        <w:rPr>
          <w:rFonts w:ascii="Courier New" w:cs="Courier New" w:eastAsia="Courier New" w:hAnsi="Courier New"/>
          <w:sz w:val="15"/>
          <w:szCs w:val="15"/>
          <w:color w:val="auto"/>
        </w:rPr>
        <w:t>CLEARONE, INC.</w:t>
      </w:r>
    </w:p>
    <w:p>
      <w:pPr>
        <w:spacing w:after="0" w:line="200" w:lineRule="exact"/>
        <w:rPr>
          <w:sz w:val="20"/>
          <w:szCs w:val="20"/>
          <w:color w:val="auto"/>
        </w:rPr>
      </w:pPr>
    </w:p>
    <w:p>
      <w:pPr>
        <w:spacing w:after="0" w:line="308"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July 5,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E-1</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ASSET PURCHASE AGREEMENT</w:t>
      </w:r>
    </w:p>
    <w:p>
      <w:pPr>
        <w:spacing w:after="0" w:line="5" w:lineRule="exact"/>
        <w:rPr>
          <w:sz w:val="20"/>
          <w:szCs w:val="20"/>
          <w:color w:val="auto"/>
        </w:rPr>
      </w:pPr>
    </w:p>
    <w:p>
      <w:pPr>
        <w:jc w:val="both"/>
        <w:ind w:left="10" w:right="3179" w:firstLine="793"/>
        <w:spacing w:after="0" w:line="238" w:lineRule="auto"/>
        <w:rPr>
          <w:sz w:val="20"/>
          <w:szCs w:val="20"/>
          <w:color w:val="auto"/>
        </w:rPr>
      </w:pPr>
      <w:r>
        <w:rPr>
          <w:rFonts w:ascii="Courier New" w:cs="Courier New" w:eastAsia="Courier New" w:hAnsi="Courier New"/>
          <w:sz w:val="15"/>
          <w:szCs w:val="15"/>
          <w:color w:val="auto"/>
        </w:rPr>
        <w:t>This Asset Purchase Agreement (the "Agreement") is made and entered into effective as of July 5, 2000, by and among GENTNER COMMUNICATIONS CORPORATION, a Utah corporation (the "Buyer"), CLEARONE, INC., a Massachusetts corporation (the "Seller"). The Buyer and the Seller are each sometimes referred to herein as a "Party" and are sometimes collectively referred to herein as the "Parties".</w:t>
      </w:r>
    </w:p>
    <w:p>
      <w:pPr>
        <w:spacing w:after="0" w:line="176" w:lineRule="exact"/>
        <w:rPr>
          <w:sz w:val="20"/>
          <w:szCs w:val="20"/>
          <w:color w:val="auto"/>
        </w:rPr>
      </w:pPr>
    </w:p>
    <w:p>
      <w:pPr>
        <w:jc w:val="both"/>
        <w:ind w:left="10" w:right="3179" w:firstLine="793"/>
        <w:spacing w:after="0" w:line="237" w:lineRule="auto"/>
        <w:rPr>
          <w:sz w:val="20"/>
          <w:szCs w:val="20"/>
          <w:color w:val="auto"/>
        </w:rPr>
      </w:pPr>
      <w:r>
        <w:rPr>
          <w:rFonts w:ascii="Courier New" w:cs="Courier New" w:eastAsia="Courier New" w:hAnsi="Courier New"/>
          <w:sz w:val="15"/>
          <w:szCs w:val="15"/>
          <w:color w:val="auto"/>
        </w:rPr>
        <w:t>A. This Agreement contemplates a transaction in which the Buyer will purchase certain of the assets of the Seller in return for a combination of cash and stock of the Buyer.</w:t>
      </w:r>
    </w:p>
    <w:p>
      <w:pPr>
        <w:spacing w:after="0" w:line="175" w:lineRule="exact"/>
        <w:rPr>
          <w:sz w:val="20"/>
          <w:szCs w:val="20"/>
          <w:color w:val="auto"/>
        </w:rPr>
      </w:pPr>
    </w:p>
    <w:p>
      <w:pPr>
        <w:jc w:val="both"/>
        <w:ind w:left="10" w:right="3179" w:firstLine="793"/>
        <w:spacing w:after="0" w:line="237" w:lineRule="auto"/>
        <w:rPr>
          <w:sz w:val="20"/>
          <w:szCs w:val="20"/>
          <w:color w:val="auto"/>
        </w:rPr>
      </w:pPr>
      <w:r>
        <w:rPr>
          <w:rFonts w:ascii="Courier New" w:cs="Courier New" w:eastAsia="Courier New" w:hAnsi="Courier New"/>
          <w:sz w:val="15"/>
          <w:szCs w:val="15"/>
          <w:color w:val="auto"/>
        </w:rPr>
        <w:t>Now, therefore, in consideration of the premises and the mutual promises herein made, and in consideration of the representations, warranties, and covenants herein contained, the Parties agree as follows.</w:t>
      </w:r>
    </w:p>
    <w:p>
      <w:pPr>
        <w:spacing w:after="0" w:line="339" w:lineRule="exact"/>
        <w:rPr>
          <w:sz w:val="20"/>
          <w:szCs w:val="20"/>
          <w:color w:val="auto"/>
        </w:rPr>
      </w:pPr>
    </w:p>
    <w:p>
      <w:pPr>
        <w:ind w:left="2550"/>
        <w:spacing w:after="0"/>
        <w:rPr>
          <w:sz w:val="20"/>
          <w:szCs w:val="20"/>
          <w:color w:val="auto"/>
        </w:rPr>
      </w:pPr>
      <w:r>
        <w:rPr>
          <w:rFonts w:ascii="Courier New" w:cs="Courier New" w:eastAsia="Courier New" w:hAnsi="Courier New"/>
          <w:sz w:val="15"/>
          <w:szCs w:val="15"/>
          <w:color w:val="auto"/>
        </w:rPr>
        <w:t>ARTICLE 1 -- Definitions.</w:t>
      </w:r>
    </w:p>
    <w:p>
      <w:pPr>
        <w:ind w:left="255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9"/>
          </w:cols>
          <w:pgMar w:left="230" w:top="983" w:right="1440" w:bottom="0" w:gutter="0" w:footer="0" w:header="0"/>
        </w:sectPr>
      </w:pPr>
    </w:p>
    <w:p>
      <w:pPr>
        <w:spacing w:after="0" w:line="169" w:lineRule="exact"/>
        <w:rPr>
          <w:sz w:val="20"/>
          <w:szCs w:val="20"/>
          <w:color w:val="auto"/>
        </w:rPr>
      </w:pPr>
    </w:p>
    <w:p>
      <w:pPr>
        <w:ind w:left="790"/>
        <w:spacing w:after="0"/>
        <w:tabs>
          <w:tab w:leader="none" w:pos="1909" w:val="left"/>
          <w:tab w:leader="none" w:pos="2889" w:val="left"/>
        </w:tabs>
        <w:rPr>
          <w:sz w:val="20"/>
          <w:szCs w:val="20"/>
          <w:color w:val="auto"/>
        </w:rPr>
      </w:pPr>
      <w:r>
        <w:rPr>
          <w:rFonts w:ascii="Courier New" w:cs="Courier New" w:eastAsia="Courier New" w:hAnsi="Courier New"/>
          <w:sz w:val="15"/>
          <w:szCs w:val="15"/>
          <w:color w:val="auto"/>
        </w:rPr>
        <w:t>"Accredited</w:t>
        <w:tab/>
        <w:t>Investor"</w:t>
      </w:r>
      <w:r>
        <w:rPr>
          <w:sz w:val="20"/>
          <w:szCs w:val="20"/>
          <w:color w:val="auto"/>
        </w:rPr>
        <w:tab/>
      </w:r>
      <w:r>
        <w:rPr>
          <w:rFonts w:ascii="Courier New" w:cs="Courier New" w:eastAsia="Courier New" w:hAnsi="Courier New"/>
          <w:sz w:val="14"/>
          <w:szCs w:val="14"/>
          <w:color w:val="auto"/>
        </w:rPr>
        <w:t>has the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meaning</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set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forth</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in</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Regulation</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w:t>
      </w:r>
    </w:p>
    <w:p>
      <w:pPr>
        <w:spacing w:after="0" w:line="22" w:lineRule="exact"/>
        <w:rPr>
          <w:sz w:val="20"/>
          <w:szCs w:val="20"/>
          <w:color w:val="auto"/>
        </w:rPr>
      </w:pPr>
    </w:p>
    <w:p>
      <w:pPr>
        <w:sectPr>
          <w:pgSz w:w="11900" w:h="16838" w:orient="portrait"/>
          <w:cols w:equalWidth="0" w:num="7">
            <w:col w:w="3530" w:space="180"/>
            <w:col w:w="600" w:space="180"/>
            <w:col w:w="280" w:space="160"/>
            <w:col w:w="440" w:space="180"/>
            <w:col w:w="180" w:space="180"/>
            <w:col w:w="880" w:space="180"/>
            <w:col w:w="3259"/>
          </w:cols>
          <w:pgMar w:left="230" w:top="983" w:right="1440" w:bottom="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promulgated under the Securities Act.</w:t>
      </w:r>
    </w:p>
    <w:p>
      <w:pPr>
        <w:sectPr>
          <w:pgSz w:w="11900" w:h="16838" w:orient="portrait"/>
          <w:cols w:equalWidth="0" w:num="1">
            <w:col w:w="10229"/>
          </w:cols>
          <w:pgMar w:left="230" w:top="983" w:right="1440" w:bottom="0" w:gutter="0" w:footer="0" w:header="0"/>
          <w:type w:val="continuous"/>
        </w:sectPr>
      </w:pPr>
    </w:p>
    <w:p>
      <w:pPr>
        <w:spacing w:after="0" w:line="180" w:lineRule="exact"/>
        <w:rPr>
          <w:sz w:val="20"/>
          <w:szCs w:val="20"/>
          <w:color w:val="auto"/>
        </w:rPr>
      </w:pPr>
    </w:p>
    <w:p>
      <w:pPr>
        <w:jc w:val="both"/>
        <w:ind w:left="10" w:right="3179" w:firstLine="793"/>
        <w:spacing w:after="0" w:line="256" w:lineRule="auto"/>
        <w:rPr>
          <w:sz w:val="20"/>
          <w:szCs w:val="20"/>
          <w:color w:val="auto"/>
        </w:rPr>
      </w:pPr>
      <w:r>
        <w:rPr>
          <w:rFonts w:ascii="Courier New" w:cs="Courier New" w:eastAsia="Courier New" w:hAnsi="Courier New"/>
          <w:sz w:val="14"/>
          <w:szCs w:val="14"/>
          <w:color w:val="auto"/>
        </w:rPr>
        <w:t>"Acquired Assets" means all right, title, and interest in and to all of the following assets of the Seller: (a) leaseholds, improvements, fixtures, and fittings thereon, (b) tangible personal property (such as machinery, equipment, manufactured and purchased parts, goods in process and finished goods, furniture, tools, and moldings), (c) Intellectual Property, including without limitation that set forth on Exhibit A, goodwill associated therewith, licenses and sublicenses granted and obtained with respect thereto, and rights thereunder, remedies against infringements thereof, and rights to protection of interests therein under the laws of all jurisdictions, (d) leases and rights thereunder, (e) those agreements, contracts, instruments, Security Interests, other similar arrangements, and rights thereunder, as set forth on Exhibit A,</w:t>
      </w:r>
    </w:p>
    <w:p>
      <w:pPr>
        <w:spacing w:after="0" w:line="4" w:lineRule="exact"/>
        <w:rPr>
          <w:sz w:val="20"/>
          <w:szCs w:val="20"/>
          <w:color w:val="auto"/>
        </w:rPr>
      </w:pPr>
    </w:p>
    <w:p>
      <w:pPr>
        <w:jc w:val="both"/>
        <w:ind w:left="10" w:right="3179" w:hanging="10"/>
        <w:spacing w:after="0" w:line="256" w:lineRule="auto"/>
        <w:tabs>
          <w:tab w:leader="none" w:pos="362"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claims, deposits, rights of recovery, and rights of set off, (g) approvals, permits, licenses, orders, registrations, certificates, variances, and similar rights obtained from governments and governmental agencies, (h) Inventory, and</w:t>
      </w:r>
    </w:p>
    <w:p>
      <w:pPr>
        <w:spacing w:after="0" w:line="1" w:lineRule="exact"/>
        <w:rPr>
          <w:rFonts w:ascii="Courier New" w:cs="Courier New" w:eastAsia="Courier New" w:hAnsi="Courier New"/>
          <w:sz w:val="14"/>
          <w:szCs w:val="14"/>
          <w:color w:val="auto"/>
        </w:rPr>
      </w:pPr>
    </w:p>
    <w:p>
      <w:pPr>
        <w:jc w:val="both"/>
        <w:ind w:left="10" w:right="3179" w:hanging="10"/>
        <w:spacing w:after="0" w:line="238" w:lineRule="auto"/>
        <w:tabs>
          <w:tab w:leader="none" w:pos="362"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books, records, ledgers, files, documents, correspondence, lists, plats, architectural plans, drawings, and specifications, advertising and promotional materials, studies, reports, and other printed or written materials; provided, however, that the Acquired Assets shall not include the Excluded Assets. A detailed list of the Acquired Assets is set forth on Exhibit A attached hereto, which list shall be subject to approval by Buyer following completion of an audit prior to the Closing.</w:t>
      </w:r>
    </w:p>
    <w:p>
      <w:pPr>
        <w:spacing w:after="0" w:line="177" w:lineRule="exact"/>
        <w:rPr>
          <w:sz w:val="20"/>
          <w:szCs w:val="20"/>
          <w:color w:val="auto"/>
        </w:rPr>
      </w:pPr>
    </w:p>
    <w:p>
      <w:pPr>
        <w:jc w:val="both"/>
        <w:ind w:left="10" w:right="3179" w:firstLine="793"/>
        <w:spacing w:after="0" w:line="235" w:lineRule="auto"/>
        <w:rPr>
          <w:sz w:val="20"/>
          <w:szCs w:val="20"/>
          <w:color w:val="auto"/>
        </w:rPr>
      </w:pPr>
      <w:r>
        <w:rPr>
          <w:rFonts w:ascii="Courier New" w:cs="Courier New" w:eastAsia="Courier New" w:hAnsi="Courier New"/>
          <w:sz w:val="15"/>
          <w:szCs w:val="15"/>
          <w:color w:val="auto"/>
        </w:rPr>
        <w:t>"Adjusted Trading Price" shall have the meaning set forth in Section 2(c)(i) below.</w:t>
      </w:r>
    </w:p>
    <w:p>
      <w:pPr>
        <w:spacing w:after="0" w:line="176" w:lineRule="exact"/>
        <w:rPr>
          <w:sz w:val="20"/>
          <w:szCs w:val="20"/>
          <w:color w:val="auto"/>
        </w:rPr>
      </w:pPr>
    </w:p>
    <w:p>
      <w:pPr>
        <w:jc w:val="both"/>
        <w:ind w:left="10" w:right="3179" w:firstLine="793"/>
        <w:spacing w:after="0" w:line="260" w:lineRule="auto"/>
        <w:rPr>
          <w:sz w:val="20"/>
          <w:szCs w:val="20"/>
          <w:color w:val="auto"/>
        </w:rPr>
      </w:pPr>
      <w:r>
        <w:rPr>
          <w:rFonts w:ascii="Courier New" w:cs="Courier New" w:eastAsia="Courier New" w:hAnsi="Courier New"/>
          <w:sz w:val="14"/>
          <w:szCs w:val="14"/>
          <w:color w:val="auto"/>
        </w:rPr>
        <w:t>"Adverse Consequences" means all actions, suits, proceedings, hearings, investigations, charges, complaints, claims, demands, injunctions, judgments, orders, decrees, rulings, damages, dues, penalties, fines, costs, amounts paid</w:t>
      </w:r>
    </w:p>
    <w:p>
      <w:pPr>
        <w:sectPr>
          <w:pgSz w:w="11900" w:h="16838" w:orient="portrait"/>
          <w:cols w:equalWidth="0" w:num="1">
            <w:col w:w="10229"/>
          </w:cols>
          <w:pgMar w:left="230" w:top="983" w:right="1440" w:bottom="0" w:gutter="0" w:footer="0" w:header="0"/>
          <w:type w:val="continuous"/>
        </w:sectPr>
      </w:pPr>
    </w:p>
    <w:bookmarkStart w:id="26" w:name="page27"/>
    <w:bookmarkEnd w:id="26"/>
    <w:p>
      <w:pPr>
        <w:ind w:right="3179"/>
        <w:spacing w:after="0" w:line="235" w:lineRule="auto"/>
        <w:rPr>
          <w:sz w:val="20"/>
          <w:szCs w:val="20"/>
          <w:color w:val="auto"/>
        </w:rPr>
      </w:pPr>
      <w:r>
        <w:rPr>
          <w:rFonts w:ascii="Courier New" w:cs="Courier New" w:eastAsia="Courier New" w:hAnsi="Courier New"/>
          <w:sz w:val="15"/>
          <w:szCs w:val="15"/>
          <w:color w:val="auto"/>
        </w:rPr>
        <w:t>in settlement, Liabilities, obligations, Taxes, liens, losses, expenses, and fees, including court costs and reasonable attorneys' fees and expenses.</w:t>
      </w:r>
    </w:p>
    <w:p>
      <w:pPr>
        <w:spacing w:after="0" w:line="176" w:lineRule="exact"/>
        <w:rPr>
          <w:sz w:val="20"/>
          <w:szCs w:val="20"/>
          <w:color w:val="auto"/>
        </w:rPr>
      </w:pPr>
    </w:p>
    <w:p>
      <w:pPr>
        <w:ind w:right="3179" w:firstLine="793"/>
        <w:spacing w:after="0" w:line="235" w:lineRule="auto"/>
        <w:rPr>
          <w:sz w:val="20"/>
          <w:szCs w:val="20"/>
          <w:color w:val="auto"/>
        </w:rPr>
      </w:pPr>
      <w:r>
        <w:rPr>
          <w:rFonts w:ascii="Courier New" w:cs="Courier New" w:eastAsia="Courier New" w:hAnsi="Courier New"/>
          <w:sz w:val="15"/>
          <w:szCs w:val="15"/>
          <w:color w:val="auto"/>
        </w:rPr>
        <w:t>"Affiliate" has the meaning set forth in Rule 12b-2 of the regulations promulgated under the Securities Exchange Act.</w:t>
      </w:r>
    </w:p>
    <w:p>
      <w:pPr>
        <w:spacing w:after="0" w:line="34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E-2</w:t>
      </w:r>
    </w:p>
    <w:p>
      <w:pPr>
        <w:sectPr>
          <w:pgSz w:w="11900" w:h="16838" w:orient="portrait"/>
          <w:cols w:equalWidth="0" w:num="1">
            <w:col w:w="10219"/>
          </w:cols>
          <w:pgMar w:left="240" w:top="141" w:right="1440" w:bottom="1440" w:gutter="0" w:footer="0" w:header="0"/>
        </w:sectPr>
      </w:pPr>
    </w:p>
    <w:bookmarkStart w:id="27" w:name="page28"/>
    <w:bookmarkEnd w:id="27"/>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"Affiliated Group" means any affiliated group within the meaning of Code Section 1504(a) or any similar group defined under a similar provision of state, local, or foreign law.</w:t>
      </w:r>
    </w:p>
    <w:p>
      <w:pPr>
        <w:spacing w:after="0" w:line="175" w:lineRule="exact"/>
        <w:rPr>
          <w:sz w:val="20"/>
          <w:szCs w:val="20"/>
          <w:color w:val="auto"/>
        </w:rPr>
      </w:pPr>
    </w:p>
    <w:p>
      <w:pPr>
        <w:jc w:val="both"/>
        <w:ind w:right="3179" w:firstLine="793"/>
        <w:spacing w:after="0" w:line="235" w:lineRule="auto"/>
        <w:rPr>
          <w:sz w:val="20"/>
          <w:szCs w:val="20"/>
          <w:color w:val="auto"/>
        </w:rPr>
      </w:pPr>
      <w:r>
        <w:rPr>
          <w:rFonts w:ascii="Courier New" w:cs="Courier New" w:eastAsia="Courier New" w:hAnsi="Courier New"/>
          <w:sz w:val="15"/>
          <w:szCs w:val="15"/>
          <w:color w:val="auto"/>
        </w:rPr>
        <w:t>"Applicable Rate" means the corporate base rate of interest publicly announced from time to time by Bank One, N.A., plus 1% per annum.</w:t>
      </w:r>
    </w:p>
    <w:p>
      <w:pPr>
        <w:spacing w:after="0" w:line="176"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"Assumed Liabilities" means (i) only the renegotiated and amended form of that certain License Agreement between Seller and VideoServer, Inc., a/k/a Ezenia, Inc. (the "VideoServer License") substantially in the form attached hereto as Exhibit B, (ii) those liabilities and obligations pursuant to contracts assumed by Buyer as part of the Acquired Assets and listed on Exhibit A, and (iii) the one year warranty obligation of the Seller for all finished products sold during the prior one year period ending on the date hereof, except for any and all goods in process or finished products sold to or through Smoltz Distributing.</w:t>
      </w:r>
    </w:p>
    <w:p>
      <w:pPr>
        <w:spacing w:after="0" w:line="179"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"Basis" means any past or present fact, situation, circumstance, status, condition, activity, practice, plan, occurrence, event, incident, action, failure to act, or transaction that forms or could form the basis for any specified consequence.</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"Buyer" has the meaning set forth in the preface above.</w:t>
      </w:r>
    </w:p>
    <w:p>
      <w:pPr>
        <w:spacing w:after="0" w:line="175" w:lineRule="exact"/>
        <w:rPr>
          <w:sz w:val="20"/>
          <w:szCs w:val="20"/>
          <w:color w:val="auto"/>
        </w:rPr>
      </w:pPr>
    </w:p>
    <w:p>
      <w:pPr>
        <w:jc w:val="both"/>
        <w:ind w:right="3179" w:firstLine="793"/>
        <w:spacing w:after="0" w:line="260" w:lineRule="auto"/>
        <w:rPr>
          <w:sz w:val="20"/>
          <w:szCs w:val="20"/>
          <w:color w:val="auto"/>
        </w:rPr>
      </w:pPr>
      <w:r>
        <w:rPr>
          <w:rFonts w:ascii="Courier New" w:cs="Courier New" w:eastAsia="Courier New" w:hAnsi="Courier New"/>
          <w:sz w:val="14"/>
          <w:szCs w:val="14"/>
          <w:color w:val="auto"/>
        </w:rPr>
        <w:t>"Cash" means cash and cash equivalents (including marketable securities and short term investments) calculated in accordance with GAAP applied on a basis consistent with the preparation of the Financial Statements.</w:t>
      </w:r>
    </w:p>
    <w:p>
      <w:pPr>
        <w:spacing w:after="0" w:line="157"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"Closing" has the meaning set forth in Section 2(d) below.</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"Closing Date" has the meaning set forth in Section 2(d) below.</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"Code" means the Internal Revenue Code of 1986, as amended.</w:t>
      </w:r>
    </w:p>
    <w:p>
      <w:pPr>
        <w:spacing w:after="0" w:line="169" w:lineRule="exact"/>
        <w:rPr>
          <w:sz w:val="20"/>
          <w:szCs w:val="20"/>
          <w:color w:val="auto"/>
        </w:rPr>
      </w:pPr>
    </w:p>
    <w:p>
      <w:pPr>
        <w:jc w:val="both"/>
        <w:ind w:left="780"/>
        <w:spacing w:after="0"/>
        <w:tabs>
          <w:tab w:leader="none" w:pos="1900" w:val="left"/>
          <w:tab w:leader="none" w:pos="3240" w:val="left"/>
          <w:tab w:leader="none" w:pos="4740" w:val="left"/>
          <w:tab w:leader="none" w:pos="6660" w:val="left"/>
        </w:tabs>
        <w:rPr>
          <w:sz w:val="20"/>
          <w:szCs w:val="20"/>
          <w:color w:val="auto"/>
        </w:rPr>
      </w:pPr>
      <w:r>
        <w:rPr>
          <w:rFonts w:ascii="Courier New" w:cs="Courier New" w:eastAsia="Courier New" w:hAnsi="Courier New"/>
          <w:sz w:val="15"/>
          <w:szCs w:val="15"/>
          <w:color w:val="auto"/>
        </w:rPr>
        <w:t>"Compliance</w:t>
        <w:tab/>
        <w:t>Certificates"</w:t>
        <w:tab/>
        <w:t>has the meaning</w:t>
        <w:tab/>
        <w:t>set forth in Section</w:t>
        <w:tab/>
        <w:t>3(q)</w:t>
      </w:r>
    </w:p>
    <w:p>
      <w:pPr>
        <w:spacing w:after="0"/>
        <w:rPr>
          <w:sz w:val="20"/>
          <w:szCs w:val="20"/>
          <w:color w:val="auto"/>
        </w:rPr>
      </w:pPr>
      <w:r>
        <w:rPr>
          <w:rFonts w:ascii="Courier New" w:cs="Courier New" w:eastAsia="Courier New" w:hAnsi="Courier New"/>
          <w:sz w:val="15"/>
          <w:szCs w:val="15"/>
          <w:color w:val="auto"/>
        </w:rPr>
        <w:t>below.</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"Deposit" has the meaning set forth in Section 2(c)(ii)(A) below.</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"Disclosure Schedule" has the meaning set forth in Section 3 below.</w:t>
      </w:r>
    </w:p>
    <w:p>
      <w:pPr>
        <w:spacing w:after="0" w:line="175"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"Employee Benefit Plan" means any (a) nonqualified deferred compensation or retirement plan or arrangement, (b) qualified defined contribution retirement plan or arrangement which is an Employee Pension Benefit Plan, (c) qualified defined benefit retirement plan or arrangement which is an Employee Pension Benefit Plan (including any Multiemployer Plan), or (d) Employee Welfare Benefit Plan or material fringe benefit or other retirement, bonus, or incentive plan or program.</w:t>
      </w:r>
    </w:p>
    <w:p>
      <w:pPr>
        <w:spacing w:after="0" w:line="177" w:lineRule="exact"/>
        <w:rPr>
          <w:sz w:val="20"/>
          <w:szCs w:val="20"/>
          <w:color w:val="auto"/>
        </w:rPr>
      </w:pPr>
    </w:p>
    <w:p>
      <w:pPr>
        <w:jc w:val="both"/>
        <w:ind w:right="3179" w:firstLine="793"/>
        <w:spacing w:after="0" w:line="235" w:lineRule="auto"/>
        <w:rPr>
          <w:sz w:val="20"/>
          <w:szCs w:val="20"/>
          <w:color w:val="auto"/>
        </w:rPr>
      </w:pPr>
      <w:r>
        <w:rPr>
          <w:rFonts w:ascii="Courier New" w:cs="Courier New" w:eastAsia="Courier New" w:hAnsi="Courier New"/>
          <w:sz w:val="15"/>
          <w:szCs w:val="15"/>
          <w:color w:val="auto"/>
        </w:rPr>
        <w:t>"Employee Pension Benefit Plan" has the meaning set forth in ERISA Section 3(2).</w:t>
      </w:r>
    </w:p>
    <w:p>
      <w:pPr>
        <w:spacing w:after="0" w:line="176" w:lineRule="exact"/>
        <w:rPr>
          <w:sz w:val="20"/>
          <w:szCs w:val="20"/>
          <w:color w:val="auto"/>
        </w:rPr>
      </w:pPr>
    </w:p>
    <w:p>
      <w:pPr>
        <w:jc w:val="both"/>
        <w:ind w:right="3179" w:firstLine="793"/>
        <w:spacing w:after="0" w:line="235" w:lineRule="auto"/>
        <w:rPr>
          <w:sz w:val="20"/>
          <w:szCs w:val="20"/>
          <w:color w:val="auto"/>
        </w:rPr>
      </w:pPr>
      <w:r>
        <w:rPr>
          <w:rFonts w:ascii="Courier New" w:cs="Courier New" w:eastAsia="Courier New" w:hAnsi="Courier New"/>
          <w:sz w:val="15"/>
          <w:szCs w:val="15"/>
          <w:color w:val="auto"/>
        </w:rPr>
        <w:t>"Employee Welfare Benefit Plan" has the meaning set forth in ERISA Section 3(1).</w:t>
      </w:r>
    </w:p>
    <w:p>
      <w:pPr>
        <w:spacing w:after="0" w:line="34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E-2</w:t>
      </w:r>
    </w:p>
    <w:p>
      <w:pPr>
        <w:sectPr>
          <w:pgSz w:w="11900" w:h="16838" w:orient="portrait"/>
          <w:cols w:equalWidth="0" w:num="1">
            <w:col w:w="10219"/>
          </w:cols>
          <w:pgMar w:left="240" w:top="797" w:right="1440" w:bottom="1440" w:gutter="0" w:footer="0" w:header="0"/>
        </w:sectPr>
      </w:pPr>
    </w:p>
    <w:bookmarkStart w:id="28" w:name="page29"/>
    <w:bookmarkEnd w:id="28"/>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"Environmental, Health, and Safety Requirements" shall mean all federal, state, local and foreign statutes, regulations, ordinances and other provisions having the force or effect of law, all judicial and administrative orders and determinations, all contractual obligations and all common law concerning public health and safety, worker health and safety, and pollution or protection of the environment, including without limitation all those relating to the presence, use, production, generation, handling, transportation, treatment, storage, disposal, distribution, labeling, testing, processing, discharge, release, threatened release, control, or cleanup of any hazardous materials, substances or wastes, chemical substances or mixtures, pesticides, pollutants, contaminants, toxic chemicals, petroleum products or byproducts, asbestos, polychlorinated biphenyls, noise or radiation, each as amended and as now or hereafter in effect.</w:t>
      </w:r>
    </w:p>
    <w:p>
      <w:pPr>
        <w:spacing w:after="0" w:line="177" w:lineRule="exact"/>
        <w:rPr>
          <w:sz w:val="20"/>
          <w:szCs w:val="20"/>
          <w:color w:val="auto"/>
        </w:rPr>
      </w:pPr>
    </w:p>
    <w:p>
      <w:pPr>
        <w:jc w:val="right"/>
        <w:ind w:right="3179"/>
        <w:spacing w:after="0"/>
        <w:tabs>
          <w:tab w:leader="none" w:pos="3760" w:val="left"/>
          <w:tab w:leader="none" w:pos="2720" w:val="left"/>
        </w:tabs>
        <w:rPr>
          <w:sz w:val="20"/>
          <w:szCs w:val="20"/>
          <w:color w:val="auto"/>
        </w:rPr>
      </w:pPr>
      <w:r>
        <w:rPr>
          <w:rFonts w:ascii="Courier New" w:cs="Courier New" w:eastAsia="Courier New" w:hAnsi="Courier New"/>
          <w:sz w:val="15"/>
          <w:szCs w:val="15"/>
          <w:color w:val="auto"/>
        </w:rPr>
        <w:t>"ERISA" means the Employee</w:t>
        <w:tab/>
        <w:t>Retirement</w:t>
      </w:r>
      <w:r>
        <w:rPr>
          <w:sz w:val="20"/>
          <w:szCs w:val="20"/>
          <w:color w:val="auto"/>
        </w:rPr>
        <w:tab/>
      </w:r>
      <w:r>
        <w:rPr>
          <w:rFonts w:ascii="Courier New" w:cs="Courier New" w:eastAsia="Courier New" w:hAnsi="Courier New"/>
          <w:sz w:val="14"/>
          <w:szCs w:val="14"/>
          <w:color w:val="auto"/>
        </w:rPr>
        <w:t>Income Security Act of 1974, as</w:t>
      </w:r>
    </w:p>
    <w:p>
      <w:pPr>
        <w:spacing w:after="0"/>
        <w:rPr>
          <w:sz w:val="20"/>
          <w:szCs w:val="20"/>
          <w:color w:val="auto"/>
        </w:rPr>
      </w:pPr>
      <w:r>
        <w:rPr>
          <w:rFonts w:ascii="Courier New" w:cs="Courier New" w:eastAsia="Courier New" w:hAnsi="Courier New"/>
          <w:sz w:val="15"/>
          <w:szCs w:val="15"/>
          <w:color w:val="auto"/>
        </w:rPr>
        <w:t>amended.</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"Escrow Agent" has the meaning set forth in Section 8(f) below.</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"Escrow Agreement" has the meaning set forth in Section 8(f) below.</w:t>
      </w:r>
    </w:p>
    <w:p>
      <w:pPr>
        <w:spacing w:after="0" w:line="169" w:lineRule="exact"/>
        <w:rPr>
          <w:sz w:val="20"/>
          <w:szCs w:val="20"/>
          <w:color w:val="auto"/>
        </w:rPr>
      </w:pPr>
    </w:p>
    <w:p>
      <w:pPr>
        <w:jc w:val="right"/>
        <w:ind w:right="3179"/>
        <w:spacing w:after="0"/>
        <w:tabs>
          <w:tab w:leader="none" w:pos="5260" w:val="left"/>
          <w:tab w:leader="none" w:pos="4480" w:val="left"/>
          <w:tab w:leader="none" w:pos="3680" w:val="left"/>
          <w:tab w:leader="none" w:pos="2880" w:val="left"/>
          <w:tab w:leader="none" w:pos="940" w:val="left"/>
        </w:tabs>
        <w:rPr>
          <w:sz w:val="20"/>
          <w:szCs w:val="20"/>
          <w:color w:val="auto"/>
        </w:rPr>
      </w:pPr>
      <w:r>
        <w:rPr>
          <w:rFonts w:ascii="Courier New" w:cs="Courier New" w:eastAsia="Courier New" w:hAnsi="Courier New"/>
          <w:sz w:val="15"/>
          <w:szCs w:val="15"/>
          <w:color w:val="auto"/>
        </w:rPr>
        <w:t>"Escrowed</w:t>
        <w:tab/>
        <w:t>Amount"</w:t>
        <w:tab/>
        <w:t>has the</w:t>
        <w:tab/>
        <w:t>meaning</w:t>
        <w:tab/>
        <w:t>set forth in Section</w:t>
      </w:r>
      <w:r>
        <w:rPr>
          <w:sz w:val="20"/>
          <w:szCs w:val="20"/>
          <w:color w:val="auto"/>
        </w:rPr>
        <w:tab/>
      </w:r>
      <w:r>
        <w:rPr>
          <w:rFonts w:ascii="Courier New" w:cs="Courier New" w:eastAsia="Courier New" w:hAnsi="Courier New"/>
          <w:sz w:val="14"/>
          <w:szCs w:val="14"/>
          <w:color w:val="auto"/>
        </w:rPr>
        <w:t>2(c)(ii)(B)</w:t>
      </w:r>
    </w:p>
    <w:p>
      <w:pPr>
        <w:spacing w:after="0"/>
        <w:rPr>
          <w:sz w:val="20"/>
          <w:szCs w:val="20"/>
          <w:color w:val="auto"/>
        </w:rPr>
      </w:pPr>
      <w:r>
        <w:rPr>
          <w:rFonts w:ascii="Courier New" w:cs="Courier New" w:eastAsia="Courier New" w:hAnsi="Courier New"/>
          <w:sz w:val="15"/>
          <w:szCs w:val="15"/>
          <w:color w:val="auto"/>
        </w:rPr>
        <w:t>below.</w:t>
      </w:r>
    </w:p>
    <w:p>
      <w:pPr>
        <w:spacing w:after="0" w:line="174"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"Escrow Period" shall mean the period of time commencing on the Closing Date and ending on January 5, 2002, or such other date which is 18 months from the Closing Date if the Closing does not occur on July 5, 2000.</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"Escrowed Shares" has the meaning set forth in Section 2(c)(i) below.</w:t>
      </w:r>
    </w:p>
    <w:p>
      <w:pPr>
        <w:spacing w:after="0" w:line="175" w:lineRule="exact"/>
        <w:rPr>
          <w:sz w:val="20"/>
          <w:szCs w:val="20"/>
          <w:color w:val="auto"/>
        </w:rPr>
      </w:pPr>
    </w:p>
    <w:p>
      <w:pPr>
        <w:jc w:val="both"/>
        <w:ind w:right="3179" w:firstLine="793"/>
        <w:spacing w:after="0" w:line="257" w:lineRule="auto"/>
        <w:rPr>
          <w:sz w:val="20"/>
          <w:szCs w:val="20"/>
          <w:color w:val="auto"/>
        </w:rPr>
      </w:pPr>
      <w:r>
        <w:rPr>
          <w:rFonts w:ascii="Courier New" w:cs="Courier New" w:eastAsia="Courier New" w:hAnsi="Courier New"/>
          <w:sz w:val="14"/>
          <w:szCs w:val="14"/>
          <w:color w:val="auto"/>
        </w:rPr>
        <w:t>"Excluded Assets" means (i) the corporate charter, qualifications to conduct business as a foreign corporation, arrangements with registered agents relating to foreign qualifications, taxpayer and other identification numbers, seals, minute books, stock transfer books, blank stock certificates, and other documents relating to the organization, maintenance, and existence of the Seller as a corporation, (ii) any of the rights of the Seller under this Agreement (or under any side agreement between the Seller on the one hand and the Buyer on the other hand entered into on or after the date of this Agreement); (iii) cash and accounts receivables of Seller; (iv) all of the inventory of Seller, except that inventory, if any, set forth on Exhibit A attached hereto; and (v) all contracts, licenses, agreements, indentures, mortgages, Security Interests, guaranties, and other similar arrangements, except as set forth on Exhibit A.</w:t>
      </w:r>
    </w:p>
    <w:p>
      <w:pPr>
        <w:spacing w:after="0" w:line="166"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"Extremely Hazardous Substance" has the meaning set forth in Section 302 of the Emergency Planning and Community Right-to-Know Act of 1986, as amended.</w:t>
      </w:r>
    </w:p>
    <w:p>
      <w:pPr>
        <w:spacing w:after="0" w:line="17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"Financial Statement" has the meaning set forth in Section 3(g) below.</w:t>
      </w:r>
    </w:p>
    <w:p>
      <w:pPr>
        <w:spacing w:after="0" w:line="180" w:lineRule="exact"/>
        <w:rPr>
          <w:sz w:val="20"/>
          <w:szCs w:val="20"/>
          <w:color w:val="auto"/>
        </w:rPr>
      </w:pPr>
    </w:p>
    <w:p>
      <w:pPr>
        <w:jc w:val="both"/>
        <w:ind w:right="3179" w:firstLine="793"/>
        <w:spacing w:after="0" w:line="235" w:lineRule="auto"/>
        <w:rPr>
          <w:sz w:val="20"/>
          <w:szCs w:val="20"/>
          <w:color w:val="auto"/>
        </w:rPr>
      </w:pPr>
      <w:r>
        <w:rPr>
          <w:rFonts w:ascii="Courier New" w:cs="Courier New" w:eastAsia="Courier New" w:hAnsi="Courier New"/>
          <w:sz w:val="15"/>
          <w:szCs w:val="15"/>
          <w:color w:val="auto"/>
        </w:rPr>
        <w:t>"GAAP" means United States generally accepted accounting principles as in effect from time to time.</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"Gentner Shares" has the meaning set forth in Section 2(c)(i) below.</w:t>
      </w:r>
    </w:p>
    <w:p>
      <w:pPr>
        <w:spacing w:after="0" w:line="175" w:lineRule="exact"/>
        <w:rPr>
          <w:sz w:val="20"/>
          <w:szCs w:val="20"/>
          <w:color w:val="auto"/>
        </w:rPr>
      </w:pPr>
    </w:p>
    <w:p>
      <w:pPr>
        <w:jc w:val="both"/>
        <w:ind w:right="3179" w:firstLine="793"/>
        <w:spacing w:after="0" w:line="235" w:lineRule="auto"/>
        <w:rPr>
          <w:sz w:val="20"/>
          <w:szCs w:val="20"/>
          <w:color w:val="auto"/>
        </w:rPr>
      </w:pPr>
      <w:r>
        <w:rPr>
          <w:rFonts w:ascii="Courier New" w:cs="Courier New" w:eastAsia="Courier New" w:hAnsi="Courier New"/>
          <w:sz w:val="15"/>
          <w:szCs w:val="15"/>
          <w:color w:val="auto"/>
        </w:rPr>
        <w:t>"Gold Found Loan Documents" has the meaning set forth in Section 2(c)(ii)(A) below.</w:t>
      </w:r>
    </w:p>
    <w:p>
      <w:pPr>
        <w:spacing w:after="0" w:line="34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E-2</w:t>
      </w:r>
    </w:p>
    <w:p>
      <w:pPr>
        <w:sectPr>
          <w:pgSz w:w="11900" w:h="16838" w:orient="portrait"/>
          <w:cols w:equalWidth="0" w:num="1">
            <w:col w:w="10219"/>
          </w:cols>
          <w:pgMar w:left="240" w:top="627" w:right="1440" w:bottom="1440" w:gutter="0" w:footer="0" w:header="0"/>
        </w:sectPr>
      </w:pPr>
    </w:p>
    <w:bookmarkStart w:id="29" w:name="page30"/>
    <w:bookmarkEnd w:id="29"/>
    <w:p>
      <w:pPr>
        <w:jc w:val="both"/>
        <w:ind w:right="3179" w:firstLine="793"/>
        <w:spacing w:after="0" w:line="257" w:lineRule="auto"/>
        <w:rPr>
          <w:sz w:val="20"/>
          <w:szCs w:val="20"/>
          <w:color w:val="auto"/>
        </w:rPr>
      </w:pPr>
      <w:r>
        <w:rPr>
          <w:rFonts w:ascii="Courier New" w:cs="Courier New" w:eastAsia="Courier New" w:hAnsi="Courier New"/>
          <w:sz w:val="14"/>
          <w:szCs w:val="14"/>
          <w:color w:val="auto"/>
        </w:rPr>
        <w:t>"Intellectual Property" means (a) all inventions (whether patentable or unpatentable and whether or not reduced to practice), all improvements thereto, and all patents, patent applications, and patent disclosures, together with all reissuances, continuations, continuations-in-part, revisions, extensions, and reexaminations thereof, (b) all trademarks, service marks, trade dress, logos, trade names, and corporate names, together with all translations, adaptations, derivations, and combinations thereof and including all goodwill associated therewith, and all applications, registrations, and renewals in connection therewith, (c) all copyrightable works, all copyrights, and all applications, registrations, and renewals in connection therewith, (d) all mask works and all applications, registrations, and renewals in connection therewith, (e) all trade secrets and confidential business information (including research and development, know-how, formulas, compositions, manufacturing and production processes and techniques, technical data, designs, drawings, specifications, customer and supplier lists, pricing and cost information, and business and marketing plans and proposals), (f) all computer software (including data and related documentation), (g) all other proprietary rights, and (h) all copies and tangible embodiments thereof (in whatever form or medium).</w:t>
      </w:r>
    </w:p>
    <w:p>
      <w:pPr>
        <w:spacing w:after="0" w:line="158"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"Inventory" means those items of inventory set forth on Exhibit A.</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"Knowledge" means actual knowledge.</w:t>
      </w:r>
    </w:p>
    <w:p>
      <w:pPr>
        <w:spacing w:after="0" w:line="175"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"Liability" means any liability (whether known or unknown, whether asserted or unasserted, whether absolute or contingent, whether accrued or unaccrued, whether liquidated or unliquidated, and whether due or to become due), including any liability for Taxes.</w:t>
      </w:r>
    </w:p>
    <w:p>
      <w:pPr>
        <w:spacing w:after="0" w:line="176" w:lineRule="exact"/>
        <w:rPr>
          <w:sz w:val="20"/>
          <w:szCs w:val="20"/>
          <w:color w:val="auto"/>
        </w:rPr>
      </w:pPr>
    </w:p>
    <w:p>
      <w:pPr>
        <w:jc w:val="both"/>
        <w:ind w:right="3179" w:firstLine="793"/>
        <w:spacing w:after="0" w:line="235" w:lineRule="auto"/>
        <w:rPr>
          <w:sz w:val="20"/>
          <w:szCs w:val="20"/>
          <w:color w:val="auto"/>
        </w:rPr>
      </w:pPr>
      <w:r>
        <w:rPr>
          <w:rFonts w:ascii="Courier New" w:cs="Courier New" w:eastAsia="Courier New" w:hAnsi="Courier New"/>
          <w:sz w:val="15"/>
          <w:szCs w:val="15"/>
          <w:color w:val="auto"/>
        </w:rPr>
        <w:t>"Most Recent Balance Sheet" means the balance sheet contained within the Most Recent Financial Statements.</w:t>
      </w:r>
    </w:p>
    <w:p>
      <w:pPr>
        <w:spacing w:after="0" w:line="176" w:lineRule="exact"/>
        <w:rPr>
          <w:sz w:val="20"/>
          <w:szCs w:val="20"/>
          <w:color w:val="auto"/>
        </w:rPr>
      </w:pPr>
    </w:p>
    <w:p>
      <w:pPr>
        <w:jc w:val="both"/>
        <w:ind w:right="3179" w:firstLine="793"/>
        <w:spacing w:after="0" w:line="235" w:lineRule="auto"/>
        <w:rPr>
          <w:sz w:val="20"/>
          <w:szCs w:val="20"/>
          <w:color w:val="auto"/>
        </w:rPr>
      </w:pPr>
      <w:r>
        <w:rPr>
          <w:rFonts w:ascii="Courier New" w:cs="Courier New" w:eastAsia="Courier New" w:hAnsi="Courier New"/>
          <w:sz w:val="15"/>
          <w:szCs w:val="15"/>
          <w:color w:val="auto"/>
        </w:rPr>
        <w:t>"Most Recent Financial Statements" has the meaning set forth in Section 3(g) below.</w:t>
      </w:r>
    </w:p>
    <w:p>
      <w:pPr>
        <w:spacing w:after="0" w:line="176" w:lineRule="exact"/>
        <w:rPr>
          <w:sz w:val="20"/>
          <w:szCs w:val="20"/>
          <w:color w:val="auto"/>
        </w:rPr>
      </w:pPr>
    </w:p>
    <w:p>
      <w:pPr>
        <w:jc w:val="both"/>
        <w:ind w:right="3179" w:firstLine="793"/>
        <w:spacing w:after="0" w:line="235" w:lineRule="auto"/>
        <w:rPr>
          <w:sz w:val="20"/>
          <w:szCs w:val="20"/>
          <w:color w:val="auto"/>
        </w:rPr>
      </w:pPr>
      <w:r>
        <w:rPr>
          <w:rFonts w:ascii="Courier New" w:cs="Courier New" w:eastAsia="Courier New" w:hAnsi="Courier New"/>
          <w:sz w:val="15"/>
          <w:szCs w:val="15"/>
          <w:color w:val="auto"/>
        </w:rPr>
        <w:t>"Most Recent Fiscal Month End" has the meaning set forth in Section 3(g) below.</w:t>
      </w:r>
    </w:p>
    <w:p>
      <w:pPr>
        <w:spacing w:after="0" w:line="17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"Most Recent Fiscal Year End" has the meaning set forth in Section 3(g)</w:t>
      </w:r>
    </w:p>
    <w:p>
      <w:pPr>
        <w:spacing w:after="0"/>
        <w:rPr>
          <w:sz w:val="20"/>
          <w:szCs w:val="20"/>
          <w:color w:val="auto"/>
        </w:rPr>
      </w:pPr>
      <w:r>
        <w:rPr>
          <w:rFonts w:ascii="Courier New" w:cs="Courier New" w:eastAsia="Courier New" w:hAnsi="Courier New"/>
          <w:sz w:val="15"/>
          <w:szCs w:val="15"/>
          <w:color w:val="auto"/>
        </w:rPr>
        <w:t>below.</w:t>
      </w:r>
    </w:p>
    <w:p>
      <w:pPr>
        <w:spacing w:after="0" w:line="17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"Multiemployer Plan" has the meaning set forth in ERISA Section 3(37).</w:t>
      </w:r>
    </w:p>
    <w:p>
      <w:pPr>
        <w:spacing w:after="0" w:line="180"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"Ordinary Course of Business" means the ordinary course of business consistent with past custom and practice (including with respect to quantity and frequency).</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"Party" or "Parties" has the meaning set forth in the preface above.</w:t>
      </w:r>
    </w:p>
    <w:p>
      <w:pPr>
        <w:spacing w:after="0" w:line="175"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"Person" means an individual, a partnership, a corporation, an association, a joint stock company, a trust, a joint venture, an unincorporated organization, or a governmental entity (or any department, agency, or political subdivision thereof).</w:t>
      </w:r>
    </w:p>
    <w:p>
      <w:pPr>
        <w:spacing w:after="0" w:line="176" w:lineRule="exact"/>
        <w:rPr>
          <w:sz w:val="20"/>
          <w:szCs w:val="20"/>
          <w:color w:val="auto"/>
        </w:rPr>
      </w:pPr>
    </w:p>
    <w:p>
      <w:pPr>
        <w:jc w:val="both"/>
        <w:ind w:right="3179" w:firstLine="793"/>
        <w:spacing w:after="0" w:line="235" w:lineRule="auto"/>
        <w:rPr>
          <w:sz w:val="20"/>
          <w:szCs w:val="20"/>
          <w:color w:val="auto"/>
        </w:rPr>
      </w:pPr>
      <w:r>
        <w:rPr>
          <w:rFonts w:ascii="Courier New" w:cs="Courier New" w:eastAsia="Courier New" w:hAnsi="Courier New"/>
          <w:sz w:val="15"/>
          <w:szCs w:val="15"/>
          <w:color w:val="auto"/>
        </w:rPr>
        <w:t>"Principal Shareholders" means Andrew Chiang, Tieh-Shen Wang and Dien-Yi Huang.</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"Purchase Price" has the meaning set forth in Section 2(c) below.</w:t>
      </w:r>
    </w:p>
    <w:p>
      <w:pPr>
        <w:spacing w:after="0" w:line="3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E-2</w:t>
      </w:r>
    </w:p>
    <w:p>
      <w:pPr>
        <w:sectPr>
          <w:pgSz w:w="11900" w:h="16838" w:orient="portrait"/>
          <w:cols w:equalWidth="0" w:num="1">
            <w:col w:w="10219"/>
          </w:cols>
          <w:pgMar w:left="240" w:top="627" w:right="1440" w:bottom="1440" w:gutter="0" w:footer="0" w:header="0"/>
        </w:sectPr>
      </w:pPr>
    </w:p>
    <w:bookmarkStart w:id="30" w:name="page31"/>
    <w:bookmarkEnd w:id="30"/>
    <w:p>
      <w:pPr>
        <w:jc w:val="both"/>
        <w:ind w:right="3179" w:firstLine="793"/>
        <w:spacing w:after="0" w:line="235" w:lineRule="auto"/>
        <w:rPr>
          <w:sz w:val="20"/>
          <w:szCs w:val="20"/>
          <w:color w:val="auto"/>
        </w:rPr>
      </w:pPr>
      <w:r>
        <w:rPr>
          <w:rFonts w:ascii="Courier New" w:cs="Courier New" w:eastAsia="Courier New" w:hAnsi="Courier New"/>
          <w:sz w:val="15"/>
          <w:szCs w:val="15"/>
          <w:color w:val="auto"/>
        </w:rPr>
        <w:t>"Registration Rights Agreement" shall have the meaning set forth in Section 2(c)(i)</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"Securities Act" means the Securities Act of 1933, as amended.</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"Securities Exchange Act" means the Securities Exchange Act of 1934, as</w:t>
      </w:r>
    </w:p>
    <w:p>
      <w:pPr>
        <w:spacing w:after="0"/>
        <w:rPr>
          <w:sz w:val="20"/>
          <w:szCs w:val="20"/>
          <w:color w:val="auto"/>
        </w:rPr>
      </w:pPr>
      <w:r>
        <w:rPr>
          <w:rFonts w:ascii="Courier New" w:cs="Courier New" w:eastAsia="Courier New" w:hAnsi="Courier New"/>
          <w:sz w:val="15"/>
          <w:szCs w:val="15"/>
          <w:color w:val="auto"/>
        </w:rPr>
        <w:t>amended.</w:t>
      </w:r>
    </w:p>
    <w:p>
      <w:pPr>
        <w:spacing w:after="0" w:line="174"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"Security Interest" means any mortgage, pledge, lien, encumbrance, charge, or other security interest, other than (a) mechanic's, materialmen's, and similar liens, (b) liens for Taxes due and not yet payable, (c) purchase money liens and liens securing rental payments under capital lease arrangements, and (d) other liens arising in the Ordinary Course of Business and not incurred in connection with the borrowing of money.</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"Seller" has the meaning set forth in the preface above.</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"Seller Share" means any share of the capital stock of the Seller.</w:t>
      </w:r>
    </w:p>
    <w:p>
      <w:pPr>
        <w:spacing w:after="0" w:line="169" w:lineRule="exact"/>
        <w:rPr>
          <w:sz w:val="20"/>
          <w:szCs w:val="20"/>
          <w:color w:val="auto"/>
        </w:rPr>
      </w:pPr>
    </w:p>
    <w:p>
      <w:pPr>
        <w:jc w:val="both"/>
        <w:ind w:left="780"/>
        <w:spacing w:after="0"/>
        <w:tabs>
          <w:tab w:leader="none" w:pos="1560" w:val="left"/>
          <w:tab w:leader="none" w:pos="2800" w:val="left"/>
          <w:tab w:leader="none" w:pos="4380" w:val="left"/>
          <w:tab w:leader="none" w:pos="5620" w:val="left"/>
        </w:tabs>
        <w:rPr>
          <w:sz w:val="20"/>
          <w:szCs w:val="20"/>
          <w:color w:val="auto"/>
        </w:rPr>
      </w:pPr>
      <w:r>
        <w:rPr>
          <w:rFonts w:ascii="Courier New" w:cs="Courier New" w:eastAsia="Courier New" w:hAnsi="Courier New"/>
          <w:sz w:val="15"/>
          <w:szCs w:val="15"/>
          <w:color w:val="auto"/>
        </w:rPr>
        <w:t>"Seller</w:t>
        <w:tab/>
        <w:t>Shareholder"</w:t>
        <w:tab/>
        <w:t>means any person</w:t>
        <w:tab/>
        <w:t>who or which</w:t>
      </w:r>
      <w:r>
        <w:rPr>
          <w:sz w:val="20"/>
          <w:szCs w:val="20"/>
          <w:color w:val="auto"/>
        </w:rPr>
        <w:tab/>
      </w:r>
      <w:r>
        <w:rPr>
          <w:rFonts w:ascii="Courier New" w:cs="Courier New" w:eastAsia="Courier New" w:hAnsi="Courier New"/>
          <w:sz w:val="14"/>
          <w:szCs w:val="14"/>
          <w:color w:val="auto"/>
        </w:rPr>
        <w:t>holds any Seller</w:t>
      </w:r>
    </w:p>
    <w:p>
      <w:pPr>
        <w:spacing w:after="0"/>
        <w:rPr>
          <w:sz w:val="20"/>
          <w:szCs w:val="20"/>
          <w:color w:val="auto"/>
        </w:rPr>
      </w:pPr>
      <w:r>
        <w:rPr>
          <w:rFonts w:ascii="Courier New" w:cs="Courier New" w:eastAsia="Courier New" w:hAnsi="Courier New"/>
          <w:sz w:val="15"/>
          <w:szCs w:val="15"/>
          <w:color w:val="auto"/>
        </w:rPr>
        <w:t>Shares.</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"Set Off Claim" has the meaning set forth in Section 7(f).</w:t>
      </w:r>
    </w:p>
    <w:p>
      <w:pPr>
        <w:spacing w:after="0" w:line="175"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"Tax" means any federal, state, local, or foreign income, gross receipts, license, payroll, employment, excise, severance, stamp, occupation, premium, windfall profits, environmental (including taxes under Code Section 59A), customs duties, capital stock, franchise, profits, withholding, social security (or similar), unemployment, disability, real property, personal property, sales, use, transfer, registration, value added, alternative or add-on minimum, estimated, or other tax of any kind whatsoever, including any interest, penalty, or addition thereto, whether disputed or not.</w:t>
      </w:r>
    </w:p>
    <w:p>
      <w:pPr>
        <w:spacing w:after="0" w:line="178"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"Tax Return" means any return, declaration, report, claim for refund, or information return or statement relating to Taxes, including any schedule or attachment thereto, and including any amendment thereof.</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"Trading Price" has the meaning set forth in Section 2(c)(i) below.</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ARTICLE 2 -- Basic Transaction.</w:t>
      </w:r>
    </w:p>
    <w:p>
      <w:pPr>
        <w:ind w:left="22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2.1.1 Purchase and Sale of Assets. On and subject to the terms and conditions of this Agreement, the Buyer agrees to purchase from the Seller, and the Seller agrees to sell, transfer, convey, and deliver to the Buyer, all of the Acquired Assets at the Closing for the consideration specified below in this Section 2.</w:t>
      </w:r>
    </w:p>
    <w:p>
      <w:pPr>
        <w:spacing w:after="0" w:line="178"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2.1.2 Assumption of Liabilities. On and subject to the terms and conditions of this Agreement, the Buyer agrees to assume and become responsible for all of the Assumed Liabilities at the Closing. The Buyer will not assume or have any responsibility, however, with respect to any other obligation or Liability of the Seller not included within the definition of Assumed Liabilities.</w:t>
      </w:r>
    </w:p>
    <w:p>
      <w:pPr>
        <w:spacing w:after="0" w:line="3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E-6</w:t>
      </w:r>
    </w:p>
    <w:p>
      <w:pPr>
        <w:sectPr>
          <w:pgSz w:w="11900" w:h="16838" w:orient="portrait"/>
          <w:cols w:equalWidth="0" w:num="1">
            <w:col w:w="10219"/>
          </w:cols>
          <w:pgMar w:left="240" w:top="627" w:right="1440" w:bottom="1440" w:gutter="0" w:footer="0" w:header="0"/>
        </w:sectPr>
      </w:pPr>
    </w:p>
    <w:bookmarkStart w:id="31" w:name="page32"/>
    <w:bookmarkEnd w:id="31"/>
    <w:p>
      <w:pPr>
        <w:jc w:val="both"/>
        <w:ind w:left="10" w:right="3179" w:firstLine="793"/>
        <w:spacing w:after="0" w:line="237" w:lineRule="auto"/>
        <w:rPr>
          <w:sz w:val="20"/>
          <w:szCs w:val="20"/>
          <w:color w:val="auto"/>
        </w:rPr>
      </w:pPr>
      <w:r>
        <w:rPr>
          <w:rFonts w:ascii="Courier New" w:cs="Courier New" w:eastAsia="Courier New" w:hAnsi="Courier New"/>
          <w:sz w:val="15"/>
          <w:szCs w:val="15"/>
          <w:color w:val="auto"/>
        </w:rPr>
        <w:t>2.1.3 Purchase Price. The Buyer agrees to pay to the Seller the total amount of $3,758,085 (the "Purchase Price") for the Acquired Assets by delivery of the following:</w:t>
      </w:r>
    </w:p>
    <w:p>
      <w:pPr>
        <w:spacing w:after="0" w:line="175" w:lineRule="exact"/>
        <w:rPr>
          <w:sz w:val="20"/>
          <w:szCs w:val="20"/>
          <w:color w:val="auto"/>
        </w:rPr>
      </w:pPr>
    </w:p>
    <w:p>
      <w:pPr>
        <w:jc w:val="both"/>
        <w:ind w:left="10" w:right="3179" w:firstLine="784"/>
        <w:spacing w:after="0" w:line="256" w:lineRule="auto"/>
        <w:tabs>
          <w:tab w:leader="none" w:pos="1155"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Gentner Shares. A number of shares of Buyer's unregistered common stock (the "Gentner Shares"), equal to $2,000,000 in value. The Gentner Shares shall be subject to the terms and conditions of that certain Registration Rights Agreement, substantially in the form of Exhibit F attached hereto (the "Registration Rights Agreement"). The number of Gentner Shares will be 123,381, arrived at by a quotient, the numerator of which is 2,000,000, and the denominator of which is $16.21, which is the average closing price for the ten</w:t>
      </w:r>
    </w:p>
    <w:p>
      <w:pPr>
        <w:spacing w:after="0" w:line="2" w:lineRule="exact"/>
        <w:rPr>
          <w:rFonts w:ascii="Courier New" w:cs="Courier New" w:eastAsia="Courier New" w:hAnsi="Courier New"/>
          <w:sz w:val="14"/>
          <w:szCs w:val="14"/>
          <w:color w:val="auto"/>
        </w:rPr>
      </w:pPr>
    </w:p>
    <w:p>
      <w:pPr>
        <w:jc w:val="both"/>
        <w:ind w:left="10" w:right="3179" w:hanging="10"/>
        <w:spacing w:after="0" w:line="238" w:lineRule="auto"/>
        <w:tabs>
          <w:tab w:leader="none" w:pos="4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trading days between May 1, 2000 and May 10, 2000 (the "Trading Price"). In the event that the average closing price during the ten (10) day period prior to Closing is (A) $17.02 or higher, or (B) $15.40 or lower (in either case the "Adjusted Trading Price", then the number of Gentner Shares shall be recalculated using the quotient set forth above, but using $17.02 as the denominator (if the Adjusted Trading Price is equal to or greater than $17.02), or $15.40 as the denominator (if the Adjusted Trading Price is equal to or less than $15.40). The Parties agree that a number of Gentner Shares will be placed in escrow (the "Escrowed Shares") with the Escrow Agent at the Closing, to be held pending the exercise of any Set-Off Claim by Buyer pursuant to Section 8(f) below. In the event the number of Gentner shares delivered to the Seller at Closing is adjusted based upon the Adjusted Trading Price, the Escrowed Shares shall be subject to a pro-rata adjustment. The parties acknowledge that as of the date hereof, the Adjusted Trading Price has been applied resulting in the number of Gentner Shares being 129,871, of which 29,591 shall be deemed the Escrowed Shares, as contemplated by this paragraph.</w:t>
      </w:r>
    </w:p>
    <w:p>
      <w:pPr>
        <w:spacing w:after="0" w:line="185" w:lineRule="exact"/>
        <w:rPr>
          <w:rFonts w:ascii="Courier New" w:cs="Courier New" w:eastAsia="Courier New" w:hAnsi="Courier New"/>
          <w:sz w:val="15"/>
          <w:szCs w:val="15"/>
          <w:color w:val="auto"/>
        </w:rPr>
      </w:pPr>
    </w:p>
    <w:p>
      <w:pPr>
        <w:ind w:left="10" w:right="3179" w:firstLine="784"/>
        <w:spacing w:after="0" w:line="235" w:lineRule="auto"/>
        <w:tabs>
          <w:tab w:leader="none" w:pos="1155"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Purchase Price. Cash in the total amount of $1,758,085, which shall be paid to the Seller as follows:</w:t>
      </w:r>
    </w:p>
    <w:p>
      <w:pPr>
        <w:spacing w:after="0" w:line="176" w:lineRule="exact"/>
        <w:rPr>
          <w:sz w:val="20"/>
          <w:szCs w:val="20"/>
          <w:color w:val="auto"/>
        </w:rPr>
      </w:pPr>
    </w:p>
    <w:p>
      <w:pPr>
        <w:jc w:val="both"/>
        <w:ind w:left="10" w:right="3179" w:hanging="10"/>
        <w:spacing w:after="0" w:line="256" w:lineRule="auto"/>
        <w:tabs>
          <w:tab w:leader="none" w:pos="14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Deposit. $200,000 shall be paid to Seller as a deposit (the "Deposit"). The parties acknowledge that the Seller has received the Deposit from the Buyer in connection with execution of a non-binding term sheet prior to the execution of this Agreement. The Deposit may be retained by Seller if the Closing does not occur within a reasonable time following July 3, 2000, unless such failure to close (i) is caused by Seller, or (ii) arises from Gentner's discovery during due diligence of any lien, encumbrance, security interest, claim, license, grant, infringement of Seller's Intellectual Property rights, or Seller's infringement of the Intellectual Property rights of any third party, which materially adversely affects the Acquired Assets (other than the Assumed Liabilities, and those encumbrances or security interests which shall be paid or terminated prior to or at the Closing, including that certain Note, Security Agreement and Business Loan Agreement between Seller and Gold Found Group dated September 1, 1999 (the "Gold Found Loan Documents"). In the event that the Closing has not occurred as specified herein, but Seller is not entitled to retain the Deposit, it shall immediately return to Buyer the amount of the Deposit that is has received from Buyer. If Seller fails to return the amount of the Deposit when required to do so by this Section, the Deposit shall be converted into a secured loan in the amount of such Deposit, bearing interest at the Applicable Rate, and Seller shall execute such loan documents reasonably required by Buyer to perfect its security interest in Seller's assets.</w:t>
      </w:r>
    </w:p>
    <w:p>
      <w:pPr>
        <w:spacing w:after="0" w:line="34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E-7</w:t>
      </w:r>
    </w:p>
    <w:p>
      <w:pPr>
        <w:sectPr>
          <w:pgSz w:w="11900" w:h="16838" w:orient="portrait"/>
          <w:cols w:equalWidth="0" w:num="1">
            <w:col w:w="10229"/>
          </w:cols>
          <w:pgMar w:left="230" w:top="627" w:right="1440" w:bottom="1440" w:gutter="0" w:footer="0" w:header="0"/>
        </w:sectPr>
      </w:pPr>
    </w:p>
    <w:bookmarkStart w:id="32" w:name="page33"/>
    <w:bookmarkEnd w:id="32"/>
    <w:p>
      <w:pPr>
        <w:jc w:val="both"/>
        <w:ind w:left="10" w:right="3179" w:hanging="10"/>
        <w:spacing w:after="0" w:line="237" w:lineRule="auto"/>
        <w:tabs>
          <w:tab w:leader="none" w:pos="14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Escrowed Amount. Buyer shall wire transfer $100,000 (the "Escrowed Amount") to the Escrow Agent at the Closing, to be held pending the exercise of any Set Off Claim by Buyer pursuant to Section 8(f) below.</w:t>
      </w:r>
    </w:p>
    <w:p>
      <w:pPr>
        <w:spacing w:after="0" w:line="5" w:lineRule="exact"/>
        <w:rPr>
          <w:rFonts w:ascii="Courier New" w:cs="Courier New" w:eastAsia="Courier New" w:hAnsi="Courier New"/>
          <w:sz w:val="15"/>
          <w:szCs w:val="15"/>
          <w:color w:val="auto"/>
        </w:rPr>
      </w:pPr>
    </w:p>
    <w:p>
      <w:pPr>
        <w:ind w:left="10" w:right="3179" w:hanging="10"/>
        <w:spacing w:after="0" w:line="235" w:lineRule="auto"/>
        <w:tabs>
          <w:tab w:leader="none" w:pos="14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at Closing. Buyer shall wire transfer $1,458,085 to the Seller at the Closing.</w:t>
      </w:r>
    </w:p>
    <w:p>
      <w:pPr>
        <w:spacing w:after="0" w:line="176" w:lineRule="exact"/>
        <w:rPr>
          <w:sz w:val="20"/>
          <w:szCs w:val="20"/>
          <w:color w:val="auto"/>
        </w:rPr>
      </w:pPr>
    </w:p>
    <w:p>
      <w:pPr>
        <w:jc w:val="both"/>
        <w:ind w:left="10" w:right="3179" w:firstLine="793"/>
        <w:spacing w:after="0" w:line="237" w:lineRule="auto"/>
        <w:rPr>
          <w:sz w:val="20"/>
          <w:szCs w:val="20"/>
          <w:color w:val="auto"/>
        </w:rPr>
      </w:pPr>
      <w:r>
        <w:rPr>
          <w:rFonts w:ascii="Courier New" w:cs="Courier New" w:eastAsia="Courier New" w:hAnsi="Courier New"/>
          <w:sz w:val="15"/>
          <w:szCs w:val="15"/>
          <w:color w:val="auto"/>
        </w:rPr>
        <w:t>2.1.4 The Closing. The closing of the transactions contemplated by this Agreement (the "Closing") shall take place via Federal Express, or other reputable overnight delivery service, and telefax on July 5, 2000, or at a date and location mutually agreed upon by the Parties.</w:t>
      </w:r>
    </w:p>
    <w:p>
      <w:pPr>
        <w:spacing w:after="0" w:line="176" w:lineRule="exact"/>
        <w:rPr>
          <w:sz w:val="20"/>
          <w:szCs w:val="20"/>
          <w:color w:val="auto"/>
        </w:rPr>
      </w:pPr>
    </w:p>
    <w:p>
      <w:pPr>
        <w:jc w:val="both"/>
        <w:ind w:left="10" w:right="3179" w:firstLine="793"/>
        <w:spacing w:after="0" w:line="238" w:lineRule="auto"/>
        <w:rPr>
          <w:sz w:val="20"/>
          <w:szCs w:val="20"/>
          <w:color w:val="auto"/>
        </w:rPr>
      </w:pPr>
      <w:r>
        <w:rPr>
          <w:rFonts w:ascii="Courier New" w:cs="Courier New" w:eastAsia="Courier New" w:hAnsi="Courier New"/>
          <w:sz w:val="15"/>
          <w:szCs w:val="15"/>
          <w:color w:val="auto"/>
        </w:rPr>
        <w:t>2.1.5 Deliveries at the Closing. At the Closing, (i) the Seller will deliver to the Buyer the various certificates, instruments, and documents referred to in Section 6(a) below; (ii) the Buyer will deliver to the Seller the various certificates, instruments, and documents referred to in Section 6(b) below; (iii) the Seller will execute, acknowledge (if appropriate), and deliver to the Buyer such instruments of sale, transfer, conveyance, and assignment as the Buyer and its counsel reasonably may request; (iv) the Buyer will execute, acknowledge (if appropriate), and deliver to the Seller such instruments of assumption as the Seller and its counsel reasonably may request; and (v) the Buyer will deliver to the Seller and the Escrow Agent the consideration specified in Section 2(c) above.</w:t>
      </w:r>
    </w:p>
    <w:p>
      <w:pPr>
        <w:spacing w:after="0" w:line="181" w:lineRule="exact"/>
        <w:rPr>
          <w:sz w:val="20"/>
          <w:szCs w:val="20"/>
          <w:color w:val="auto"/>
        </w:rPr>
      </w:pPr>
    </w:p>
    <w:p>
      <w:pPr>
        <w:jc w:val="both"/>
        <w:ind w:left="10" w:right="3179" w:firstLine="793"/>
        <w:spacing w:after="0" w:line="237" w:lineRule="auto"/>
        <w:rPr>
          <w:sz w:val="20"/>
          <w:szCs w:val="20"/>
          <w:color w:val="auto"/>
        </w:rPr>
      </w:pPr>
      <w:r>
        <w:rPr>
          <w:rFonts w:ascii="Courier New" w:cs="Courier New" w:eastAsia="Courier New" w:hAnsi="Courier New"/>
          <w:sz w:val="15"/>
          <w:szCs w:val="15"/>
          <w:color w:val="auto"/>
        </w:rPr>
        <w:t>2.1.6 Allocation. The Parties agree to allocate the Purchase Price (and all other capitalizable costs) among the Acquired Assets for all purposes (including financial accounting and tax purposes) in accordance with the allocation schedule, substantially in the form attached hereto as Exhibit C.</w:t>
      </w:r>
    </w:p>
    <w:p>
      <w:pPr>
        <w:spacing w:after="0" w:line="176" w:lineRule="exact"/>
        <w:rPr>
          <w:sz w:val="20"/>
          <w:szCs w:val="20"/>
          <w:color w:val="auto"/>
        </w:rPr>
      </w:pPr>
    </w:p>
    <w:p>
      <w:pPr>
        <w:jc w:val="both"/>
        <w:ind w:left="10" w:right="3179" w:firstLine="793"/>
        <w:spacing w:after="0" w:line="237" w:lineRule="auto"/>
        <w:rPr>
          <w:sz w:val="20"/>
          <w:szCs w:val="20"/>
          <w:color w:val="auto"/>
        </w:rPr>
      </w:pPr>
      <w:r>
        <w:rPr>
          <w:rFonts w:ascii="Courier New" w:cs="Courier New" w:eastAsia="Courier New" w:hAnsi="Courier New"/>
          <w:sz w:val="15"/>
          <w:szCs w:val="15"/>
          <w:color w:val="auto"/>
        </w:rPr>
        <w:t>2.1.7 Transfer of Gentner Shares. The Parties acknowledge that the Seller may transfer the Gentner Shares to certain or all of the Principal Shareholders following the Closing. Any such transfer shall comply with all applicable securities laws and regulations applicable thereto, including any applicable exemptions thereunder.</w:t>
      </w:r>
    </w:p>
    <w:p>
      <w:pPr>
        <w:spacing w:after="0" w:line="173"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ARTICLE 3 -- Representations and Warranties of the Seller.</w:t>
      </w:r>
    </w:p>
    <w:p>
      <w:pPr>
        <w:ind w:left="105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left="10" w:right="3179"/>
        <w:spacing w:after="0" w:line="257" w:lineRule="auto"/>
        <w:rPr>
          <w:sz w:val="20"/>
          <w:szCs w:val="20"/>
          <w:color w:val="auto"/>
        </w:rPr>
      </w:pPr>
      <w:r>
        <w:rPr>
          <w:rFonts w:ascii="Courier New" w:cs="Courier New" w:eastAsia="Courier New" w:hAnsi="Courier New"/>
          <w:sz w:val="14"/>
          <w:szCs w:val="14"/>
          <w:color w:val="auto"/>
        </w:rPr>
        <w:t>The Seller represents and warrants to the Buyer that the statements contained in this Section 3 are correct and complete as of the date of this Agreement and will be correct and complete as of the Closing Date (as though made then and as though the Closing Date were substituted for the date of this Agreement throughout this Section 3), except as set forth in the disclosure schedule accompanying this Agreement and initialed by the Parties (the "Disclosure Schedule"). The Disclosure Schedule will be arranged in paragraphs corresponding to the lettered and numbered paragraphs contained in this Section 3.</w:t>
      </w:r>
    </w:p>
    <w:p>
      <w:pPr>
        <w:spacing w:after="0" w:line="167" w:lineRule="exact"/>
        <w:rPr>
          <w:sz w:val="20"/>
          <w:szCs w:val="20"/>
          <w:color w:val="auto"/>
        </w:rPr>
      </w:pPr>
    </w:p>
    <w:p>
      <w:pPr>
        <w:jc w:val="both"/>
        <w:ind w:left="10" w:right="3179" w:firstLine="793"/>
        <w:spacing w:after="0" w:line="237" w:lineRule="auto"/>
        <w:rPr>
          <w:sz w:val="20"/>
          <w:szCs w:val="20"/>
          <w:color w:val="auto"/>
        </w:rPr>
      </w:pPr>
      <w:r>
        <w:rPr>
          <w:rFonts w:ascii="Courier New" w:cs="Courier New" w:eastAsia="Courier New" w:hAnsi="Courier New"/>
          <w:sz w:val="15"/>
          <w:szCs w:val="15"/>
          <w:color w:val="auto"/>
        </w:rPr>
        <w:t>3.1.1 Organization of the Seller. The Seller is a corporation duly incorporated, validly existing, and in good standing under the laws of the jurisdiction of its incorporation. The Seller is qualified to do business and is in good standing therein in those jurisdictions set forth on the Disclosure Schedule.</w:t>
      </w:r>
    </w:p>
    <w:p>
      <w:pPr>
        <w:spacing w:after="0" w:line="200" w:lineRule="exact"/>
        <w:rPr>
          <w:sz w:val="20"/>
          <w:szCs w:val="20"/>
          <w:color w:val="auto"/>
        </w:rPr>
      </w:pPr>
    </w:p>
    <w:p>
      <w:pPr>
        <w:spacing w:after="0" w:line="312"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E-8</w:t>
      </w:r>
    </w:p>
    <w:p>
      <w:pPr>
        <w:sectPr>
          <w:pgSz w:w="11900" w:h="16838" w:orient="portrait"/>
          <w:cols w:equalWidth="0" w:num="1">
            <w:col w:w="10229"/>
          </w:cols>
          <w:pgMar w:left="230" w:top="627" w:right="1440" w:bottom="1440" w:gutter="0" w:footer="0" w:header="0"/>
        </w:sectPr>
      </w:pPr>
    </w:p>
    <w:bookmarkStart w:id="33" w:name="page34"/>
    <w:bookmarkEnd w:id="33"/>
    <w:p>
      <w:pPr>
        <w:jc w:val="both"/>
        <w:ind w:left="10" w:right="3179" w:firstLine="793"/>
        <w:spacing w:after="0" w:line="238" w:lineRule="auto"/>
        <w:rPr>
          <w:sz w:val="20"/>
          <w:szCs w:val="20"/>
          <w:color w:val="auto"/>
        </w:rPr>
      </w:pPr>
      <w:r>
        <w:rPr>
          <w:rFonts w:ascii="Courier New" w:cs="Courier New" w:eastAsia="Courier New" w:hAnsi="Courier New"/>
          <w:sz w:val="15"/>
          <w:szCs w:val="15"/>
          <w:color w:val="auto"/>
        </w:rPr>
        <w:t>3.1.2 Authorization of Transaction. The Seller has full power and authority (including full corporate power and authority) to execute and deliver this Agreement and to perform its obligations hereunder. Without limiting the generality of the foregoing, the board of directors of the Seller and the Seller Shareholders have duly authorized the execution, delivery, and performance of this Agreement by the Seller. This Agreement constitutes the valid and legally binding obligation of the Seller, enforceable in accordance with its terms and conditions.</w:t>
      </w:r>
    </w:p>
    <w:p>
      <w:pPr>
        <w:spacing w:after="0" w:line="178" w:lineRule="exact"/>
        <w:rPr>
          <w:sz w:val="20"/>
          <w:szCs w:val="20"/>
          <w:color w:val="auto"/>
        </w:rPr>
      </w:pPr>
    </w:p>
    <w:p>
      <w:pPr>
        <w:jc w:val="both"/>
        <w:ind w:left="10" w:right="3179" w:firstLine="793"/>
        <w:spacing w:after="0" w:line="256" w:lineRule="auto"/>
        <w:rPr>
          <w:sz w:val="20"/>
          <w:szCs w:val="20"/>
          <w:color w:val="auto"/>
        </w:rPr>
      </w:pPr>
      <w:r>
        <w:rPr>
          <w:rFonts w:ascii="Courier New" w:cs="Courier New" w:eastAsia="Courier New" w:hAnsi="Courier New"/>
          <w:sz w:val="14"/>
          <w:szCs w:val="14"/>
          <w:color w:val="auto"/>
        </w:rPr>
        <w:t>3.1.3 Noncontravention. Neither the execution and the delivery of this Agreement, nor the consummation of the transactions contemplated hereby (including the assignments and assumptions referred to in Section 2 above), will</w:t>
      </w:r>
    </w:p>
    <w:p>
      <w:pPr>
        <w:spacing w:after="0" w:line="1" w:lineRule="exact"/>
        <w:rPr>
          <w:sz w:val="20"/>
          <w:szCs w:val="20"/>
          <w:color w:val="auto"/>
        </w:rPr>
      </w:pPr>
    </w:p>
    <w:p>
      <w:pPr>
        <w:jc w:val="both"/>
        <w:ind w:left="10" w:right="3179" w:hanging="10"/>
        <w:spacing w:after="0" w:line="238" w:lineRule="auto"/>
        <w:tabs>
          <w:tab w:leader="none" w:pos="362"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violate any constitution, statute, regulation, rule, injunction, judgment, order, decree, ruling, charge, or other restriction of any government, governmental agency, or court to which the Seller is subject or any provision of the charter or bylaws of the Seller or (ii) conflict with, result in a breach of, constitute a default under, result in the acceleration of, create in any party the right to accelerate, terminate, modify, or cancel, or require any notice under any agreement, contract, lease, license, instrument, or other arrangement to which the Seller is a party or by which it is bound or to which any of its assets is subject (or result in the imposition of any Security Interest upon any of its assets). The Seller does not need to give any notice, make any filing with, or obtain any authorization, consent, or approval of any government or governmental agency in order for the Parties to consummate the transactions contemplated by this Agreement (including the assignments and assumptions referred to in Section 2 above).</w:t>
      </w:r>
    </w:p>
    <w:p>
      <w:pPr>
        <w:spacing w:after="0" w:line="184" w:lineRule="exact"/>
        <w:rPr>
          <w:sz w:val="20"/>
          <w:szCs w:val="20"/>
          <w:color w:val="auto"/>
        </w:rPr>
      </w:pPr>
    </w:p>
    <w:p>
      <w:pPr>
        <w:jc w:val="both"/>
        <w:ind w:left="10" w:right="3179" w:firstLine="793"/>
        <w:spacing w:after="0" w:line="237" w:lineRule="auto"/>
        <w:rPr>
          <w:sz w:val="20"/>
          <w:szCs w:val="20"/>
          <w:color w:val="auto"/>
        </w:rPr>
      </w:pPr>
      <w:r>
        <w:rPr>
          <w:rFonts w:ascii="Courier New" w:cs="Courier New" w:eastAsia="Courier New" w:hAnsi="Courier New"/>
          <w:sz w:val="15"/>
          <w:szCs w:val="15"/>
          <w:color w:val="auto"/>
        </w:rPr>
        <w:t>3.1.4 Brokers' Fees. The Seller has no Liability or obligation to pay any fees or commissions to any broker, finder, or agent with respect to the transactions contemplated by this Agreement for which the Buyer could become liable or obligated.</w:t>
      </w:r>
    </w:p>
    <w:p>
      <w:pPr>
        <w:spacing w:after="0" w:line="176" w:lineRule="exact"/>
        <w:rPr>
          <w:sz w:val="20"/>
          <w:szCs w:val="20"/>
          <w:color w:val="auto"/>
        </w:rPr>
      </w:pPr>
    </w:p>
    <w:p>
      <w:pPr>
        <w:jc w:val="both"/>
        <w:ind w:left="10" w:right="3179" w:firstLine="793"/>
        <w:spacing w:after="0" w:line="237" w:lineRule="auto"/>
        <w:rPr>
          <w:sz w:val="20"/>
          <w:szCs w:val="20"/>
          <w:color w:val="auto"/>
        </w:rPr>
      </w:pPr>
      <w:r>
        <w:rPr>
          <w:rFonts w:ascii="Courier New" w:cs="Courier New" w:eastAsia="Courier New" w:hAnsi="Courier New"/>
          <w:sz w:val="15"/>
          <w:szCs w:val="15"/>
          <w:color w:val="auto"/>
        </w:rPr>
        <w:t>3.1.5 Title to Assets. The Seller has good and marketable title to, or a valid leasehold interest in, all of the Acquired Assets, free and clear of any Security Interest or restriction on transfer, except as set forth on the Disclosure Schedule.</w:t>
      </w:r>
    </w:p>
    <w:p>
      <w:pPr>
        <w:spacing w:after="0" w:line="171"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3.1.6 Subsidiaries. The Seller has no Subsidiaries.</w:t>
      </w:r>
    </w:p>
    <w:p>
      <w:pPr>
        <w:spacing w:after="0" w:line="175" w:lineRule="exact"/>
        <w:rPr>
          <w:sz w:val="20"/>
          <w:szCs w:val="20"/>
          <w:color w:val="auto"/>
        </w:rPr>
      </w:pPr>
    </w:p>
    <w:p>
      <w:pPr>
        <w:jc w:val="both"/>
        <w:ind w:left="10" w:right="3179" w:firstLine="793"/>
        <w:spacing w:after="0" w:line="238" w:lineRule="auto"/>
        <w:rPr>
          <w:sz w:val="20"/>
          <w:szCs w:val="20"/>
          <w:color w:val="auto"/>
        </w:rPr>
      </w:pPr>
      <w:r>
        <w:rPr>
          <w:rFonts w:ascii="Courier New" w:cs="Courier New" w:eastAsia="Courier New" w:hAnsi="Courier New"/>
          <w:sz w:val="15"/>
          <w:szCs w:val="15"/>
          <w:color w:val="auto"/>
        </w:rPr>
        <w:t>3.1.7 Financial Statements. The following financial statements (collectively the "Financial Statements") will be attached hereto a Exhibit D prior to the Closing: (i) audited balance sheets and statements of income, changes in stockholders' equity, and cash flow as of and for the fiscal year ended April 30, 1998, (ii) draft unaudited balance sheets, statements of income, changes in stockholders' equity, and cash flows as of and for the fiscal year ended April 30, 1999 for the Seller, and (iii) unaudited balance sheets and statements of income, changes in stockholders' equity, and cash flow (the "Most Recent Financial Statements") as of and for the period ended April 30, 2000 (the "Most Recent Fiscal Year End") for the Seller. The Financial Statements (including the notes thereto) have been prepared in accordance with GAAP applied on a consistent basis throughout the periods covered thereby, present fairly the financial condition of the Seller as of such dates and the results of operations of the Seller for such periods, are correct and complete, and are consistent with the books and records of the Seller (which books and records are correct and complete); provided, however, that the Most Recent Financial Statements are subject to year-end adjustments.</w:t>
      </w:r>
    </w:p>
    <w:p>
      <w:pPr>
        <w:spacing w:after="0" w:line="351"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E-9</w:t>
      </w:r>
    </w:p>
    <w:p>
      <w:pPr>
        <w:sectPr>
          <w:pgSz w:w="11900" w:h="16838" w:orient="portrait"/>
          <w:cols w:equalWidth="0" w:num="1">
            <w:col w:w="10229"/>
          </w:cols>
          <w:pgMar w:left="230" w:top="627" w:right="1440" w:bottom="1440" w:gutter="0" w:footer="0" w:header="0"/>
        </w:sectPr>
      </w:pPr>
    </w:p>
    <w:bookmarkStart w:id="34" w:name="page35"/>
    <w:bookmarkEnd w:id="34"/>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3.1.8 Events Subsequent to Most Recent Fiscal Year End. Since the Most Recent Fiscal Year End, there has not been any material adverse change in the business, financial condition, operations, results of operations, or future prospects of the Seller. Without limiting the generality of the foregoing, since that date:</w:t>
      </w:r>
    </w:p>
    <w:p>
      <w:pPr>
        <w:sectPr>
          <w:pgSz w:w="11900" w:h="16838" w:orient="portrait"/>
          <w:cols w:equalWidth="0" w:num="1">
            <w:col w:w="10219"/>
          </w:cols>
          <w:pgMar w:left="240" w:top="627" w:right="1440" w:bottom="1440" w:gutter="0" w:footer="0" w:header="0"/>
        </w:sectPr>
      </w:pPr>
    </w:p>
    <w:p>
      <w:pPr>
        <w:spacing w:after="0" w:line="178" w:lineRule="exact"/>
        <w:rPr>
          <w:sz w:val="20"/>
          <w:szCs w:val="20"/>
          <w:color w:val="auto"/>
        </w:rPr>
      </w:pPr>
    </w:p>
    <w:p>
      <w:pPr>
        <w:ind w:firstLine="784"/>
        <w:spacing w:after="0" w:line="260" w:lineRule="auto"/>
        <w:tabs>
          <w:tab w:leader="none" w:pos="1146"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Seller has not sold, its assets, tangible or intangible, Ordinary Course of Business;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3179" w:firstLine="88"/>
        <w:spacing w:after="0" w:line="265" w:lineRule="auto"/>
        <w:rPr>
          <w:sz w:val="20"/>
          <w:szCs w:val="20"/>
          <w:color w:val="auto"/>
        </w:rPr>
      </w:pPr>
      <w:r>
        <w:rPr>
          <w:rFonts w:ascii="Courier New" w:cs="Courier New" w:eastAsia="Courier New" w:hAnsi="Courier New"/>
          <w:sz w:val="14"/>
          <w:szCs w:val="14"/>
          <w:color w:val="auto"/>
        </w:rPr>
        <w:t>leased, transferred, or assigned any of other than for a fair consideration in the</w:t>
      </w:r>
    </w:p>
    <w:p>
      <w:pPr>
        <w:spacing w:after="0" w:line="328" w:lineRule="exact"/>
        <w:rPr>
          <w:sz w:val="20"/>
          <w:szCs w:val="20"/>
          <w:color w:val="auto"/>
        </w:rPr>
      </w:pPr>
    </w:p>
    <w:p>
      <w:pPr>
        <w:sectPr>
          <w:pgSz w:w="11900" w:h="16838" w:orient="portrait"/>
          <w:cols w:equalWidth="0" w:num="2">
            <w:col w:w="3260" w:space="80"/>
            <w:col w:w="6879"/>
          </w:cols>
          <w:pgMar w:left="240" w:top="627" w:right="1440" w:bottom="1440" w:gutter="0" w:footer="0" w:header="0"/>
          <w:type w:val="continuous"/>
        </w:sectPr>
      </w:pPr>
    </w:p>
    <w:p>
      <w:pPr>
        <w:jc w:val="both"/>
        <w:ind w:right="3179" w:firstLine="784"/>
        <w:spacing w:after="0" w:line="237" w:lineRule="auto"/>
        <w:tabs>
          <w:tab w:leader="none" w:pos="114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Seller has not entered into any agreement, contract, lease, or license (or series of related agreements, contracts, leases, and licenses) either involving more than $10,000 or outside the Ordinary Course of Business;</w:t>
      </w:r>
    </w:p>
    <w:p>
      <w:pPr>
        <w:spacing w:after="0" w:line="174" w:lineRule="exact"/>
        <w:rPr>
          <w:rFonts w:ascii="Courier New" w:cs="Courier New" w:eastAsia="Courier New" w:hAnsi="Courier New"/>
          <w:sz w:val="15"/>
          <w:szCs w:val="15"/>
          <w:color w:val="auto"/>
        </w:rPr>
      </w:pPr>
    </w:p>
    <w:p>
      <w:pPr>
        <w:jc w:val="both"/>
        <w:ind w:right="3179" w:firstLine="784"/>
        <w:spacing w:after="0" w:line="237" w:lineRule="auto"/>
        <w:tabs>
          <w:tab w:leader="none" w:pos="114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party (including the Seller) has accelerated, terminated, modified, or canceled any agreement, contract, lease, or license (or series of related agreements, contracts, leases, and licenses) involving more than $10,000 to which the Seller is a party or by which any of them is bound;</w:t>
      </w:r>
    </w:p>
    <w:p>
      <w:pPr>
        <w:spacing w:after="0" w:line="176" w:lineRule="exact"/>
        <w:rPr>
          <w:rFonts w:ascii="Courier New" w:cs="Courier New" w:eastAsia="Courier New" w:hAnsi="Courier New"/>
          <w:sz w:val="15"/>
          <w:szCs w:val="15"/>
          <w:color w:val="auto"/>
        </w:rPr>
      </w:pPr>
    </w:p>
    <w:p>
      <w:pPr>
        <w:ind w:right="3179" w:firstLine="784"/>
        <w:spacing w:after="0" w:line="235" w:lineRule="auto"/>
        <w:tabs>
          <w:tab w:leader="none" w:pos="114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Seller has not imposed any Security Interest upon any of its assets, tangible or intangible;</w:t>
      </w:r>
    </w:p>
    <w:p>
      <w:pPr>
        <w:spacing w:after="0" w:line="175" w:lineRule="exact"/>
        <w:rPr>
          <w:rFonts w:ascii="Courier New" w:cs="Courier New" w:eastAsia="Courier New" w:hAnsi="Courier New"/>
          <w:sz w:val="15"/>
          <w:szCs w:val="15"/>
          <w:color w:val="auto"/>
        </w:rPr>
      </w:pPr>
    </w:p>
    <w:p>
      <w:pPr>
        <w:jc w:val="both"/>
        <w:ind w:right="3179" w:firstLine="784"/>
        <w:spacing w:after="0" w:line="237" w:lineRule="auto"/>
        <w:tabs>
          <w:tab w:leader="none" w:pos="114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Seller has not made any capital expenditure (or series of related capital expenditures) either involving more than $10,000 or outside the Ordinary Course of Business;</w:t>
      </w:r>
    </w:p>
    <w:p>
      <w:pPr>
        <w:spacing w:after="0" w:line="174" w:lineRule="exact"/>
        <w:rPr>
          <w:rFonts w:ascii="Courier New" w:cs="Courier New" w:eastAsia="Courier New" w:hAnsi="Courier New"/>
          <w:sz w:val="15"/>
          <w:szCs w:val="15"/>
          <w:color w:val="auto"/>
        </w:rPr>
      </w:pPr>
    </w:p>
    <w:p>
      <w:pPr>
        <w:jc w:val="both"/>
        <w:ind w:right="3179" w:firstLine="784"/>
        <w:spacing w:after="0" w:line="237" w:lineRule="auto"/>
        <w:tabs>
          <w:tab w:leader="none" w:pos="114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Seller has not made any capital investment in, any loan to, or any acquisition of the securities or assets of, any other Person (or series of related capital investments, loans, and acquisitions) either involving more than $10,000 or outside the Ordinary Course of Business;</w:t>
      </w:r>
    </w:p>
    <w:p>
      <w:pPr>
        <w:spacing w:after="0" w:line="176" w:lineRule="exact"/>
        <w:rPr>
          <w:rFonts w:ascii="Courier New" w:cs="Courier New" w:eastAsia="Courier New" w:hAnsi="Courier New"/>
          <w:sz w:val="15"/>
          <w:szCs w:val="15"/>
          <w:color w:val="auto"/>
        </w:rPr>
      </w:pPr>
    </w:p>
    <w:p>
      <w:pPr>
        <w:jc w:val="both"/>
        <w:ind w:right="3179" w:firstLine="784"/>
        <w:spacing w:after="0" w:line="237" w:lineRule="auto"/>
        <w:tabs>
          <w:tab w:leader="none" w:pos="114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Seller has not issued any note, bond, or other debt security or created, incurred, assumed, or guaranteed any indebtedness for borrowed money or capitalized lease obligation either involving more than $1,000 singly or $10,000 in the aggregate;</w:t>
      </w:r>
    </w:p>
    <w:p>
      <w:pPr>
        <w:spacing w:after="0" w:line="176" w:lineRule="exact"/>
        <w:rPr>
          <w:rFonts w:ascii="Courier New" w:cs="Courier New" w:eastAsia="Courier New" w:hAnsi="Courier New"/>
          <w:sz w:val="15"/>
          <w:szCs w:val="15"/>
          <w:color w:val="auto"/>
        </w:rPr>
      </w:pPr>
    </w:p>
    <w:p>
      <w:pPr>
        <w:ind w:right="3179" w:firstLine="784"/>
        <w:spacing w:after="0" w:line="235" w:lineRule="auto"/>
        <w:tabs>
          <w:tab w:leader="none" w:pos="114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Seller has not delayed or postponed the payment of accounts payable and other Liabilities outside the Ordinary Course of Business;</w:t>
      </w:r>
    </w:p>
    <w:p>
      <w:pPr>
        <w:spacing w:after="0" w:line="175" w:lineRule="exact"/>
        <w:rPr>
          <w:rFonts w:ascii="Courier New" w:cs="Courier New" w:eastAsia="Courier New" w:hAnsi="Courier New"/>
          <w:sz w:val="15"/>
          <w:szCs w:val="15"/>
          <w:color w:val="auto"/>
        </w:rPr>
      </w:pPr>
    </w:p>
    <w:p>
      <w:pPr>
        <w:jc w:val="both"/>
        <w:ind w:right="3179" w:firstLine="784"/>
        <w:spacing w:after="0" w:line="237" w:lineRule="auto"/>
        <w:tabs>
          <w:tab w:leader="none" w:pos="114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Seller has not canceled, compromised, waived, or released any right or claim (or series of related rights and claims) either involving more than $1,000 or outside the Ordinary Course of Business;</w:t>
      </w:r>
    </w:p>
    <w:p>
      <w:pPr>
        <w:spacing w:after="0" w:line="174" w:lineRule="exact"/>
        <w:rPr>
          <w:rFonts w:ascii="Courier New" w:cs="Courier New" w:eastAsia="Courier New" w:hAnsi="Courier New"/>
          <w:sz w:val="15"/>
          <w:szCs w:val="15"/>
          <w:color w:val="auto"/>
        </w:rPr>
      </w:pPr>
    </w:p>
    <w:p>
      <w:pPr>
        <w:ind w:right="3179" w:firstLine="784"/>
        <w:spacing w:after="0" w:line="235" w:lineRule="auto"/>
        <w:tabs>
          <w:tab w:leader="none" w:pos="114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Seller has not granted any license or sublicense of any rights under or with respect to any Intellectual Property;</w:t>
      </w:r>
    </w:p>
    <w:p>
      <w:pPr>
        <w:spacing w:after="0" w:line="175" w:lineRule="exact"/>
        <w:rPr>
          <w:rFonts w:ascii="Courier New" w:cs="Courier New" w:eastAsia="Courier New" w:hAnsi="Courier New"/>
          <w:sz w:val="15"/>
          <w:szCs w:val="15"/>
          <w:color w:val="auto"/>
        </w:rPr>
      </w:pPr>
    </w:p>
    <w:p>
      <w:pPr>
        <w:ind w:right="3179" w:firstLine="784"/>
        <w:spacing w:after="0" w:line="235" w:lineRule="auto"/>
        <w:tabs>
          <w:tab w:leader="none" w:pos="114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has been no change made or authorized in the charter or bylaws of any of the Seller;</w:t>
      </w:r>
    </w:p>
    <w:p>
      <w:pPr>
        <w:spacing w:after="0" w:line="34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E-10</w:t>
      </w:r>
    </w:p>
    <w:p>
      <w:pPr>
        <w:sectPr>
          <w:pgSz w:w="11900" w:h="16838" w:orient="portrait"/>
          <w:cols w:equalWidth="0" w:num="1">
            <w:col w:w="10219"/>
          </w:cols>
          <w:pgMar w:left="240" w:top="627" w:right="1440" w:bottom="1440" w:gutter="0" w:footer="0" w:header="0"/>
          <w:type w:val="continuous"/>
        </w:sectPr>
      </w:pPr>
    </w:p>
    <w:bookmarkStart w:id="35" w:name="page36"/>
    <w:bookmarkEnd w:id="35"/>
    <w:p>
      <w:pPr>
        <w:jc w:val="both"/>
        <w:ind w:right="3179" w:firstLine="784"/>
        <w:spacing w:after="0" w:line="237" w:lineRule="auto"/>
        <w:tabs>
          <w:tab w:leader="none" w:pos="114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Seller has not issued, sold, or otherwise disposed of any of its capital stock, or granted any options, warrants, or other rights to purchase or obtain (including upon conversion, exchange, or exercise) any of its capital stock;</w:t>
      </w:r>
    </w:p>
    <w:p>
      <w:pPr>
        <w:spacing w:after="0" w:line="176" w:lineRule="exact"/>
        <w:rPr>
          <w:rFonts w:ascii="Courier New" w:cs="Courier New" w:eastAsia="Courier New" w:hAnsi="Courier New"/>
          <w:sz w:val="15"/>
          <w:szCs w:val="15"/>
          <w:color w:val="auto"/>
        </w:rPr>
      </w:pPr>
    </w:p>
    <w:p>
      <w:pPr>
        <w:jc w:val="both"/>
        <w:ind w:right="3179" w:firstLine="784"/>
        <w:spacing w:after="0" w:line="237" w:lineRule="auto"/>
        <w:tabs>
          <w:tab w:leader="none" w:pos="114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Seller has not declared, set aside, or paid any dividend or made any distribution with respect to its capital stock (whether in cash or in kind) or redeemed, purchased, or otherwise acquired any of its capital stock;</w:t>
      </w:r>
    </w:p>
    <w:p>
      <w:pPr>
        <w:spacing w:after="0" w:line="174" w:lineRule="exact"/>
        <w:rPr>
          <w:rFonts w:ascii="Courier New" w:cs="Courier New" w:eastAsia="Courier New" w:hAnsi="Courier New"/>
          <w:sz w:val="15"/>
          <w:szCs w:val="15"/>
          <w:color w:val="auto"/>
        </w:rPr>
      </w:pPr>
    </w:p>
    <w:p>
      <w:pPr>
        <w:ind w:right="3179" w:firstLine="784"/>
        <w:spacing w:after="0" w:line="235" w:lineRule="auto"/>
        <w:tabs>
          <w:tab w:leader="none" w:pos="114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Seller has not experienced any material damage, destruction, or loss (whether or not covered by insurance) to its property;</w:t>
      </w:r>
    </w:p>
    <w:p>
      <w:pPr>
        <w:sectPr>
          <w:pgSz w:w="11900" w:h="16838" w:orient="portrait"/>
          <w:cols w:equalWidth="0" w:num="1">
            <w:col w:w="10219"/>
          </w:cols>
          <w:pgMar w:left="240" w:top="627" w:right="1440" w:bottom="1440" w:gutter="0" w:footer="0" w:header="0"/>
        </w:sectPr>
      </w:pPr>
    </w:p>
    <w:p>
      <w:pPr>
        <w:spacing w:after="0" w:line="176" w:lineRule="exact"/>
        <w:rPr>
          <w:sz w:val="20"/>
          <w:szCs w:val="20"/>
          <w:color w:val="auto"/>
        </w:rPr>
      </w:pPr>
    </w:p>
    <w:p>
      <w:pPr>
        <w:ind w:firstLine="784"/>
        <w:spacing w:after="0" w:line="237" w:lineRule="auto"/>
        <w:tabs>
          <w:tab w:leader="none" w:pos="114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Seller has not made any loan to, transaction with, any of its directors, officers, Ordinary Course of Business;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both"/>
        <w:spacing w:after="0"/>
        <w:tabs>
          <w:tab w:leader="none" w:pos="340" w:val="left"/>
          <w:tab w:leader="none" w:pos="1120" w:val="left"/>
        </w:tabs>
        <w:rPr>
          <w:sz w:val="20"/>
          <w:szCs w:val="20"/>
          <w:color w:val="auto"/>
        </w:rPr>
      </w:pPr>
      <w:r>
        <w:rPr>
          <w:rFonts w:ascii="Courier New" w:cs="Courier New" w:eastAsia="Courier New" w:hAnsi="Courier New"/>
          <w:sz w:val="15"/>
          <w:szCs w:val="15"/>
          <w:color w:val="auto"/>
        </w:rPr>
        <w:t>or</w:t>
        <w:tab/>
        <w:t>entered</w:t>
      </w:r>
      <w:r>
        <w:rPr>
          <w:sz w:val="20"/>
          <w:szCs w:val="20"/>
          <w:color w:val="auto"/>
        </w:rPr>
        <w:tab/>
      </w:r>
      <w:r>
        <w:rPr>
          <w:rFonts w:ascii="Courier New" w:cs="Courier New" w:eastAsia="Courier New" w:hAnsi="Courier New"/>
          <w:sz w:val="14"/>
          <w:szCs w:val="14"/>
          <w:color w:val="auto"/>
        </w:rPr>
        <w:t>into any other</w:t>
      </w:r>
    </w:p>
    <w:p>
      <w:pPr>
        <w:jc w:val="right"/>
        <w:ind w:right="3179"/>
        <w:spacing w:after="0"/>
        <w:tabs>
          <w:tab w:leader="none" w:pos="940" w:val="left"/>
        </w:tabs>
        <w:rPr>
          <w:sz w:val="20"/>
          <w:szCs w:val="20"/>
          <w:color w:val="auto"/>
        </w:rPr>
      </w:pPr>
      <w:r>
        <w:rPr>
          <w:rFonts w:ascii="Courier New" w:cs="Courier New" w:eastAsia="Courier New" w:hAnsi="Courier New"/>
          <w:sz w:val="15"/>
          <w:szCs w:val="15"/>
          <w:color w:val="auto"/>
        </w:rPr>
        <w:t>and employees</w:t>
      </w:r>
      <w:r>
        <w:rPr>
          <w:sz w:val="20"/>
          <w:szCs w:val="20"/>
          <w:color w:val="auto"/>
        </w:rPr>
        <w:tab/>
      </w:r>
      <w:r>
        <w:rPr>
          <w:rFonts w:ascii="Courier New" w:cs="Courier New" w:eastAsia="Courier New" w:hAnsi="Courier New"/>
          <w:sz w:val="14"/>
          <w:szCs w:val="14"/>
          <w:color w:val="auto"/>
        </w:rPr>
        <w:t>outside the</w:t>
      </w:r>
    </w:p>
    <w:p>
      <w:pPr>
        <w:spacing w:after="0" w:line="344" w:lineRule="exact"/>
        <w:rPr>
          <w:sz w:val="20"/>
          <w:szCs w:val="20"/>
          <w:color w:val="auto"/>
        </w:rPr>
      </w:pPr>
    </w:p>
    <w:p>
      <w:pPr>
        <w:sectPr>
          <w:pgSz w:w="11900" w:h="16838" w:orient="portrait"/>
          <w:cols w:equalWidth="0" w:num="2">
            <w:col w:w="4580" w:space="80"/>
            <w:col w:w="5559"/>
          </w:cols>
          <w:pgMar w:left="240" w:top="627" w:right="1440" w:bottom="1440" w:gutter="0" w:footer="0" w:header="0"/>
          <w:type w:val="continuous"/>
        </w:sectPr>
      </w:pPr>
    </w:p>
    <w:p>
      <w:pPr>
        <w:jc w:val="both"/>
        <w:ind w:right="3179" w:firstLine="784"/>
        <w:spacing w:after="0" w:line="237" w:lineRule="auto"/>
        <w:tabs>
          <w:tab w:leader="none" w:pos="1146"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those disclosed to the Buyer during the due diligence period, the Seller has not entered into any employment contract or collective bargaining agreement, written or oral, or modified the terms of any existing such contract or agreement outside the Ordinary Course of Business;</w:t>
      </w:r>
    </w:p>
    <w:p>
      <w:pPr>
        <w:spacing w:after="0" w:line="170" w:lineRule="exact"/>
        <w:rPr>
          <w:rFonts w:ascii="Courier New" w:cs="Courier New" w:eastAsia="Courier New" w:hAnsi="Courier New"/>
          <w:sz w:val="15"/>
          <w:szCs w:val="15"/>
          <w:color w:val="auto"/>
        </w:rPr>
      </w:pPr>
    </w:p>
    <w:p>
      <w:pPr>
        <w:ind w:left="1140" w:hanging="356"/>
        <w:spacing w:after="0"/>
        <w:tabs>
          <w:tab w:leader="none" w:pos="11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reserved;</w:t>
      </w:r>
    </w:p>
    <w:p>
      <w:pPr>
        <w:spacing w:after="0" w:line="174" w:lineRule="exact"/>
        <w:rPr>
          <w:rFonts w:ascii="Courier New" w:cs="Courier New" w:eastAsia="Courier New" w:hAnsi="Courier New"/>
          <w:sz w:val="15"/>
          <w:szCs w:val="15"/>
          <w:color w:val="auto"/>
        </w:rPr>
      </w:pPr>
    </w:p>
    <w:p>
      <w:pPr>
        <w:jc w:val="both"/>
        <w:ind w:right="3179" w:firstLine="784"/>
        <w:spacing w:after="0" w:line="237" w:lineRule="auto"/>
        <w:tabs>
          <w:tab w:leader="none" w:pos="1146"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Seller has not adopted, amended, modified, or terminated any bonus, profit-sharing, incentive, severance, or other plan, contract, or commitment for the benefit of any of its directors, officers, and employees (or taken any such action with respect to any other Employee Benefit Plan);</w:t>
      </w:r>
    </w:p>
    <w:p>
      <w:pPr>
        <w:spacing w:after="0" w:line="176" w:lineRule="exact"/>
        <w:rPr>
          <w:rFonts w:ascii="Courier New" w:cs="Courier New" w:eastAsia="Courier New" w:hAnsi="Courier New"/>
          <w:sz w:val="15"/>
          <w:szCs w:val="15"/>
          <w:color w:val="auto"/>
        </w:rPr>
      </w:pPr>
    </w:p>
    <w:p>
      <w:pPr>
        <w:ind w:right="3179" w:firstLine="784"/>
        <w:spacing w:after="0" w:line="235" w:lineRule="auto"/>
        <w:tabs>
          <w:tab w:leader="none" w:pos="1146"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Seller has not made or pledged to make any charitable or other capital contribution outside the Ordinary Course of Business;</w:t>
      </w:r>
    </w:p>
    <w:p>
      <w:pPr>
        <w:spacing w:after="0" w:line="175" w:lineRule="exact"/>
        <w:rPr>
          <w:rFonts w:ascii="Courier New" w:cs="Courier New" w:eastAsia="Courier New" w:hAnsi="Courier New"/>
          <w:sz w:val="15"/>
          <w:szCs w:val="15"/>
          <w:color w:val="auto"/>
        </w:rPr>
      </w:pPr>
    </w:p>
    <w:p>
      <w:pPr>
        <w:jc w:val="both"/>
        <w:ind w:right="3179" w:firstLine="784"/>
        <w:spacing w:after="0" w:line="237" w:lineRule="auto"/>
        <w:tabs>
          <w:tab w:leader="none" w:pos="1146"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has not been any other material occurrence, event, incident, action, failure to act, or transaction outside the Ordinary Course of Business involving the Seller; and</w:t>
      </w:r>
    </w:p>
    <w:p>
      <w:pPr>
        <w:spacing w:after="0" w:line="169" w:lineRule="exact"/>
        <w:rPr>
          <w:rFonts w:ascii="Courier New" w:cs="Courier New" w:eastAsia="Courier New" w:hAnsi="Courier New"/>
          <w:sz w:val="15"/>
          <w:szCs w:val="15"/>
          <w:color w:val="auto"/>
        </w:rPr>
      </w:pPr>
    </w:p>
    <w:p>
      <w:pPr>
        <w:ind w:left="1140" w:hanging="356"/>
        <w:spacing w:after="0"/>
        <w:tabs>
          <w:tab w:leader="none" w:pos="11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Seller has not committed to any of the foregoing.</w:t>
      </w:r>
    </w:p>
    <w:p>
      <w:pPr>
        <w:spacing w:after="0" w:line="175" w:lineRule="exact"/>
        <w:rPr>
          <w:sz w:val="20"/>
          <w:szCs w:val="20"/>
          <w:color w:val="auto"/>
        </w:rPr>
      </w:pPr>
    </w:p>
    <w:p>
      <w:pPr>
        <w:jc w:val="both"/>
        <w:ind w:right="3179" w:firstLine="793"/>
        <w:spacing w:after="0" w:line="257" w:lineRule="auto"/>
        <w:rPr>
          <w:sz w:val="20"/>
          <w:szCs w:val="20"/>
          <w:color w:val="auto"/>
        </w:rPr>
      </w:pPr>
      <w:r>
        <w:rPr>
          <w:rFonts w:ascii="Courier New" w:cs="Courier New" w:eastAsia="Courier New" w:hAnsi="Courier New"/>
          <w:sz w:val="14"/>
          <w:szCs w:val="14"/>
          <w:color w:val="auto"/>
        </w:rPr>
        <w:t>3.1.9 Undisclosed Liabilities. The Seller has no Liability (and to the Knowledge of Seller there is no Basis for any present or future action, suit, proceeding, hearing, investigation, charge, complaint, claim, or demand against any of them giving rise to any Liability), except for (i) Liabilities set forth on the face of the Most Recent Balance Sheet (rather than in any notes thereto) and (ii) Liabilities which have arisen after the Most Recent Fiscal Month End in the Ordinary Course of Business (none of which results from, arises out of, relates to, is in the nature of, or was caused by any breach of contract, breach of warranty, tort, infringement, or violation of law).</w:t>
      </w:r>
    </w:p>
    <w:p>
      <w:pPr>
        <w:spacing w:after="0" w:line="167"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3.1.10 Legal Compliance. The Seller has materially complied with all applicable laws (including rules, regulations, codes, plans, injunctions, judgments, orders, decrees, rulings, and charges thereunder) of federal, state, local, and foreign governments (and all agencies thereof), and no action, suit, proceeding, hearing, investigation, charge, complaint, claim, demand, or notice has been filed or commenced against any of them alleging any failure so to comply.</w:t>
      </w:r>
    </w:p>
    <w:p>
      <w:pPr>
        <w:spacing w:after="0" w:line="34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E-11</w:t>
      </w:r>
    </w:p>
    <w:p>
      <w:pPr>
        <w:sectPr>
          <w:pgSz w:w="11900" w:h="16838" w:orient="portrait"/>
          <w:cols w:equalWidth="0" w:num="1">
            <w:col w:w="10219"/>
          </w:cols>
          <w:pgMar w:left="240" w:top="627" w:right="1440" w:bottom="1440" w:gutter="0" w:footer="0" w:header="0"/>
          <w:type w:val="continuous"/>
        </w:sectPr>
      </w:pPr>
    </w:p>
    <w:bookmarkStart w:id="36" w:name="page37"/>
    <w:bookmarkEnd w:id="36"/>
    <w:p>
      <w:pPr>
        <w:ind w:left="780"/>
        <w:spacing w:after="0"/>
        <w:rPr>
          <w:sz w:val="20"/>
          <w:szCs w:val="20"/>
          <w:color w:val="auto"/>
        </w:rPr>
      </w:pPr>
      <w:r>
        <w:rPr>
          <w:rFonts w:ascii="Courier New" w:cs="Courier New" w:eastAsia="Courier New" w:hAnsi="Courier New"/>
          <w:sz w:val="15"/>
          <w:szCs w:val="15"/>
          <w:color w:val="auto"/>
        </w:rPr>
        <w:t>3.1.11 Tax Matters.</w:t>
      </w:r>
    </w:p>
    <w:p>
      <w:pPr>
        <w:spacing w:after="0" w:line="175" w:lineRule="exact"/>
        <w:rPr>
          <w:sz w:val="20"/>
          <w:szCs w:val="20"/>
          <w:color w:val="auto"/>
        </w:rPr>
      </w:pPr>
    </w:p>
    <w:p>
      <w:pPr>
        <w:jc w:val="both"/>
        <w:ind w:right="3179" w:firstLine="784"/>
        <w:spacing w:after="0" w:line="238" w:lineRule="auto"/>
        <w:tabs>
          <w:tab w:leader="none" w:pos="1146"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Seller has filed all Tax Returns that it was required to file. All such Tax Returns were correct and complete in all respects. All accrued Taxes due from the Seller (whether or not shown on any Tax Return) have been paid. The Seller currently is not the beneficiary of any extension of time within which to file any Tax Return. No claim has ever been made by an authority in a jurisdiction where the Seller does not file Tax Returns that it is or may be subject to taxation by that jurisdiction. There are no Security Interests on any of the assets of the Seller that arose in connection with any failure (or alleged failure) to pay any Tax.</w:t>
      </w:r>
    </w:p>
    <w:p>
      <w:pPr>
        <w:spacing w:after="0" w:line="178" w:lineRule="exact"/>
        <w:rPr>
          <w:rFonts w:ascii="Courier New" w:cs="Courier New" w:eastAsia="Courier New" w:hAnsi="Courier New"/>
          <w:sz w:val="15"/>
          <w:szCs w:val="15"/>
          <w:color w:val="auto"/>
        </w:rPr>
      </w:pPr>
    </w:p>
    <w:p>
      <w:pPr>
        <w:jc w:val="both"/>
        <w:ind w:right="3179" w:firstLine="784"/>
        <w:spacing w:after="0" w:line="237" w:lineRule="auto"/>
        <w:tabs>
          <w:tab w:leader="none" w:pos="1146"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Seller has withheld and paid all Taxes required to have been withheld and paid by Seller in connection with amounts paid or owing to any employee, independent contractor, creditor, stockholder, or other third party.</w:t>
      </w:r>
    </w:p>
    <w:p>
      <w:pPr>
        <w:spacing w:after="0" w:line="174" w:lineRule="exact"/>
        <w:rPr>
          <w:rFonts w:ascii="Courier New" w:cs="Courier New" w:eastAsia="Courier New" w:hAnsi="Courier New"/>
          <w:sz w:val="15"/>
          <w:szCs w:val="15"/>
          <w:color w:val="auto"/>
        </w:rPr>
      </w:pPr>
    </w:p>
    <w:p>
      <w:pPr>
        <w:jc w:val="both"/>
        <w:ind w:right="3179" w:firstLine="784"/>
        <w:spacing w:after="0" w:line="257" w:lineRule="auto"/>
        <w:tabs>
          <w:tab w:leader="none" w:pos="1146"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the Seller, no Principal Shareholder or director or officer (or employee responsible for Tax matters) of the Seller expects any authority to assess any additional Taxes for any period for which Tax Returns have been filed. There is no dispute or claim concerning any Tax Liability of the Seller either (A) claimed or raised by any authority in writing or (B) as to which any of the Principal Shareholders and the directors and officers (and employees responsible for Tax matters) of the Seller has Knowledge based upon personal contact with any agent of such authority. Section 3(k) of the Disclosure Schedule lists all federal, state, local, and foreign income Tax Returns filed with respect to the Seller for taxable periods from May 7, 1997 through the present, indicates those Tax Returns that have been audited, and indicates those Tax Returns that currently are the subject of audit. The Seller has delivered to the Buyer correct and complete copies of all filed federal income Tax Returns, examination reports, and statements of deficiencies assessed against or agreed to by the Seller since May 7, 1997.</w:t>
      </w:r>
    </w:p>
    <w:p>
      <w:pPr>
        <w:spacing w:after="0" w:line="164" w:lineRule="exact"/>
        <w:rPr>
          <w:rFonts w:ascii="Courier New" w:cs="Courier New" w:eastAsia="Courier New" w:hAnsi="Courier New"/>
          <w:sz w:val="14"/>
          <w:szCs w:val="14"/>
          <w:color w:val="auto"/>
        </w:rPr>
      </w:pPr>
    </w:p>
    <w:p>
      <w:pPr>
        <w:jc w:val="both"/>
        <w:ind w:right="3179" w:firstLine="784"/>
        <w:spacing w:after="0" w:line="237" w:lineRule="auto"/>
        <w:tabs>
          <w:tab w:leader="none" w:pos="1146"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Seller has not waived any statute of limitations in respect of Taxes or agreed to any extension of time with respect to a Tax assessment or deficiency.</w:t>
      </w:r>
    </w:p>
    <w:p>
      <w:pPr>
        <w:spacing w:after="0" w:line="174" w:lineRule="exact"/>
        <w:rPr>
          <w:rFonts w:ascii="Courier New" w:cs="Courier New" w:eastAsia="Courier New" w:hAnsi="Courier New"/>
          <w:sz w:val="15"/>
          <w:szCs w:val="15"/>
          <w:color w:val="auto"/>
        </w:rPr>
      </w:pPr>
    </w:p>
    <w:p>
      <w:pPr>
        <w:jc w:val="both"/>
        <w:ind w:right="3179" w:firstLine="784"/>
        <w:spacing w:after="0" w:line="238" w:lineRule="auto"/>
        <w:tabs>
          <w:tab w:leader="none" w:pos="1146"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unpaid Taxes of the Seller (A) did not, as of the Most Recent Fiscal Month End, exceed the reserve for Tax Liability (rather than any reserve for deferred Taxes established to reflect timing differences between book and Tax income) set forth on the face of the Most Recent Balance Sheet (rather than in any notes thereto) and (B) do not exceed that reserve as adjusted for the passage of time through the Closing Date in accordance with the past custom and practice of the Seller in filing its Tax Returns.</w:t>
      </w:r>
    </w:p>
    <w:p>
      <w:pPr>
        <w:spacing w:after="0" w:line="176" w:lineRule="exact"/>
        <w:rPr>
          <w:rFonts w:ascii="Courier New" w:cs="Courier New" w:eastAsia="Courier New" w:hAnsi="Courier New"/>
          <w:sz w:val="15"/>
          <w:szCs w:val="15"/>
          <w:color w:val="auto"/>
        </w:rPr>
      </w:pPr>
    </w:p>
    <w:p>
      <w:pPr>
        <w:jc w:val="both"/>
        <w:ind w:right="3179" w:firstLine="784"/>
        <w:spacing w:after="0" w:line="257" w:lineRule="auto"/>
        <w:tabs>
          <w:tab w:leader="none" w:pos="1146"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Assumed Liabilities is an obligation to make a payment that will not be deductible under Code Section 280G. The Seller has disclosed on its federal income Tax Returns all positions taken therein that could give rise to a substantial understatement of federal income Tax within the meaning of Code Section 6662. The Seller is not a party to any Tax allocation or sharing agreement. The Seller (A) has not been a member of an Affiliated Group filing a consolidated federal income Tax Return (other than a group the common parent of</w:t>
      </w:r>
    </w:p>
    <w:p>
      <w:pPr>
        <w:spacing w:after="0" w:line="331"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E-12</w:t>
      </w:r>
    </w:p>
    <w:p>
      <w:pPr>
        <w:sectPr>
          <w:pgSz w:w="11900" w:h="16838" w:orient="portrait"/>
          <w:cols w:equalWidth="0" w:num="1">
            <w:col w:w="10219"/>
          </w:cols>
          <w:pgMar w:left="240" w:top="622" w:right="1440" w:bottom="1440" w:gutter="0" w:footer="0" w:header="0"/>
        </w:sectPr>
      </w:pPr>
    </w:p>
    <w:bookmarkStart w:id="37" w:name="page38"/>
    <w:bookmarkEnd w:id="37"/>
    <w:p>
      <w:pPr>
        <w:jc w:val="both"/>
        <w:ind w:right="3179"/>
        <w:spacing w:after="0" w:line="237" w:lineRule="auto"/>
        <w:rPr>
          <w:sz w:val="20"/>
          <w:szCs w:val="20"/>
          <w:color w:val="auto"/>
        </w:rPr>
      </w:pPr>
      <w:r>
        <w:rPr>
          <w:rFonts w:ascii="Courier New" w:cs="Courier New" w:eastAsia="Courier New" w:hAnsi="Courier New"/>
          <w:sz w:val="15"/>
          <w:szCs w:val="15"/>
          <w:color w:val="auto"/>
        </w:rPr>
        <w:t>which was the Seller) and (B) has no Liability for the Taxes of any Person (other than the Seller) under Reg. Section 1.1502-6 (or any similar provision of state, local, or foreign law), as a transferee or successor, by contract, or otherwise.</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3.1.12 Real Property.</w:t>
      </w:r>
    </w:p>
    <w:p>
      <w:pPr>
        <w:spacing w:after="0" w:line="169" w:lineRule="exact"/>
        <w:rPr>
          <w:sz w:val="20"/>
          <w:szCs w:val="20"/>
          <w:color w:val="auto"/>
        </w:rPr>
      </w:pPr>
    </w:p>
    <w:p>
      <w:pPr>
        <w:ind w:left="1140" w:hanging="356"/>
        <w:spacing w:after="0"/>
        <w:tabs>
          <w:tab w:leader="none" w:pos="11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Seller owns no real property.</w:t>
      </w:r>
    </w:p>
    <w:p>
      <w:pPr>
        <w:spacing w:after="0" w:line="174" w:lineRule="exact"/>
        <w:rPr>
          <w:rFonts w:ascii="Courier New" w:cs="Courier New" w:eastAsia="Courier New" w:hAnsi="Courier New"/>
          <w:sz w:val="15"/>
          <w:szCs w:val="15"/>
          <w:color w:val="auto"/>
        </w:rPr>
      </w:pPr>
    </w:p>
    <w:p>
      <w:pPr>
        <w:jc w:val="both"/>
        <w:ind w:right="3179" w:firstLine="784"/>
        <w:spacing w:after="0" w:line="238" w:lineRule="auto"/>
        <w:tabs>
          <w:tab w:leader="none" w:pos="114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3(l)(ii) of the Disclosure Schedule lists and describes briefly all real property leased or subleased to the Seller. The Seller has delivered to the Buyer correct and complete copies of the leases and subleases listed in Section 3(l)(ii) of the Disclosure Schedule (as amended to date). With respect to each lease and sublease listed in Section 3(l)(ii) of the Disclosure Schedule: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(i)</w:t>
            </w:r>
          </w:p>
        </w:tc>
        <w:tc>
          <w:tcPr>
            <w:tcW w:w="4540" w:type="dxa"/>
            <w:vAlign w:val="bottom"/>
            <w:gridSpan w:val="6"/>
          </w:tcPr>
          <w:p>
            <w:pPr>
              <w:ind w:left="1220"/>
              <w:spacing w:after="0"/>
              <w:rPr>
                <w:sz w:val="20"/>
                <w:szCs w:val="20"/>
                <w:color w:val="auto"/>
              </w:rPr>
            </w:pPr>
            <w:r>
              <w:rPr>
                <w:rFonts w:ascii="Courier New" w:cs="Courier New" w:eastAsia="Courier New" w:hAnsi="Courier New"/>
                <w:sz w:val="15"/>
                <w:szCs w:val="15"/>
                <w:color w:val="auto"/>
              </w:rPr>
              <w:t>the  lease  or  sublease  is  legal,</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valid,</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binding,</w:t>
            </w:r>
          </w:p>
        </w:tc>
      </w:tr>
      <w:tr>
        <w:trPr>
          <w:trHeight w:val="170"/>
        </w:trPr>
        <w:tc>
          <w:tcPr>
            <w:tcW w:w="3700" w:type="dxa"/>
            <w:vAlign w:val="bottom"/>
            <w:gridSpan w:val="4"/>
          </w:tcPr>
          <w:p>
            <w:pPr>
              <w:spacing w:after="0"/>
              <w:rPr>
                <w:sz w:val="20"/>
                <w:szCs w:val="20"/>
                <w:color w:val="auto"/>
              </w:rPr>
            </w:pPr>
            <w:r>
              <w:rPr>
                <w:rFonts w:ascii="Courier New" w:cs="Courier New" w:eastAsia="Courier New" w:hAnsi="Courier New"/>
                <w:sz w:val="15"/>
                <w:szCs w:val="15"/>
                <w:color w:val="auto"/>
                <w:w w:val="97"/>
              </w:rPr>
              <w:t>enforceable, and in full force and effect;</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(ii)</w:t>
            </w:r>
          </w:p>
        </w:tc>
        <w:tc>
          <w:tcPr>
            <w:tcW w:w="1840" w:type="dxa"/>
            <w:vAlign w:val="bottom"/>
          </w:tcPr>
          <w:p>
            <w:pPr>
              <w:ind w:left="1220"/>
              <w:spacing w:after="0"/>
              <w:rPr>
                <w:sz w:val="20"/>
                <w:szCs w:val="20"/>
                <w:color w:val="auto"/>
              </w:rPr>
            </w:pPr>
            <w:r>
              <w:rPr>
                <w:rFonts w:ascii="Courier New" w:cs="Courier New" w:eastAsia="Courier New" w:hAnsi="Courier New"/>
                <w:sz w:val="15"/>
                <w:szCs w:val="15"/>
                <w:color w:val="auto"/>
                <w:w w:val="95"/>
              </w:rPr>
              <w:t>rovided</w:t>
            </w:r>
          </w:p>
        </w:tc>
        <w:tc>
          <w:tcPr>
            <w:tcW w:w="176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that consent to</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5"/>
              </w:rPr>
              <w:t>assignment</w:t>
            </w:r>
          </w:p>
        </w:tc>
        <w:tc>
          <w:tcPr>
            <w:tcW w:w="16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has been properly</w:t>
            </w:r>
          </w:p>
        </w:tc>
      </w:tr>
      <w:tr>
        <w:trPr>
          <w:trHeight w:val="170"/>
        </w:trPr>
        <w:tc>
          <w:tcPr>
            <w:tcW w:w="2720" w:type="dxa"/>
            <w:vAlign w:val="bottom"/>
            <w:gridSpan w:val="2"/>
          </w:tcPr>
          <w:p>
            <w:pPr>
              <w:spacing w:after="0"/>
              <w:rPr>
                <w:sz w:val="20"/>
                <w:szCs w:val="20"/>
                <w:color w:val="auto"/>
              </w:rPr>
            </w:pPr>
            <w:r>
              <w:rPr>
                <w:rFonts w:ascii="Courier New" w:cs="Courier New" w:eastAsia="Courier New" w:hAnsi="Courier New"/>
                <w:sz w:val="15"/>
                <w:szCs w:val="15"/>
                <w:color w:val="auto"/>
              </w:rPr>
              <w:t>obtained by Seller and Buyer,</w:t>
            </w:r>
          </w:p>
        </w:tc>
        <w:tc>
          <w:tcPr>
            <w:tcW w:w="4320" w:type="dxa"/>
            <w:vAlign w:val="bottom"/>
            <w:gridSpan w:val="9"/>
          </w:tcPr>
          <w:p>
            <w:pPr>
              <w:jc w:val="right"/>
              <w:spacing w:after="0"/>
              <w:rPr>
                <w:sz w:val="20"/>
                <w:szCs w:val="20"/>
                <w:color w:val="auto"/>
              </w:rPr>
            </w:pPr>
            <w:r>
              <w:rPr>
                <w:rFonts w:ascii="Courier New" w:cs="Courier New" w:eastAsia="Courier New" w:hAnsi="Courier New"/>
                <w:sz w:val="15"/>
                <w:szCs w:val="15"/>
                <w:color w:val="auto"/>
                <w:w w:val="97"/>
              </w:rPr>
              <w:t>the lease or sublease  will continue to be legal,</w:t>
            </w:r>
          </w:p>
        </w:tc>
      </w:tr>
      <w:tr>
        <w:trPr>
          <w:trHeight w:val="170"/>
        </w:trPr>
        <w:tc>
          <w:tcPr>
            <w:tcW w:w="2720" w:type="dxa"/>
            <w:vAlign w:val="bottom"/>
            <w:gridSpan w:val="2"/>
          </w:tcPr>
          <w:p>
            <w:pPr>
              <w:spacing w:after="0"/>
              <w:rPr>
                <w:sz w:val="20"/>
                <w:szCs w:val="20"/>
                <w:color w:val="auto"/>
              </w:rPr>
            </w:pPr>
            <w:r>
              <w:rPr>
                <w:rFonts w:ascii="Courier New" w:cs="Courier New" w:eastAsia="Courier New" w:hAnsi="Courier New"/>
                <w:sz w:val="15"/>
                <w:szCs w:val="15"/>
                <w:color w:val="auto"/>
                <w:w w:val="99"/>
              </w:rPr>
              <w:t>valid,  binding,  enforceable,</w:t>
            </w:r>
          </w:p>
        </w:tc>
        <w:tc>
          <w:tcPr>
            <w:tcW w:w="3880" w:type="dxa"/>
            <w:vAlign w:val="bottom"/>
            <w:gridSpan w:val="8"/>
          </w:tcPr>
          <w:p>
            <w:pPr>
              <w:jc w:val="right"/>
              <w:ind w:right="107"/>
              <w:spacing w:after="0"/>
              <w:rPr>
                <w:sz w:val="20"/>
                <w:szCs w:val="20"/>
                <w:color w:val="auto"/>
              </w:rPr>
            </w:pPr>
            <w:r>
              <w:rPr>
                <w:rFonts w:ascii="Courier New" w:cs="Courier New" w:eastAsia="Courier New" w:hAnsi="Courier New"/>
                <w:sz w:val="15"/>
                <w:szCs w:val="15"/>
                <w:color w:val="auto"/>
                <w:w w:val="99"/>
              </w:rPr>
              <w:t>and in full force and effect on identical</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terms</w:t>
            </w:r>
          </w:p>
        </w:tc>
      </w:tr>
      <w:tr>
        <w:trPr>
          <w:trHeight w:val="170"/>
        </w:trPr>
        <w:tc>
          <w:tcPr>
            <w:tcW w:w="4180" w:type="dxa"/>
            <w:vAlign w:val="bottom"/>
            <w:gridSpan w:val="5"/>
          </w:tcPr>
          <w:p>
            <w:pPr>
              <w:spacing w:after="0"/>
              <w:rPr>
                <w:sz w:val="20"/>
                <w:szCs w:val="20"/>
                <w:color w:val="auto"/>
              </w:rPr>
            </w:pPr>
            <w:r>
              <w:rPr>
                <w:rFonts w:ascii="Courier New" w:cs="Courier New" w:eastAsia="Courier New" w:hAnsi="Courier New"/>
                <w:sz w:val="15"/>
                <w:szCs w:val="15"/>
                <w:color w:val="auto"/>
              </w:rPr>
              <w:t>following the consummation of the transactions</w:t>
            </w: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contemplated</w:t>
            </w:r>
          </w:p>
        </w:tc>
        <w:tc>
          <w:tcPr>
            <w:tcW w:w="7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hereby</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(including</w:t>
            </w:r>
          </w:p>
        </w:tc>
      </w:tr>
      <w:tr>
        <w:trPr>
          <w:trHeight w:val="170"/>
        </w:trPr>
        <w:tc>
          <w:tcPr>
            <w:tcW w:w="2720" w:type="dxa"/>
            <w:vAlign w:val="bottom"/>
            <w:gridSpan w:val="2"/>
          </w:tcPr>
          <w:p>
            <w:pPr>
              <w:spacing w:after="0"/>
              <w:rPr>
                <w:sz w:val="20"/>
                <w:szCs w:val="20"/>
                <w:color w:val="auto"/>
              </w:rPr>
            </w:pPr>
            <w:r>
              <w:rPr>
                <w:rFonts w:ascii="Courier New" w:cs="Courier New" w:eastAsia="Courier New" w:hAnsi="Courier New"/>
                <w:sz w:val="15"/>
                <w:szCs w:val="15"/>
                <w:color w:val="auto"/>
                <w:w w:val="96"/>
              </w:rPr>
              <w:t>the assignments and assumptions</w:t>
            </w:r>
          </w:p>
        </w:tc>
        <w:tc>
          <w:tcPr>
            <w:tcW w:w="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referred</w:t>
            </w:r>
          </w:p>
        </w:tc>
        <w:tc>
          <w:tcPr>
            <w:tcW w:w="20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6"/>
              </w:rPr>
              <w:t>to in Section 2 above);</w:t>
            </w: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(iii)</w:t>
            </w:r>
          </w:p>
        </w:tc>
        <w:tc>
          <w:tcPr>
            <w:tcW w:w="2320" w:type="dxa"/>
            <w:vAlign w:val="bottom"/>
            <w:gridSpan w:val="2"/>
          </w:tcPr>
          <w:p>
            <w:pPr>
              <w:ind w:left="1220"/>
              <w:spacing w:after="0"/>
              <w:rPr>
                <w:sz w:val="20"/>
                <w:szCs w:val="20"/>
                <w:color w:val="auto"/>
              </w:rPr>
            </w:pPr>
            <w:r>
              <w:rPr>
                <w:rFonts w:ascii="Courier New" w:cs="Courier New" w:eastAsia="Courier New" w:hAnsi="Courier New"/>
                <w:sz w:val="15"/>
                <w:szCs w:val="15"/>
                <w:color w:val="auto"/>
              </w:rPr>
              <w:t>no party to</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the</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lease</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w w:val="88"/>
              </w:rPr>
              <w:t>or</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sublease</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is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breach or</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default,</w:t>
            </w:r>
          </w:p>
        </w:tc>
        <w:tc>
          <w:tcPr>
            <w:tcW w:w="2820" w:type="dxa"/>
            <w:vAlign w:val="bottom"/>
            <w:gridSpan w:val="3"/>
          </w:tcPr>
          <w:p>
            <w:pPr>
              <w:spacing w:after="0"/>
              <w:rPr>
                <w:sz w:val="20"/>
                <w:szCs w:val="20"/>
                <w:color w:val="auto"/>
              </w:rPr>
            </w:pPr>
            <w:r>
              <w:rPr>
                <w:rFonts w:ascii="Courier New" w:cs="Courier New" w:eastAsia="Courier New" w:hAnsi="Courier New"/>
                <w:sz w:val="15"/>
                <w:szCs w:val="15"/>
                <w:color w:val="auto"/>
                <w:w w:val="97"/>
              </w:rPr>
              <w:t>and no event has occurred which,</w:t>
            </w:r>
          </w:p>
        </w:tc>
        <w:tc>
          <w:tcPr>
            <w:tcW w:w="2900" w:type="dxa"/>
            <w:vAlign w:val="bottom"/>
            <w:gridSpan w:val="6"/>
          </w:tcPr>
          <w:p>
            <w:pPr>
              <w:jc w:val="right"/>
              <w:ind w:right="107"/>
              <w:spacing w:after="0"/>
              <w:rPr>
                <w:sz w:val="20"/>
                <w:szCs w:val="20"/>
                <w:color w:val="auto"/>
              </w:rPr>
            </w:pPr>
            <w:r>
              <w:rPr>
                <w:rFonts w:ascii="Courier New" w:cs="Courier New" w:eastAsia="Courier New" w:hAnsi="Courier New"/>
                <w:sz w:val="15"/>
                <w:szCs w:val="15"/>
                <w:color w:val="auto"/>
              </w:rPr>
              <w:t>with notice or lapse of time,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would</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constitute</w:t>
            </w:r>
          </w:p>
        </w:tc>
        <w:tc>
          <w:tcPr>
            <w:tcW w:w="3300" w:type="dxa"/>
            <w:vAlign w:val="bottom"/>
            <w:gridSpan w:val="4"/>
          </w:tcPr>
          <w:p>
            <w:pPr>
              <w:ind w:left="160"/>
              <w:spacing w:after="0"/>
              <w:rPr>
                <w:sz w:val="20"/>
                <w:szCs w:val="20"/>
                <w:color w:val="auto"/>
              </w:rPr>
            </w:pPr>
            <w:r>
              <w:rPr>
                <w:rFonts w:ascii="Courier New" w:cs="Courier New" w:eastAsia="Courier New" w:hAnsi="Courier New"/>
                <w:sz w:val="15"/>
                <w:szCs w:val="15"/>
                <w:color w:val="auto"/>
              </w:rPr>
              <w:t>a  breach  or  default  or  permit</w:t>
            </w: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termination,</w:t>
            </w:r>
          </w:p>
        </w:tc>
        <w:tc>
          <w:tcPr>
            <w:tcW w:w="16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modification,  or</w:t>
            </w:r>
          </w:p>
        </w:tc>
      </w:tr>
      <w:tr>
        <w:trPr>
          <w:trHeight w:val="170"/>
        </w:trPr>
        <w:tc>
          <w:tcPr>
            <w:tcW w:w="2720" w:type="dxa"/>
            <w:vAlign w:val="bottom"/>
            <w:gridSpan w:val="2"/>
          </w:tcPr>
          <w:p>
            <w:pPr>
              <w:spacing w:after="0"/>
              <w:rPr>
                <w:sz w:val="20"/>
                <w:szCs w:val="20"/>
                <w:color w:val="auto"/>
              </w:rPr>
            </w:pPr>
            <w:r>
              <w:rPr>
                <w:rFonts w:ascii="Courier New" w:cs="Courier New" w:eastAsia="Courier New" w:hAnsi="Courier New"/>
                <w:sz w:val="15"/>
                <w:szCs w:val="15"/>
                <w:color w:val="auto"/>
              </w:rPr>
              <w:t>acceleration thereunder;</w:t>
            </w: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(iv)</w:t>
            </w:r>
          </w:p>
        </w:tc>
        <w:tc>
          <w:tcPr>
            <w:tcW w:w="2320" w:type="dxa"/>
            <w:vAlign w:val="bottom"/>
            <w:gridSpan w:val="2"/>
          </w:tcPr>
          <w:p>
            <w:pPr>
              <w:ind w:left="1220"/>
              <w:spacing w:after="0"/>
              <w:rPr>
                <w:sz w:val="20"/>
                <w:szCs w:val="20"/>
                <w:color w:val="auto"/>
              </w:rPr>
            </w:pPr>
            <w:r>
              <w:rPr>
                <w:rFonts w:ascii="Courier New" w:cs="Courier New" w:eastAsia="Courier New" w:hAnsi="Courier New"/>
                <w:sz w:val="15"/>
                <w:szCs w:val="15"/>
                <w:color w:val="auto"/>
                <w:w w:val="99"/>
              </w:rPr>
              <w:t>no party  to</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 lease</w:t>
            </w:r>
          </w:p>
        </w:tc>
        <w:tc>
          <w:tcPr>
            <w:tcW w:w="15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or sublease has</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repudiated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any</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provision</w:t>
            </w:r>
          </w:p>
        </w:tc>
        <w:tc>
          <w:tcPr>
            <w:tcW w:w="1840" w:type="dxa"/>
            <w:vAlign w:val="bottom"/>
          </w:tcPr>
          <w:p>
            <w:pPr>
              <w:ind w:left="80"/>
              <w:spacing w:after="0"/>
              <w:rPr>
                <w:sz w:val="20"/>
                <w:szCs w:val="20"/>
                <w:color w:val="auto"/>
              </w:rPr>
            </w:pPr>
            <w:r>
              <w:rPr>
                <w:rFonts w:ascii="Courier New" w:cs="Courier New" w:eastAsia="Courier New" w:hAnsi="Courier New"/>
                <w:sz w:val="15"/>
                <w:szCs w:val="15"/>
                <w:color w:val="auto"/>
              </w:rPr>
              <w:t>thereof;</w:t>
            </w: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(v)</w:t>
            </w:r>
          </w:p>
        </w:tc>
        <w:tc>
          <w:tcPr>
            <w:tcW w:w="3300" w:type="dxa"/>
            <w:vAlign w:val="bottom"/>
            <w:gridSpan w:val="4"/>
          </w:tcPr>
          <w:p>
            <w:pPr>
              <w:ind w:left="1220"/>
              <w:spacing w:after="0"/>
              <w:rPr>
                <w:sz w:val="20"/>
                <w:szCs w:val="20"/>
                <w:color w:val="auto"/>
              </w:rPr>
            </w:pPr>
            <w:r>
              <w:rPr>
                <w:rFonts w:ascii="Courier New" w:cs="Courier New" w:eastAsia="Courier New" w:hAnsi="Courier New"/>
                <w:sz w:val="15"/>
                <w:szCs w:val="15"/>
                <w:color w:val="auto"/>
              </w:rPr>
              <w:t>there are no disputes,</w:t>
            </w:r>
          </w:p>
        </w:tc>
        <w:tc>
          <w:tcPr>
            <w:tcW w:w="15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oral agreements,</w:t>
            </w:r>
          </w:p>
        </w:tc>
        <w:tc>
          <w:tcPr>
            <w:tcW w:w="13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or forbearance</w:t>
            </w:r>
          </w:p>
        </w:tc>
      </w:tr>
      <w:tr>
        <w:trPr>
          <w:trHeight w:val="170"/>
        </w:trPr>
        <w:tc>
          <w:tcPr>
            <w:tcW w:w="4180" w:type="dxa"/>
            <w:vAlign w:val="bottom"/>
            <w:gridSpan w:val="5"/>
          </w:tcPr>
          <w:p>
            <w:pPr>
              <w:spacing w:after="0"/>
              <w:rPr>
                <w:sz w:val="20"/>
                <w:szCs w:val="20"/>
                <w:color w:val="auto"/>
              </w:rPr>
            </w:pPr>
            <w:r>
              <w:rPr>
                <w:rFonts w:ascii="Courier New" w:cs="Courier New" w:eastAsia="Courier New" w:hAnsi="Courier New"/>
                <w:sz w:val="15"/>
                <w:szCs w:val="15"/>
                <w:color w:val="auto"/>
                <w:w w:val="98"/>
              </w:rPr>
              <w:t>programs in effect as to the lease or sublease;</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(vi)</w:t>
            </w:r>
          </w:p>
        </w:tc>
        <w:tc>
          <w:tcPr>
            <w:tcW w:w="6160" w:type="dxa"/>
            <w:vAlign w:val="bottom"/>
            <w:gridSpan w:val="10"/>
          </w:tcPr>
          <w:p>
            <w:pPr>
              <w:ind w:left="1220"/>
              <w:spacing w:after="0"/>
              <w:rPr>
                <w:sz w:val="20"/>
                <w:szCs w:val="20"/>
                <w:color w:val="auto"/>
              </w:rPr>
            </w:pPr>
            <w:r>
              <w:rPr>
                <w:rFonts w:ascii="Courier New" w:cs="Courier New" w:eastAsia="Courier New" w:hAnsi="Courier New"/>
                <w:sz w:val="15"/>
                <w:szCs w:val="15"/>
                <w:color w:val="auto"/>
                <w:w w:val="97"/>
              </w:rPr>
              <w:t>with respect to each  sublease,  to the Knowledge of the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Seller, the</w:t>
            </w:r>
          </w:p>
        </w:tc>
        <w:tc>
          <w:tcPr>
            <w:tcW w:w="31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representations and warranties set</w:t>
            </w:r>
          </w:p>
        </w:tc>
        <w:tc>
          <w:tcPr>
            <w:tcW w:w="28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forth in subsections (A) through</w:t>
            </w:r>
          </w:p>
        </w:tc>
      </w:tr>
      <w:tr>
        <w:trPr>
          <w:trHeight w:val="170"/>
        </w:trPr>
        <w:tc>
          <w:tcPr>
            <w:tcW w:w="6080" w:type="dxa"/>
            <w:vAlign w:val="bottom"/>
            <w:gridSpan w:val="9"/>
          </w:tcPr>
          <w:p>
            <w:pPr>
              <w:spacing w:after="0"/>
              <w:rPr>
                <w:sz w:val="20"/>
                <w:szCs w:val="20"/>
                <w:color w:val="auto"/>
              </w:rPr>
            </w:pPr>
            <w:r>
              <w:rPr>
                <w:rFonts w:ascii="Courier New" w:cs="Courier New" w:eastAsia="Courier New" w:hAnsi="Courier New"/>
                <w:sz w:val="15"/>
                <w:szCs w:val="15"/>
                <w:color w:val="auto"/>
                <w:w w:val="99"/>
              </w:rPr>
              <w:t>(E) above are true and correct with respect to the underlying lease;</w:t>
            </w:r>
          </w:p>
        </w:tc>
        <w:tc>
          <w:tcPr>
            <w:tcW w:w="960" w:type="dxa"/>
            <w:vAlign w:val="bottom"/>
          </w:tcPr>
          <w:p>
            <w:pPr>
              <w:spacing w:after="0"/>
              <w:rPr>
                <w:sz w:val="14"/>
                <w:szCs w:val="14"/>
                <w:color w:val="auto"/>
              </w:rPr>
            </w:pP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(vii)</w:t>
            </w:r>
          </w:p>
        </w:tc>
        <w:tc>
          <w:tcPr>
            <w:tcW w:w="102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the</w:t>
            </w:r>
          </w:p>
        </w:tc>
        <w:tc>
          <w:tcPr>
            <w:tcW w:w="14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Seller  has  not</w:t>
            </w:r>
          </w:p>
        </w:tc>
        <w:tc>
          <w:tcPr>
            <w:tcW w:w="308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assigned,  transferred,  conveyed,</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mortgaged,</w:t>
            </w:r>
          </w:p>
        </w:tc>
        <w:tc>
          <w:tcPr>
            <w:tcW w:w="1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deeded in trust,</w:t>
            </w:r>
          </w:p>
        </w:tc>
        <w:tc>
          <w:tcPr>
            <w:tcW w:w="14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or  encumbered</w:t>
            </w:r>
          </w:p>
        </w:tc>
        <w:tc>
          <w:tcPr>
            <w:tcW w:w="5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any</w:t>
            </w:r>
          </w:p>
        </w:tc>
        <w:tc>
          <w:tcPr>
            <w:tcW w:w="25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interest in the  leasehold or</w:t>
            </w:r>
          </w:p>
        </w:tc>
      </w:tr>
      <w:tr>
        <w:trPr>
          <w:trHeight w:val="170"/>
        </w:trPr>
        <w:tc>
          <w:tcPr>
            <w:tcW w:w="2020" w:type="dxa"/>
            <w:vAlign w:val="bottom"/>
            <w:gridSpan w:val="2"/>
          </w:tcPr>
          <w:p>
            <w:pPr>
              <w:spacing w:after="0"/>
              <w:rPr>
                <w:sz w:val="20"/>
                <w:szCs w:val="20"/>
                <w:color w:val="auto"/>
              </w:rPr>
            </w:pPr>
            <w:r>
              <w:rPr>
                <w:rFonts w:ascii="Courier New" w:cs="Courier New" w:eastAsia="Courier New" w:hAnsi="Courier New"/>
                <w:sz w:val="15"/>
                <w:szCs w:val="15"/>
                <w:color w:val="auto"/>
              </w:rPr>
              <w:t>subleasehold;</w:t>
            </w: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(viii)</w:t>
            </w:r>
          </w:p>
        </w:tc>
        <w:tc>
          <w:tcPr>
            <w:tcW w:w="1020" w:type="dxa"/>
            <w:vAlign w:val="bottom"/>
          </w:tcPr>
          <w:p>
            <w:pPr>
              <w:spacing w:after="0"/>
              <w:rPr>
                <w:sz w:val="14"/>
                <w:szCs w:val="14"/>
                <w:color w:val="auto"/>
              </w:rPr>
            </w:pPr>
          </w:p>
        </w:tc>
        <w:tc>
          <w:tcPr>
            <w:tcW w:w="21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to the Knowledge of the</w:t>
            </w:r>
          </w:p>
        </w:tc>
        <w:tc>
          <w:tcPr>
            <w:tcW w:w="1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Seller,  all</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facilities  leased</w:t>
            </w:r>
          </w:p>
        </w:tc>
      </w:tr>
      <w:tr>
        <w:trPr>
          <w:trHeight w:val="170"/>
        </w:trPr>
        <w:tc>
          <w:tcPr>
            <w:tcW w:w="2020" w:type="dxa"/>
            <w:vAlign w:val="bottom"/>
            <w:gridSpan w:val="2"/>
          </w:tcPr>
          <w:p>
            <w:pPr>
              <w:spacing w:after="0"/>
              <w:rPr>
                <w:sz w:val="20"/>
                <w:szCs w:val="20"/>
                <w:color w:val="auto"/>
              </w:rPr>
            </w:pPr>
            <w:r>
              <w:rPr>
                <w:rFonts w:ascii="Courier New" w:cs="Courier New" w:eastAsia="Courier New" w:hAnsi="Courier New"/>
                <w:sz w:val="15"/>
                <w:szCs w:val="15"/>
                <w:color w:val="auto"/>
                <w:w w:val="96"/>
              </w:rPr>
              <w:t>or subleased thereunder</w:t>
            </w:r>
          </w:p>
        </w:tc>
        <w:tc>
          <w:tcPr>
            <w:tcW w:w="4060" w:type="dxa"/>
            <w:vAlign w:val="bottom"/>
            <w:gridSpan w:val="7"/>
          </w:tcPr>
          <w:p>
            <w:pPr>
              <w:ind w:left="80"/>
              <w:spacing w:after="0"/>
              <w:rPr>
                <w:sz w:val="20"/>
                <w:szCs w:val="20"/>
                <w:color w:val="auto"/>
              </w:rPr>
            </w:pPr>
            <w:r>
              <w:rPr>
                <w:rFonts w:ascii="Courier New" w:cs="Courier New" w:eastAsia="Courier New" w:hAnsi="Courier New"/>
                <w:sz w:val="15"/>
                <w:szCs w:val="15"/>
                <w:color w:val="auto"/>
              </w:rPr>
              <w:t>have received all approvals of governmental</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authorities</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(including</w:t>
            </w:r>
          </w:p>
        </w:tc>
        <w:tc>
          <w:tcPr>
            <w:tcW w:w="20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licenses  and permits)</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required in</w:t>
            </w:r>
          </w:p>
        </w:tc>
        <w:tc>
          <w:tcPr>
            <w:tcW w:w="1900" w:type="dxa"/>
            <w:vAlign w:val="bottom"/>
            <w:gridSpan w:val="3"/>
          </w:tcPr>
          <w:p>
            <w:pPr>
              <w:ind w:left="120"/>
              <w:spacing w:after="0"/>
              <w:rPr>
                <w:sz w:val="20"/>
                <w:szCs w:val="20"/>
                <w:color w:val="auto"/>
              </w:rPr>
            </w:pPr>
            <w:r>
              <w:rPr>
                <w:rFonts w:ascii="Courier New" w:cs="Courier New" w:eastAsia="Courier New" w:hAnsi="Courier New"/>
                <w:sz w:val="15"/>
                <w:szCs w:val="15"/>
                <w:color w:val="auto"/>
                <w:w w:val="97"/>
              </w:rPr>
              <w:t>connection  with the</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operation</w:t>
            </w:r>
          </w:p>
        </w:tc>
      </w:tr>
      <w:tr>
        <w:trPr>
          <w:trHeight w:val="170"/>
        </w:trPr>
        <w:tc>
          <w:tcPr>
            <w:tcW w:w="2020" w:type="dxa"/>
            <w:vAlign w:val="bottom"/>
            <w:gridSpan w:val="2"/>
          </w:tcPr>
          <w:p>
            <w:pPr>
              <w:spacing w:after="0"/>
              <w:rPr>
                <w:sz w:val="20"/>
                <w:szCs w:val="20"/>
                <w:color w:val="auto"/>
              </w:rPr>
            </w:pPr>
            <w:r>
              <w:rPr>
                <w:rFonts w:ascii="Courier New" w:cs="Courier New" w:eastAsia="Courier New" w:hAnsi="Courier New"/>
                <w:sz w:val="15"/>
                <w:szCs w:val="15"/>
                <w:color w:val="auto"/>
              </w:rPr>
              <w:t>thereof and have been</w:t>
            </w:r>
          </w:p>
        </w:tc>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w w:val="96"/>
              </w:rPr>
              <w:t>operated and</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maintained</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in</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accordance</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with</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applicable</w:t>
            </w:r>
          </w:p>
        </w:tc>
      </w:tr>
      <w:tr>
        <w:trPr>
          <w:trHeight w:val="170"/>
        </w:trPr>
        <w:tc>
          <w:tcPr>
            <w:tcW w:w="2540" w:type="dxa"/>
            <w:vAlign w:val="bottom"/>
            <w:gridSpan w:val="3"/>
          </w:tcPr>
          <w:p>
            <w:pPr>
              <w:spacing w:after="0"/>
              <w:rPr>
                <w:sz w:val="20"/>
                <w:szCs w:val="20"/>
                <w:color w:val="auto"/>
              </w:rPr>
            </w:pPr>
            <w:r>
              <w:rPr>
                <w:rFonts w:ascii="Courier New" w:cs="Courier New" w:eastAsia="Courier New" w:hAnsi="Courier New"/>
                <w:sz w:val="15"/>
                <w:szCs w:val="15"/>
                <w:color w:val="auto"/>
                <w:w w:val="96"/>
              </w:rPr>
              <w:t>laws, rules, and regulations;</w:t>
            </w: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(ix)</w:t>
            </w:r>
          </w:p>
        </w:tc>
        <w:tc>
          <w:tcPr>
            <w:tcW w:w="102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all</w:t>
            </w:r>
          </w:p>
        </w:tc>
        <w:tc>
          <w:tcPr>
            <w:tcW w:w="16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facilities  leased</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w w:val="88"/>
              </w:rPr>
              <w:t>or</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subleased</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thereunder  are</w:t>
            </w:r>
          </w:p>
        </w:tc>
      </w:tr>
      <w:tr>
        <w:trPr>
          <w:trHeight w:val="170"/>
        </w:trPr>
        <w:tc>
          <w:tcPr>
            <w:tcW w:w="2020" w:type="dxa"/>
            <w:vAlign w:val="bottom"/>
            <w:gridSpan w:val="2"/>
          </w:tcPr>
          <w:p>
            <w:pPr>
              <w:spacing w:after="0"/>
              <w:rPr>
                <w:sz w:val="20"/>
                <w:szCs w:val="20"/>
                <w:color w:val="auto"/>
              </w:rPr>
            </w:pPr>
            <w:r>
              <w:rPr>
                <w:rFonts w:ascii="Courier New" w:cs="Courier New" w:eastAsia="Courier New" w:hAnsi="Courier New"/>
                <w:sz w:val="15"/>
                <w:szCs w:val="15"/>
                <w:color w:val="auto"/>
                <w:w w:val="96"/>
              </w:rPr>
              <w:t>supplied with utilities</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and other</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services</w:t>
            </w:r>
          </w:p>
        </w:tc>
        <w:tc>
          <w:tcPr>
            <w:tcW w:w="308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7"/>
              </w:rPr>
              <w:t>necessary for the operation of said</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facilities</w:t>
            </w:r>
          </w:p>
        </w:tc>
        <w:tc>
          <w:tcPr>
            <w:tcW w:w="6040" w:type="dxa"/>
            <w:vAlign w:val="bottom"/>
            <w:gridSpan w:val="9"/>
          </w:tcPr>
          <w:p>
            <w:pPr>
              <w:jc w:val="right"/>
              <w:spacing w:after="0"/>
              <w:rPr>
                <w:sz w:val="20"/>
                <w:szCs w:val="20"/>
                <w:color w:val="auto"/>
              </w:rPr>
            </w:pPr>
            <w:r>
              <w:rPr>
                <w:rFonts w:ascii="Courier New" w:cs="Courier New" w:eastAsia="Courier New" w:hAnsi="Courier New"/>
                <w:sz w:val="15"/>
                <w:szCs w:val="15"/>
                <w:color w:val="auto"/>
                <w:w w:val="98"/>
              </w:rPr>
              <w:t>in the manner and for the purposes they have been used by the Seller</w:t>
            </w:r>
          </w:p>
        </w:tc>
      </w:tr>
      <w:tr>
        <w:trPr>
          <w:trHeight w:val="170"/>
        </w:trPr>
        <w:tc>
          <w:tcPr>
            <w:tcW w:w="3080" w:type="dxa"/>
            <w:vAlign w:val="bottom"/>
            <w:gridSpan w:val="4"/>
          </w:tcPr>
          <w:p>
            <w:pPr>
              <w:spacing w:after="0"/>
              <w:rPr>
                <w:sz w:val="20"/>
                <w:szCs w:val="20"/>
                <w:color w:val="auto"/>
              </w:rPr>
            </w:pPr>
            <w:r>
              <w:rPr>
                <w:rFonts w:ascii="Courier New" w:cs="Courier New" w:eastAsia="Courier New" w:hAnsi="Courier New"/>
                <w:sz w:val="15"/>
                <w:szCs w:val="15"/>
                <w:color w:val="auto"/>
                <w:w w:val="97"/>
              </w:rPr>
              <w:t>in its Ordinary Course of Business.</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3.1.13 Intellectual Property.</w:t>
      </w:r>
    </w:p>
    <w:p>
      <w:pPr>
        <w:spacing w:after="0" w:line="175" w:lineRule="exact"/>
        <w:rPr>
          <w:sz w:val="20"/>
          <w:szCs w:val="20"/>
          <w:color w:val="auto"/>
        </w:rPr>
      </w:pPr>
    </w:p>
    <w:p>
      <w:pPr>
        <w:jc w:val="both"/>
        <w:ind w:right="3179" w:firstLine="784"/>
        <w:spacing w:after="0" w:line="238" w:lineRule="auto"/>
        <w:tabs>
          <w:tab w:leader="none" w:pos="1146"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Seller owns or has the right to use pursuant to license, sublicense, agreement, or permission all Intellectual Property necessary or desirable for the operation of the businesses of the Seller as presently conducted and as presently proposed to be conducted. Each item of Intellectual Property owned or used by any of the Seller immediately prior to the Closing hereunder will be owned or available for use by the Buyer on identical terms and conditions immediately subsequent to the Closing hereunder. The Seller has taken all reasonably necessary and desirable actions to maintain and protect each item of Intellectual Property that it owns or uses.</w:t>
      </w:r>
    </w:p>
    <w:p>
      <w:pPr>
        <w:spacing w:after="0" w:line="342"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E-13</w:t>
      </w:r>
    </w:p>
    <w:p>
      <w:pPr>
        <w:sectPr>
          <w:pgSz w:w="11900" w:h="16838" w:orient="portrait"/>
          <w:cols w:equalWidth="0" w:num="1">
            <w:col w:w="10219"/>
          </w:cols>
          <w:pgMar w:left="240" w:top="627" w:right="1440" w:bottom="1440" w:gutter="0" w:footer="0" w:header="0"/>
        </w:sectPr>
      </w:pPr>
    </w:p>
    <w:bookmarkStart w:id="38" w:name="page39"/>
    <w:bookmarkEnd w:id="38"/>
    <w:p>
      <w:pPr>
        <w:jc w:val="both"/>
        <w:ind w:right="3179" w:firstLine="784"/>
        <w:spacing w:after="0" w:line="257" w:lineRule="auto"/>
        <w:tabs>
          <w:tab w:leader="none" w:pos="1146"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the Seller, the Seller has not interfered with, infringed upon, misappropriated, or otherwise come into conflict with any Intellectual Property rights of third parties, and to the Seller, none of the Principal Shareholders and the directors and officers (and employees with responsibility for Intellectual Property matters) of the Seller has ever received any charge, complaint, claim, demand, or notice alleging any such interference, infringement, misappropriation, or violation (including any claim that any of the Seller must license or refrain from using any Intellectual Property rights of any third party). To the Knowledge of the Seller, no third party has interfered with, infringed upon, misappropriated, or otherwise come into conflict with any Intellectual Property rights of the Seller.</w:t>
      </w:r>
    </w:p>
    <w:p>
      <w:pPr>
        <w:spacing w:after="0" w:line="165" w:lineRule="exact"/>
        <w:rPr>
          <w:rFonts w:ascii="Courier New" w:cs="Courier New" w:eastAsia="Courier New" w:hAnsi="Courier New"/>
          <w:sz w:val="14"/>
          <w:szCs w:val="14"/>
          <w:color w:val="auto"/>
        </w:rPr>
      </w:pPr>
    </w:p>
    <w:p>
      <w:pPr>
        <w:jc w:val="both"/>
        <w:ind w:right="3179" w:firstLine="784"/>
        <w:spacing w:after="0" w:line="257" w:lineRule="auto"/>
        <w:tabs>
          <w:tab w:leader="none" w:pos="1146"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3(m)(iii) of the Disclosure Schedule identifies each patent or registration which has been issued to the Seller with respect to any of its Intellectual Property, identifies each pending patent application or application for registration which the Seller has made with respect to any of its Intellectual Property, and identifies each license, agreement, or other permission which the Seller has granted to any third party with respect to any of its Intellectual Property (together with any exceptions). The Seller has delivered to the Buyer correct and complete copies of all such patents, registrations, applications, licenses, agreements, and permissions (as amended to date) and has made available to the Buyer correct and complete copies of all other written documentation evidencing ownership and prosecution (if applicable) of each such item. Section 3(m)(iii) of the Disclosure Schedule also identifies each trade name or unregistered trademark used by the Seller in connection with any of its businesses. With respect to each item of Intellectual Property required to be identified in Section 3(m)(iii) of the Disclosure Schedule:</w:t>
      </w:r>
    </w:p>
    <w:p>
      <w:pPr>
        <w:sectPr>
          <w:pgSz w:w="11900" w:h="16838" w:orient="portrait"/>
          <w:cols w:equalWidth="0" w:num="1">
            <w:col w:w="10219"/>
          </w:cols>
          <w:pgMar w:left="240" w:top="797" w:right="1440" w:bottom="1440" w:gutter="0" w:footer="0" w:header="0"/>
        </w:sectPr>
      </w:pP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w:t>
      </w:r>
    </w:p>
    <w:p>
      <w:pPr>
        <w:spacing w:after="0" w:line="5" w:lineRule="exact"/>
        <w:rPr>
          <w:sz w:val="20"/>
          <w:szCs w:val="20"/>
          <w:color w:val="auto"/>
        </w:rPr>
      </w:pPr>
    </w:p>
    <w:p>
      <w:pPr>
        <w:spacing w:after="0" w:line="256" w:lineRule="auto"/>
        <w:rPr>
          <w:sz w:val="20"/>
          <w:szCs w:val="20"/>
          <w:color w:val="auto"/>
        </w:rPr>
      </w:pPr>
      <w:r>
        <w:rPr>
          <w:rFonts w:ascii="Courier New" w:cs="Courier New" w:eastAsia="Courier New" w:hAnsi="Courier New"/>
          <w:sz w:val="14"/>
          <w:szCs w:val="14"/>
          <w:color w:val="auto"/>
        </w:rPr>
        <w:t>and to the item, restriction;</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right="3179" w:firstLine="529"/>
        <w:spacing w:after="0" w:line="235" w:lineRule="auto"/>
        <w:rPr>
          <w:sz w:val="20"/>
          <w:szCs w:val="20"/>
          <w:color w:val="auto"/>
        </w:rPr>
      </w:pPr>
      <w:r>
        <w:rPr>
          <w:rFonts w:ascii="Courier New" w:cs="Courier New" w:eastAsia="Courier New" w:hAnsi="Courier New"/>
          <w:sz w:val="15"/>
          <w:szCs w:val="15"/>
          <w:color w:val="auto"/>
        </w:rPr>
        <w:t>the Seller possesses all right, title, and interest in free and clear of any Security Interest, license, or other</w:t>
      </w:r>
    </w:p>
    <w:p>
      <w:pPr>
        <w:spacing w:after="0" w:line="176" w:lineRule="exact"/>
        <w:rPr>
          <w:sz w:val="20"/>
          <w:szCs w:val="20"/>
          <w:color w:val="auto"/>
        </w:rPr>
      </w:pPr>
    </w:p>
    <w:p>
      <w:pPr>
        <w:sectPr>
          <w:pgSz w:w="11900" w:h="16838" w:orient="portrait"/>
          <w:cols w:equalWidth="0" w:num="2">
            <w:col w:w="1400" w:space="180"/>
            <w:col w:w="8639"/>
          </w:cols>
          <w:pgMar w:left="240" w:top="797" w:right="1440" w:bottom="1440" w:gutter="0" w:footer="0" w:header="0"/>
          <w:type w:val="continuous"/>
        </w:sectPr>
      </w:pPr>
    </w:p>
    <w:tbl>
      <w:tblPr>
        <w:tblLayout w:type="fixed"/>
        <w:tblInd w:w="0" w:type="dxa"/>
        <w:tblCellMar>
          <w:top w:w="0" w:type="dxa"/>
          <w:left w:w="0" w:type="dxa"/>
          <w:bottom w:w="0" w:type="dxa"/>
          <w:right w:w="0" w:type="dxa"/>
        </w:tblCellMar>
      </w:tblPr>
      <w:tr>
        <w:trPr>
          <w:trHeight w:val="165"/>
        </w:trPr>
        <w:tc>
          <w:tcPr>
            <w:tcW w:w="660" w:type="dxa"/>
            <w:vAlign w:val="bottom"/>
          </w:tcPr>
          <w:p>
            <w:pPr>
              <w:spacing w:after="0" w:line="165" w:lineRule="exact"/>
              <w:rPr>
                <w:sz w:val="20"/>
                <w:szCs w:val="20"/>
                <w:color w:val="auto"/>
              </w:rPr>
            </w:pPr>
            <w:r>
              <w:rPr>
                <w:rFonts w:ascii="Courier New" w:cs="Courier New" w:eastAsia="Courier New" w:hAnsi="Courier New"/>
                <w:sz w:val="15"/>
                <w:szCs w:val="15"/>
                <w:color w:val="auto"/>
              </w:rPr>
              <w:t>(ii)</w:t>
            </w:r>
          </w:p>
        </w:tc>
        <w:tc>
          <w:tcPr>
            <w:tcW w:w="1760" w:type="dxa"/>
            <w:vAlign w:val="bottom"/>
          </w:tcPr>
          <w:p>
            <w:pPr>
              <w:jc w:val="right"/>
              <w:spacing w:after="0" w:line="165" w:lineRule="exact"/>
              <w:rPr>
                <w:sz w:val="20"/>
                <w:szCs w:val="20"/>
                <w:color w:val="auto"/>
              </w:rPr>
            </w:pPr>
            <w:r>
              <w:rPr>
                <w:rFonts w:ascii="Courier New" w:cs="Courier New" w:eastAsia="Courier New" w:hAnsi="Courier New"/>
                <w:sz w:val="15"/>
                <w:szCs w:val="15"/>
                <w:color w:val="auto"/>
              </w:rPr>
              <w:t>the</w:t>
            </w:r>
          </w:p>
        </w:tc>
        <w:tc>
          <w:tcPr>
            <w:tcW w:w="560" w:type="dxa"/>
            <w:vAlign w:val="bottom"/>
          </w:tcPr>
          <w:p>
            <w:pPr>
              <w:jc w:val="right"/>
              <w:ind w:right="87"/>
              <w:spacing w:after="0" w:line="165" w:lineRule="exact"/>
              <w:rPr>
                <w:sz w:val="20"/>
                <w:szCs w:val="20"/>
                <w:color w:val="auto"/>
              </w:rPr>
            </w:pPr>
            <w:r>
              <w:rPr>
                <w:rFonts w:ascii="Courier New" w:cs="Courier New" w:eastAsia="Courier New" w:hAnsi="Courier New"/>
                <w:sz w:val="15"/>
                <w:szCs w:val="15"/>
                <w:color w:val="auto"/>
              </w:rPr>
              <w:t>item</w:t>
            </w:r>
          </w:p>
        </w:tc>
        <w:tc>
          <w:tcPr>
            <w:tcW w:w="360" w:type="dxa"/>
            <w:vAlign w:val="bottom"/>
          </w:tcPr>
          <w:p>
            <w:pPr>
              <w:jc w:val="right"/>
              <w:ind w:right="107"/>
              <w:spacing w:after="0" w:line="165" w:lineRule="exact"/>
              <w:rPr>
                <w:sz w:val="20"/>
                <w:szCs w:val="20"/>
                <w:color w:val="auto"/>
              </w:rPr>
            </w:pPr>
            <w:r>
              <w:rPr>
                <w:rFonts w:ascii="Courier New" w:cs="Courier New" w:eastAsia="Courier New" w:hAnsi="Courier New"/>
                <w:sz w:val="15"/>
                <w:szCs w:val="15"/>
                <w:color w:val="auto"/>
                <w:w w:val="88"/>
              </w:rPr>
              <w:t>is</w:t>
            </w:r>
          </w:p>
        </w:tc>
        <w:tc>
          <w:tcPr>
            <w:tcW w:w="3700" w:type="dxa"/>
            <w:vAlign w:val="bottom"/>
            <w:gridSpan w:val="5"/>
          </w:tcPr>
          <w:p>
            <w:pPr>
              <w:jc w:val="right"/>
              <w:spacing w:after="0" w:line="165" w:lineRule="exact"/>
              <w:rPr>
                <w:sz w:val="20"/>
                <w:szCs w:val="20"/>
                <w:color w:val="auto"/>
              </w:rPr>
            </w:pPr>
            <w:r>
              <w:rPr>
                <w:rFonts w:ascii="Courier New" w:cs="Courier New" w:eastAsia="Courier New" w:hAnsi="Courier New"/>
                <w:sz w:val="15"/>
                <w:szCs w:val="15"/>
                <w:color w:val="auto"/>
                <w:w w:val="97"/>
              </w:rPr>
              <w:t>not subject to any outstanding injunction,</w:t>
            </w:r>
          </w:p>
        </w:tc>
      </w:tr>
      <w:tr>
        <w:trPr>
          <w:trHeight w:val="170"/>
        </w:trPr>
        <w:tc>
          <w:tcPr>
            <w:tcW w:w="4760" w:type="dxa"/>
            <w:vAlign w:val="bottom"/>
            <w:gridSpan w:val="6"/>
          </w:tcPr>
          <w:p>
            <w:pPr>
              <w:spacing w:after="0"/>
              <w:rPr>
                <w:sz w:val="20"/>
                <w:szCs w:val="20"/>
                <w:color w:val="auto"/>
              </w:rPr>
            </w:pPr>
            <w:r>
              <w:rPr>
                <w:rFonts w:ascii="Courier New" w:cs="Courier New" w:eastAsia="Courier New" w:hAnsi="Courier New"/>
                <w:sz w:val="15"/>
                <w:szCs w:val="15"/>
                <w:color w:val="auto"/>
              </w:rPr>
              <w:t>judgment,  order, decree, ruling, or charge;</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(iii)</w:t>
            </w:r>
          </w:p>
        </w:tc>
        <w:tc>
          <w:tcPr>
            <w:tcW w:w="2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 action,</w:t>
            </w:r>
          </w:p>
        </w:tc>
        <w:tc>
          <w:tcPr>
            <w:tcW w:w="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suit,</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w w:val="96"/>
              </w:rPr>
              <w:t>proceeding,</w:t>
            </w:r>
          </w:p>
        </w:tc>
        <w:tc>
          <w:tcPr>
            <w:tcW w:w="22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hearing,  investigation,</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charge,</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complaint,  claim,</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or demand</w:t>
            </w:r>
          </w:p>
        </w:tc>
        <w:tc>
          <w:tcPr>
            <w:tcW w:w="14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is pending  or,</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to the</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Knowledge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of the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Seller,</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w w:val="99"/>
              </w:rPr>
              <w:t>is threatened which</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challenges</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the</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legality,</w:t>
            </w:r>
          </w:p>
        </w:tc>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validity,</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enforceability,</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use, or</w:t>
            </w:r>
          </w:p>
        </w:tc>
        <w:tc>
          <w:tcPr>
            <w:tcW w:w="23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ownership of the item; and</w:t>
            </w: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(iv)</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Seller has</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not</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w w:val="96"/>
              </w:rPr>
              <w:t>ever agreed</w:t>
            </w:r>
          </w:p>
        </w:tc>
        <w:tc>
          <w:tcPr>
            <w:tcW w:w="16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to indemnify  any</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Person</w:t>
            </w:r>
          </w:p>
        </w:tc>
      </w:tr>
    </w:tbl>
    <w:p>
      <w:pPr>
        <w:spacing w:after="0" w:line="5"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for or against any interference, infringement, misappropriation, or other conflict with respect to the item.</w:t>
      </w:r>
    </w:p>
    <w:p>
      <w:pPr>
        <w:spacing w:after="0" w:line="176" w:lineRule="exact"/>
        <w:rPr>
          <w:sz w:val="20"/>
          <w:szCs w:val="20"/>
          <w:color w:val="auto"/>
        </w:rPr>
      </w:pPr>
    </w:p>
    <w:p>
      <w:pPr>
        <w:jc w:val="both"/>
        <w:ind w:right="3179" w:firstLine="784"/>
        <w:spacing w:after="0" w:line="238" w:lineRule="auto"/>
        <w:tabs>
          <w:tab w:leader="none" w:pos="1146"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3(m)(iv) of the Disclosure Schedule identifies each item of Intellectual Property that any third party owns and that the Seller uses pursuant to license, sublicense, agreement, or permission. The Seller has delivered to the Buyer correct and complete copies of all such licenses, sublicenses, agreements, and permissions (as amended to date). With respect to each item of Intellectual Property required to be identified in Section 3(m)(iv) of the Disclosure Schedule:</w:t>
      </w:r>
    </w:p>
    <w:p>
      <w:pPr>
        <w:spacing w:after="0" w:line="177" w:lineRule="exact"/>
        <w:rPr>
          <w:sz w:val="20"/>
          <w:szCs w:val="20"/>
          <w:color w:val="auto"/>
        </w:rPr>
      </w:pPr>
    </w:p>
    <w:p>
      <w:pPr>
        <w:jc w:val="both"/>
        <w:ind w:right="3179" w:firstLine="2115"/>
        <w:spacing w:after="0" w:line="237" w:lineRule="auto"/>
        <w:rPr>
          <w:sz w:val="20"/>
          <w:szCs w:val="20"/>
          <w:color w:val="auto"/>
        </w:rPr>
      </w:pPr>
      <w:r>
        <w:rPr>
          <w:rFonts w:ascii="Courier New" w:cs="Courier New" w:eastAsia="Courier New" w:hAnsi="Courier New"/>
          <w:sz w:val="15"/>
          <w:szCs w:val="15"/>
          <w:color w:val="auto"/>
        </w:rPr>
        <w:t>the license, sublicense, agreement, or permission covering the item is legal, valid, binding, enforceable, and in full force and effect;</w:t>
      </w:r>
    </w:p>
    <w:p>
      <w:pPr>
        <w:spacing w:after="0" w:line="3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E-14</w:t>
      </w:r>
    </w:p>
    <w:p>
      <w:pPr>
        <w:sectPr>
          <w:pgSz w:w="11900" w:h="16838" w:orient="portrait"/>
          <w:cols w:equalWidth="0" w:num="1">
            <w:col w:w="10219"/>
          </w:cols>
          <w:pgMar w:left="240" w:top="797" w:right="1440"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(ii)</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6"/>
              </w:rPr>
              <w:t>provided  that</w:t>
            </w:r>
          </w:p>
        </w:tc>
        <w:tc>
          <w:tcPr>
            <w:tcW w:w="370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consent for assignment has been obtained</w:t>
            </w:r>
          </w:p>
        </w:tc>
      </w:tr>
      <w:tr>
        <w:trPr>
          <w:trHeight w:val="170"/>
        </w:trPr>
        <w:tc>
          <w:tcPr>
            <w:tcW w:w="1760" w:type="dxa"/>
            <w:vAlign w:val="bottom"/>
            <w:gridSpan w:val="4"/>
          </w:tcPr>
          <w:p>
            <w:pPr>
              <w:spacing w:after="0"/>
              <w:rPr>
                <w:sz w:val="20"/>
                <w:szCs w:val="20"/>
                <w:color w:val="auto"/>
              </w:rPr>
            </w:pPr>
            <w:r>
              <w:rPr>
                <w:rFonts w:ascii="Courier New" w:cs="Courier New" w:eastAsia="Courier New" w:hAnsi="Courier New"/>
                <w:sz w:val="15"/>
                <w:szCs w:val="15"/>
                <w:color w:val="auto"/>
                <w:w w:val="96"/>
              </w:rPr>
              <w:t>by Seller and Buyer,</w:t>
            </w:r>
          </w:p>
        </w:tc>
        <w:tc>
          <w:tcPr>
            <w:tcW w:w="140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the license,</w:t>
            </w:r>
          </w:p>
        </w:tc>
        <w:tc>
          <w:tcPr>
            <w:tcW w:w="1140" w:type="dxa"/>
            <w:vAlign w:val="bottom"/>
            <w:gridSpan w:val="3"/>
          </w:tcPr>
          <w:p>
            <w:pPr>
              <w:spacing w:after="0"/>
              <w:rPr>
                <w:sz w:val="20"/>
                <w:szCs w:val="20"/>
                <w:color w:val="auto"/>
              </w:rPr>
            </w:pPr>
            <w:r>
              <w:rPr>
                <w:rFonts w:ascii="Courier New" w:cs="Courier New" w:eastAsia="Courier New" w:hAnsi="Courier New"/>
                <w:sz w:val="15"/>
                <w:szCs w:val="15"/>
                <w:color w:val="auto"/>
              </w:rPr>
              <w:t>sublicense,</w:t>
            </w:r>
          </w:p>
        </w:tc>
        <w:tc>
          <w:tcPr>
            <w:tcW w:w="940" w:type="dxa"/>
            <w:vAlign w:val="bottom"/>
            <w:gridSpan w:val="3"/>
          </w:tcPr>
          <w:p>
            <w:pPr>
              <w:spacing w:after="0"/>
              <w:rPr>
                <w:sz w:val="20"/>
                <w:szCs w:val="20"/>
                <w:color w:val="auto"/>
              </w:rPr>
            </w:pPr>
            <w:r>
              <w:rPr>
                <w:rFonts w:ascii="Courier New" w:cs="Courier New" w:eastAsia="Courier New" w:hAnsi="Courier New"/>
                <w:sz w:val="15"/>
                <w:szCs w:val="15"/>
                <w:color w:val="auto"/>
              </w:rPr>
              <w:t>agreement,</w:t>
            </w:r>
          </w:p>
        </w:tc>
        <w:tc>
          <w:tcPr>
            <w:tcW w:w="12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or permission</w:t>
            </w:r>
          </w:p>
        </w:tc>
        <w:tc>
          <w:tcPr>
            <w:tcW w:w="1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will</w:t>
            </w:r>
          </w:p>
        </w:tc>
      </w:tr>
      <w:tr>
        <w:trPr>
          <w:trHeight w:val="170"/>
        </w:trPr>
        <w:tc>
          <w:tcPr>
            <w:tcW w:w="2460" w:type="dxa"/>
            <w:vAlign w:val="bottom"/>
            <w:gridSpan w:val="6"/>
          </w:tcPr>
          <w:p>
            <w:pPr>
              <w:spacing w:after="0"/>
              <w:rPr>
                <w:sz w:val="20"/>
                <w:szCs w:val="20"/>
                <w:color w:val="auto"/>
              </w:rPr>
            </w:pPr>
            <w:r>
              <w:rPr>
                <w:rFonts w:ascii="Courier New" w:cs="Courier New" w:eastAsia="Courier New" w:hAnsi="Courier New"/>
                <w:sz w:val="15"/>
                <w:szCs w:val="15"/>
                <w:color w:val="auto"/>
                <w:w w:val="96"/>
              </w:rPr>
              <w:t>continue to be legal, valid,</w:t>
            </w:r>
          </w:p>
        </w:tc>
        <w:tc>
          <w:tcPr>
            <w:tcW w:w="8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binding,</w:t>
            </w:r>
          </w:p>
        </w:tc>
        <w:tc>
          <w:tcPr>
            <w:tcW w:w="3700" w:type="dxa"/>
            <w:vAlign w:val="bottom"/>
            <w:gridSpan w:val="10"/>
          </w:tcPr>
          <w:p>
            <w:pPr>
              <w:jc w:val="right"/>
              <w:spacing w:after="0"/>
              <w:rPr>
                <w:sz w:val="20"/>
                <w:szCs w:val="20"/>
                <w:color w:val="auto"/>
              </w:rPr>
            </w:pPr>
            <w:r>
              <w:rPr>
                <w:rFonts w:ascii="Courier New" w:cs="Courier New" w:eastAsia="Courier New" w:hAnsi="Courier New"/>
                <w:sz w:val="15"/>
                <w:szCs w:val="15"/>
                <w:color w:val="auto"/>
                <w:w w:val="99"/>
              </w:rPr>
              <w:t>enforceable, and in full force and effect</w:t>
            </w:r>
          </w:p>
        </w:tc>
      </w:tr>
      <w:tr>
        <w:trPr>
          <w:trHeight w:val="170"/>
        </w:trPr>
        <w:tc>
          <w:tcPr>
            <w:tcW w:w="2460" w:type="dxa"/>
            <w:vAlign w:val="bottom"/>
            <w:gridSpan w:val="6"/>
          </w:tcPr>
          <w:p>
            <w:pPr>
              <w:spacing w:after="0"/>
              <w:rPr>
                <w:sz w:val="20"/>
                <w:szCs w:val="20"/>
                <w:color w:val="auto"/>
              </w:rPr>
            </w:pPr>
            <w:r>
              <w:rPr>
                <w:rFonts w:ascii="Courier New" w:cs="Courier New" w:eastAsia="Courier New" w:hAnsi="Courier New"/>
                <w:sz w:val="15"/>
                <w:szCs w:val="15"/>
                <w:color w:val="auto"/>
                <w:w w:val="96"/>
              </w:rPr>
              <w:t>on identical terms following</w:t>
            </w:r>
          </w:p>
        </w:tc>
        <w:tc>
          <w:tcPr>
            <w:tcW w:w="2300" w:type="dxa"/>
            <w:vAlign w:val="bottom"/>
            <w:gridSpan w:val="6"/>
          </w:tcPr>
          <w:p>
            <w:pPr>
              <w:ind w:left="80"/>
              <w:spacing w:after="0"/>
              <w:rPr>
                <w:sz w:val="20"/>
                <w:szCs w:val="20"/>
                <w:color w:val="auto"/>
              </w:rPr>
            </w:pPr>
            <w:r>
              <w:rPr>
                <w:rFonts w:ascii="Courier New" w:cs="Courier New" w:eastAsia="Courier New" w:hAnsi="Courier New"/>
                <w:sz w:val="15"/>
                <w:szCs w:val="15"/>
                <w:color w:val="auto"/>
              </w:rPr>
              <w:t>the consummation of the</w:t>
            </w:r>
          </w:p>
        </w:tc>
        <w:tc>
          <w:tcPr>
            <w:tcW w:w="10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4"/>
              </w:rPr>
              <w:t>transactions</w:t>
            </w:r>
          </w:p>
        </w:tc>
        <w:tc>
          <w:tcPr>
            <w:tcW w:w="12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contemplated</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hereby</w:t>
            </w:r>
          </w:p>
        </w:tc>
        <w:tc>
          <w:tcPr>
            <w:tcW w:w="11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(including</w:t>
            </w:r>
          </w:p>
        </w:tc>
        <w:tc>
          <w:tcPr>
            <w:tcW w:w="30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11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4"/>
              </w:rPr>
              <w:t>assignments</w:t>
            </w:r>
          </w:p>
        </w:tc>
        <w:tc>
          <w:tcPr>
            <w:tcW w:w="1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and</w:t>
            </w:r>
          </w:p>
        </w:tc>
        <w:tc>
          <w:tcPr>
            <w:tcW w:w="116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6"/>
              </w:rPr>
              <w:t>assumptions</w:t>
            </w:r>
          </w:p>
        </w:tc>
        <w:tc>
          <w:tcPr>
            <w:tcW w:w="22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referred to in Section 2</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above);</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(iii)</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no</w:t>
            </w:r>
          </w:p>
        </w:tc>
        <w:tc>
          <w:tcPr>
            <w:tcW w:w="4580" w:type="dxa"/>
            <w:vAlign w:val="bottom"/>
            <w:gridSpan w:val="12"/>
          </w:tcPr>
          <w:p>
            <w:pPr>
              <w:jc w:val="right"/>
              <w:spacing w:after="0"/>
              <w:rPr>
                <w:sz w:val="20"/>
                <w:szCs w:val="20"/>
                <w:color w:val="auto"/>
              </w:rPr>
            </w:pPr>
            <w:r>
              <w:rPr>
                <w:rFonts w:ascii="Courier New" w:cs="Courier New" w:eastAsia="Courier New" w:hAnsi="Courier New"/>
                <w:sz w:val="15"/>
                <w:szCs w:val="15"/>
                <w:color w:val="auto"/>
                <w:w w:val="97"/>
              </w:rPr>
              <w:t>party  to  the  license, sublicense,  agreement,  or</w:t>
            </w:r>
          </w:p>
        </w:tc>
      </w:tr>
      <w:tr>
        <w:trPr>
          <w:trHeight w:val="170"/>
        </w:trPr>
        <w:tc>
          <w:tcPr>
            <w:tcW w:w="2060" w:type="dxa"/>
            <w:vAlign w:val="bottom"/>
            <w:gridSpan w:val="5"/>
          </w:tcPr>
          <w:p>
            <w:pPr>
              <w:spacing w:after="0"/>
              <w:rPr>
                <w:sz w:val="20"/>
                <w:szCs w:val="20"/>
                <w:color w:val="auto"/>
              </w:rPr>
            </w:pPr>
            <w:r>
              <w:rPr>
                <w:rFonts w:ascii="Courier New" w:cs="Courier New" w:eastAsia="Courier New" w:hAnsi="Courier New"/>
                <w:sz w:val="15"/>
                <w:szCs w:val="15"/>
                <w:color w:val="auto"/>
                <w:w w:val="98"/>
              </w:rPr>
              <w:t>permission is in breach</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or default,</w:t>
            </w:r>
          </w:p>
        </w:tc>
        <w:tc>
          <w:tcPr>
            <w:tcW w:w="3880" w:type="dxa"/>
            <w:vAlign w:val="bottom"/>
            <w:gridSpan w:val="11"/>
          </w:tcPr>
          <w:p>
            <w:pPr>
              <w:jc w:val="right"/>
              <w:spacing w:after="0"/>
              <w:rPr>
                <w:sz w:val="20"/>
                <w:szCs w:val="20"/>
                <w:color w:val="auto"/>
              </w:rPr>
            </w:pPr>
            <w:r>
              <w:rPr>
                <w:rFonts w:ascii="Courier New" w:cs="Courier New" w:eastAsia="Courier New" w:hAnsi="Courier New"/>
                <w:sz w:val="15"/>
                <w:szCs w:val="15"/>
                <w:color w:val="auto"/>
                <w:w w:val="99"/>
              </w:rPr>
              <w:t>and no event has occurred which with notice</w:t>
            </w:r>
          </w:p>
        </w:tc>
      </w:tr>
      <w:tr>
        <w:trPr>
          <w:trHeight w:val="170"/>
        </w:trPr>
        <w:tc>
          <w:tcPr>
            <w:tcW w:w="2060" w:type="dxa"/>
            <w:vAlign w:val="bottom"/>
            <w:gridSpan w:val="5"/>
          </w:tcPr>
          <w:p>
            <w:pPr>
              <w:spacing w:after="0"/>
              <w:rPr>
                <w:sz w:val="20"/>
                <w:szCs w:val="20"/>
                <w:color w:val="auto"/>
              </w:rPr>
            </w:pPr>
            <w:r>
              <w:rPr>
                <w:rFonts w:ascii="Courier New" w:cs="Courier New" w:eastAsia="Courier New" w:hAnsi="Courier New"/>
                <w:sz w:val="15"/>
                <w:szCs w:val="15"/>
                <w:color w:val="auto"/>
              </w:rPr>
              <w:t>or lapse of time would</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constitute</w:t>
            </w:r>
          </w:p>
        </w:tc>
        <w:tc>
          <w:tcPr>
            <w:tcW w:w="1140" w:type="dxa"/>
            <w:vAlign w:val="bottom"/>
            <w:gridSpan w:val="3"/>
          </w:tcPr>
          <w:p>
            <w:pPr>
              <w:spacing w:after="0"/>
              <w:rPr>
                <w:sz w:val="20"/>
                <w:szCs w:val="20"/>
                <w:color w:val="auto"/>
              </w:rPr>
            </w:pPr>
            <w:r>
              <w:rPr>
                <w:rFonts w:ascii="Courier New" w:cs="Courier New" w:eastAsia="Courier New" w:hAnsi="Courier New"/>
                <w:sz w:val="15"/>
                <w:szCs w:val="15"/>
                <w:color w:val="auto"/>
              </w:rPr>
              <w:t>a breach or</w:t>
            </w:r>
          </w:p>
        </w:tc>
        <w:tc>
          <w:tcPr>
            <w:tcW w:w="150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6"/>
              </w:rPr>
              <w:t>default or permit</w:t>
            </w:r>
          </w:p>
        </w:tc>
        <w:tc>
          <w:tcPr>
            <w:tcW w:w="12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termination,</w:t>
            </w:r>
          </w:p>
        </w:tc>
      </w:tr>
      <w:tr>
        <w:trPr>
          <w:trHeight w:val="170"/>
        </w:trPr>
        <w:tc>
          <w:tcPr>
            <w:tcW w:w="1440" w:type="dxa"/>
            <w:vAlign w:val="bottom"/>
            <w:gridSpan w:val="3"/>
          </w:tcPr>
          <w:p>
            <w:pPr>
              <w:spacing w:after="0"/>
              <w:rPr>
                <w:sz w:val="20"/>
                <w:szCs w:val="20"/>
                <w:color w:val="auto"/>
              </w:rPr>
            </w:pPr>
            <w:r>
              <w:rPr>
                <w:rFonts w:ascii="Courier New" w:cs="Courier New" w:eastAsia="Courier New" w:hAnsi="Courier New"/>
                <w:sz w:val="15"/>
                <w:szCs w:val="15"/>
                <w:color w:val="auto"/>
                <w:w w:val="98"/>
              </w:rPr>
              <w:t>modification, or</w:t>
            </w:r>
          </w:p>
        </w:tc>
        <w:tc>
          <w:tcPr>
            <w:tcW w:w="216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acceleration thereunder;</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(iv)</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no</w:t>
            </w: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party to</w:t>
            </w:r>
          </w:p>
        </w:tc>
        <w:tc>
          <w:tcPr>
            <w:tcW w:w="1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the</w:t>
            </w:r>
          </w:p>
        </w:tc>
        <w:tc>
          <w:tcPr>
            <w:tcW w:w="8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4"/>
              </w:rPr>
              <w:t>license,</w:t>
            </w:r>
          </w:p>
        </w:tc>
        <w:tc>
          <w:tcPr>
            <w:tcW w:w="1320" w:type="dxa"/>
            <w:vAlign w:val="bottom"/>
            <w:gridSpan w:val="4"/>
          </w:tcPr>
          <w:p>
            <w:pPr>
              <w:jc w:val="right"/>
              <w:ind w:right="87"/>
              <w:spacing w:after="0"/>
              <w:rPr>
                <w:sz w:val="20"/>
                <w:szCs w:val="20"/>
                <w:color w:val="auto"/>
              </w:rPr>
            </w:pPr>
            <w:r>
              <w:rPr>
                <w:rFonts w:ascii="Courier New" w:cs="Courier New" w:eastAsia="Courier New" w:hAnsi="Courier New"/>
                <w:sz w:val="15"/>
                <w:szCs w:val="15"/>
                <w:color w:val="auto"/>
              </w:rPr>
              <w:t>sublicense,</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agreement,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or</w:t>
            </w:r>
          </w:p>
        </w:tc>
      </w:tr>
      <w:tr>
        <w:trPr>
          <w:trHeight w:val="170"/>
        </w:trPr>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rPr>
              <w:t>permission</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has</w:t>
            </w:r>
          </w:p>
        </w:tc>
        <w:tc>
          <w:tcPr>
            <w:tcW w:w="102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repudiated</w:t>
            </w:r>
          </w:p>
        </w:tc>
        <w:tc>
          <w:tcPr>
            <w:tcW w:w="2020" w:type="dxa"/>
            <w:vAlign w:val="bottom"/>
            <w:gridSpan w:val="5"/>
          </w:tcPr>
          <w:p>
            <w:pPr>
              <w:ind w:left="80"/>
              <w:spacing w:after="0"/>
              <w:rPr>
                <w:sz w:val="20"/>
                <w:szCs w:val="20"/>
                <w:color w:val="auto"/>
              </w:rPr>
            </w:pPr>
            <w:r>
              <w:rPr>
                <w:rFonts w:ascii="Courier New" w:cs="Courier New" w:eastAsia="Courier New" w:hAnsi="Courier New"/>
                <w:sz w:val="15"/>
                <w:szCs w:val="15"/>
                <w:color w:val="auto"/>
                <w:w w:val="96"/>
              </w:rPr>
              <w:t>any provision thereof;</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(v)</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with</w:t>
            </w:r>
          </w:p>
        </w:tc>
        <w:tc>
          <w:tcPr>
            <w:tcW w:w="4580" w:type="dxa"/>
            <w:vAlign w:val="bottom"/>
            <w:gridSpan w:val="12"/>
          </w:tcPr>
          <w:p>
            <w:pPr>
              <w:jc w:val="right"/>
              <w:spacing w:after="0"/>
              <w:rPr>
                <w:sz w:val="20"/>
                <w:szCs w:val="20"/>
                <w:color w:val="auto"/>
              </w:rPr>
            </w:pPr>
            <w:r>
              <w:rPr>
                <w:rFonts w:ascii="Courier New" w:cs="Courier New" w:eastAsia="Courier New" w:hAnsi="Courier New"/>
                <w:sz w:val="15"/>
                <w:szCs w:val="15"/>
                <w:color w:val="auto"/>
                <w:w w:val="99"/>
              </w:rPr>
              <w:t>respect to each sublicense, to the Knowledge of the</w:t>
            </w:r>
          </w:p>
        </w:tc>
      </w:tr>
      <w:tr>
        <w:trPr>
          <w:trHeight w:val="170"/>
        </w:trPr>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w w:val="98"/>
              </w:rPr>
              <w:t>Seller, the</w:t>
            </w:r>
          </w:p>
        </w:tc>
        <w:tc>
          <w:tcPr>
            <w:tcW w:w="14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representations</w:t>
            </w:r>
          </w:p>
        </w:tc>
        <w:tc>
          <w:tcPr>
            <w:tcW w:w="4580" w:type="dxa"/>
            <w:vAlign w:val="bottom"/>
            <w:gridSpan w:val="12"/>
          </w:tcPr>
          <w:p>
            <w:pPr>
              <w:jc w:val="right"/>
              <w:spacing w:after="0"/>
              <w:rPr>
                <w:sz w:val="20"/>
                <w:szCs w:val="20"/>
                <w:color w:val="auto"/>
              </w:rPr>
            </w:pPr>
            <w:r>
              <w:rPr>
                <w:rFonts w:ascii="Courier New" w:cs="Courier New" w:eastAsia="Courier New" w:hAnsi="Courier New"/>
                <w:sz w:val="15"/>
                <w:szCs w:val="15"/>
                <w:color w:val="auto"/>
                <w:w w:val="99"/>
              </w:rPr>
              <w:t>and warranties set forth in subsections (A) through</w:t>
            </w:r>
          </w:p>
        </w:tc>
      </w:tr>
      <w:tr>
        <w:trPr>
          <w:trHeight w:val="170"/>
        </w:trPr>
        <w:tc>
          <w:tcPr>
            <w:tcW w:w="6520" w:type="dxa"/>
            <w:vAlign w:val="bottom"/>
            <w:gridSpan w:val="16"/>
          </w:tcPr>
          <w:p>
            <w:pPr>
              <w:spacing w:after="0"/>
              <w:rPr>
                <w:sz w:val="20"/>
                <w:szCs w:val="20"/>
                <w:color w:val="auto"/>
              </w:rPr>
            </w:pPr>
            <w:r>
              <w:rPr>
                <w:rFonts w:ascii="Courier New" w:cs="Courier New" w:eastAsia="Courier New" w:hAnsi="Courier New"/>
                <w:sz w:val="15"/>
                <w:szCs w:val="15"/>
                <w:color w:val="auto"/>
              </w:rPr>
              <w:t>(D) above are true and correct with respect to the underlying license;</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(vi)</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114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underlying</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item of</w:t>
            </w:r>
          </w:p>
        </w:tc>
        <w:tc>
          <w:tcPr>
            <w:tcW w:w="1200" w:type="dxa"/>
            <w:vAlign w:val="bottom"/>
            <w:gridSpan w:val="4"/>
          </w:tcPr>
          <w:p>
            <w:pPr>
              <w:jc w:val="center"/>
              <w:spacing w:after="0"/>
              <w:rPr>
                <w:sz w:val="20"/>
                <w:szCs w:val="20"/>
                <w:color w:val="auto"/>
              </w:rPr>
            </w:pPr>
            <w:r>
              <w:rPr>
                <w:rFonts w:ascii="Courier New" w:cs="Courier New" w:eastAsia="Courier New" w:hAnsi="Courier New"/>
                <w:sz w:val="15"/>
                <w:szCs w:val="15"/>
                <w:color w:val="auto"/>
                <w:w w:val="98"/>
              </w:rPr>
              <w:t>Intellectual</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Property</w:t>
            </w:r>
          </w:p>
        </w:tc>
        <w:tc>
          <w:tcPr>
            <w:tcW w:w="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2"/>
              </w:rPr>
              <w:t>is not</w:t>
            </w:r>
          </w:p>
        </w:tc>
      </w:tr>
      <w:tr>
        <w:trPr>
          <w:trHeight w:val="170"/>
        </w:trPr>
        <w:tc>
          <w:tcPr>
            <w:tcW w:w="2460" w:type="dxa"/>
            <w:vAlign w:val="bottom"/>
            <w:gridSpan w:val="6"/>
          </w:tcPr>
          <w:p>
            <w:pPr>
              <w:spacing w:after="0"/>
              <w:rPr>
                <w:sz w:val="20"/>
                <w:szCs w:val="20"/>
                <w:color w:val="auto"/>
              </w:rPr>
            </w:pPr>
            <w:r>
              <w:rPr>
                <w:rFonts w:ascii="Courier New" w:cs="Courier New" w:eastAsia="Courier New" w:hAnsi="Courier New"/>
                <w:sz w:val="15"/>
                <w:szCs w:val="15"/>
                <w:color w:val="auto"/>
              </w:rPr>
              <w:t>subject to any outstanding</w:t>
            </w:r>
          </w:p>
        </w:tc>
        <w:tc>
          <w:tcPr>
            <w:tcW w:w="1140" w:type="dxa"/>
            <w:vAlign w:val="bottom"/>
            <w:gridSpan w:val="3"/>
          </w:tcPr>
          <w:p>
            <w:pPr>
              <w:spacing w:after="0"/>
              <w:rPr>
                <w:sz w:val="20"/>
                <w:szCs w:val="20"/>
                <w:color w:val="auto"/>
              </w:rPr>
            </w:pPr>
            <w:r>
              <w:rPr>
                <w:rFonts w:ascii="Courier New" w:cs="Courier New" w:eastAsia="Courier New" w:hAnsi="Courier New"/>
                <w:sz w:val="15"/>
                <w:szCs w:val="15"/>
                <w:color w:val="auto"/>
              </w:rPr>
              <w:t>injunction,</w:t>
            </w:r>
          </w:p>
        </w:tc>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judgment,</w:t>
            </w:r>
          </w:p>
        </w:tc>
        <w:tc>
          <w:tcPr>
            <w:tcW w:w="7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order,</w:t>
            </w:r>
          </w:p>
        </w:tc>
        <w:tc>
          <w:tcPr>
            <w:tcW w:w="14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decree,  ruling,</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or</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charge;</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(vii)</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no action,</w:t>
            </w:r>
          </w:p>
        </w:tc>
        <w:tc>
          <w:tcPr>
            <w:tcW w:w="4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suit,</w:t>
            </w:r>
          </w:p>
        </w:tc>
        <w:tc>
          <w:tcPr>
            <w:tcW w:w="116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6"/>
              </w:rPr>
              <w:t>proceeding,</w:t>
            </w:r>
          </w:p>
        </w:tc>
        <w:tc>
          <w:tcPr>
            <w:tcW w:w="104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rPr>
              <w:t>hearing,</w:t>
            </w:r>
          </w:p>
        </w:tc>
        <w:tc>
          <w:tcPr>
            <w:tcW w:w="12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investigation,</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charge,</w:t>
            </w:r>
          </w:p>
        </w:tc>
        <w:tc>
          <w:tcPr>
            <w:tcW w:w="110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complaint,</w:t>
            </w:r>
          </w:p>
        </w:tc>
        <w:tc>
          <w:tcPr>
            <w:tcW w:w="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claim,</w:t>
            </w:r>
          </w:p>
        </w:tc>
        <w:tc>
          <w:tcPr>
            <w:tcW w:w="184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6"/>
              </w:rPr>
              <w:t>or demand is pending</w:t>
            </w:r>
          </w:p>
        </w:tc>
        <w:tc>
          <w:tcPr>
            <w:tcW w:w="180" w:type="dxa"/>
            <w:vAlign w:val="bottom"/>
          </w:tcPr>
          <w:p>
            <w:pPr>
              <w:spacing w:after="0"/>
              <w:rPr>
                <w:sz w:val="14"/>
                <w:szCs w:val="14"/>
                <w:color w:val="auto"/>
              </w:rPr>
            </w:pPr>
          </w:p>
        </w:tc>
        <w:tc>
          <w:tcPr>
            <w:tcW w:w="1020" w:type="dxa"/>
            <w:vAlign w:val="bottom"/>
            <w:gridSpan w:val="3"/>
          </w:tcPr>
          <w:p>
            <w:pPr>
              <w:jc w:val="center"/>
              <w:ind w:right="67"/>
              <w:spacing w:after="0"/>
              <w:rPr>
                <w:sz w:val="20"/>
                <w:szCs w:val="20"/>
                <w:color w:val="auto"/>
              </w:rPr>
            </w:pPr>
            <w:r>
              <w:rPr>
                <w:rFonts w:ascii="Courier New" w:cs="Courier New" w:eastAsia="Courier New" w:hAnsi="Courier New"/>
                <w:sz w:val="15"/>
                <w:szCs w:val="15"/>
                <w:color w:val="auto"/>
                <w:w w:val="97"/>
              </w:rPr>
              <w:t>or, to the</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Knowledge</w:t>
            </w:r>
          </w:p>
        </w:tc>
        <w:tc>
          <w:tcPr>
            <w:tcW w:w="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2"/>
              </w:rPr>
              <w:t>of the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Seller, is threatened which challenges the legality, validity, or enforceability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underlying item of Intellectual Property; and</w:t>
      </w:r>
    </w:p>
    <w:p>
      <w:pPr>
        <w:spacing w:after="0"/>
        <w:tabs>
          <w:tab w:leader="none" w:pos="2080" w:val="left"/>
          <w:tab w:leader="none" w:pos="2520" w:val="left"/>
          <w:tab w:leader="none" w:pos="3240" w:val="left"/>
          <w:tab w:leader="none" w:pos="3680" w:val="left"/>
          <w:tab w:leader="none" w:pos="4120" w:val="left"/>
        </w:tabs>
        <w:rPr>
          <w:sz w:val="20"/>
          <w:szCs w:val="20"/>
          <w:color w:val="auto"/>
        </w:rPr>
      </w:pPr>
      <w:r>
        <w:rPr>
          <w:rFonts w:ascii="Courier New" w:cs="Courier New" w:eastAsia="Courier New" w:hAnsi="Courier New"/>
          <w:sz w:val="15"/>
          <w:szCs w:val="15"/>
          <w:color w:val="auto"/>
        </w:rPr>
        <w:t>(viii)</w:t>
      </w:r>
      <w:r>
        <w:rPr>
          <w:sz w:val="20"/>
          <w:szCs w:val="20"/>
          <w:color w:val="auto"/>
        </w:rPr>
        <w:tab/>
      </w:r>
      <w:r>
        <w:rPr>
          <w:rFonts w:ascii="Courier New" w:cs="Courier New" w:eastAsia="Courier New" w:hAnsi="Courier New"/>
          <w:sz w:val="15"/>
          <w:szCs w:val="15"/>
          <w:color w:val="auto"/>
        </w:rPr>
        <w:t>the</w:t>
        <w:tab/>
        <w:t>Seller</w:t>
        <w:tab/>
        <w:t>has</w:t>
        <w:tab/>
        <w:t>not</w:t>
      </w:r>
      <w:r>
        <w:rPr>
          <w:sz w:val="20"/>
          <w:szCs w:val="20"/>
          <w:color w:val="auto"/>
        </w:rPr>
        <w:tab/>
      </w:r>
      <w:r>
        <w:rPr>
          <w:rFonts w:ascii="Courier New" w:cs="Courier New" w:eastAsia="Courier New" w:hAnsi="Courier New"/>
          <w:sz w:val="14"/>
          <w:szCs w:val="14"/>
          <w:color w:val="auto"/>
        </w:rPr>
        <w:t>granted any sublicense or similar</w:t>
      </w:r>
    </w:p>
    <w:p>
      <w:pPr>
        <w:spacing w:after="0"/>
        <w:tabs>
          <w:tab w:leader="none" w:pos="4200" w:val="left"/>
        </w:tabs>
        <w:rPr>
          <w:sz w:val="20"/>
          <w:szCs w:val="20"/>
          <w:color w:val="auto"/>
        </w:rPr>
      </w:pPr>
      <w:r>
        <w:rPr>
          <w:rFonts w:ascii="Courier New" w:cs="Courier New" w:eastAsia="Courier New" w:hAnsi="Courier New"/>
          <w:sz w:val="15"/>
          <w:szCs w:val="15"/>
          <w:color w:val="auto"/>
        </w:rPr>
        <w:t>right with respect to the license, sublicense,</w:t>
      </w:r>
      <w:r>
        <w:rPr>
          <w:sz w:val="20"/>
          <w:szCs w:val="20"/>
          <w:color w:val="auto"/>
        </w:rPr>
        <w:tab/>
      </w:r>
      <w:r>
        <w:rPr>
          <w:rFonts w:ascii="Courier New" w:cs="Courier New" w:eastAsia="Courier New" w:hAnsi="Courier New"/>
          <w:sz w:val="14"/>
          <w:szCs w:val="14"/>
          <w:color w:val="auto"/>
        </w:rPr>
        <w:t>agreement, or permission.</w:t>
      </w:r>
    </w:p>
    <w:p>
      <w:pPr>
        <w:spacing w:after="0" w:line="174"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3.1.14 Tangible Assets. Each item of the Acquired Assets is free from defects (patent and latent), has been maintained in accordance with normal industry practice, is in good operating condition and repair (subject to normal wear and tear), and is suitable for the purposes for which it presently is used and presently is proposed to be used.</w:t>
      </w:r>
    </w:p>
    <w:p>
      <w:pPr>
        <w:spacing w:after="0" w:line="178"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3.1.15 Inventory. The Inventory of the Seller consists of raw materials and supplies, manufactured and purchased parts, goods in process, and finished goods, all of which is merchantable and fit for the purpose for which it was procured or manufactured, and none of which is slow-moving, obsolete, damaged, or defective, subject only to the reserve for inventory writedown set forth on the face of the Most Recent Balance Sheet (rather than in any notes thereto) as adjusted for the passage of time through the Closing Date in accordance with the past custom and practice of the Seller.</w:t>
      </w:r>
    </w:p>
    <w:p>
      <w:pPr>
        <w:spacing w:after="0" w:line="178" w:lineRule="exact"/>
        <w:rPr>
          <w:sz w:val="20"/>
          <w:szCs w:val="20"/>
          <w:color w:val="auto"/>
        </w:rPr>
      </w:pPr>
    </w:p>
    <w:p>
      <w:pPr>
        <w:jc w:val="both"/>
        <w:ind w:right="3179" w:firstLine="793"/>
        <w:spacing w:after="0" w:line="235" w:lineRule="auto"/>
        <w:rPr>
          <w:sz w:val="20"/>
          <w:szCs w:val="20"/>
          <w:color w:val="auto"/>
        </w:rPr>
      </w:pPr>
      <w:r>
        <w:rPr>
          <w:rFonts w:ascii="Courier New" w:cs="Courier New" w:eastAsia="Courier New" w:hAnsi="Courier New"/>
          <w:sz w:val="15"/>
          <w:szCs w:val="15"/>
          <w:color w:val="auto"/>
        </w:rPr>
        <w:t>3.1.16 Contracts. Section 3(p) of the Disclosure Schedule lists the following contracts and other agreements to which the Seller is a party:</w:t>
      </w:r>
    </w:p>
    <w:p>
      <w:pPr>
        <w:spacing w:after="0" w:line="176" w:lineRule="exact"/>
        <w:rPr>
          <w:sz w:val="20"/>
          <w:szCs w:val="20"/>
          <w:color w:val="auto"/>
        </w:rPr>
      </w:pPr>
    </w:p>
    <w:p>
      <w:pPr>
        <w:jc w:val="both"/>
        <w:ind w:right="3179" w:firstLine="784"/>
        <w:spacing w:after="0" w:line="237" w:lineRule="auto"/>
        <w:tabs>
          <w:tab w:leader="none" w:pos="1146"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(or group of related agreements) for the lease of personal property to or from any Person providing for lease payments in excess of $5,000 per annum;</w:t>
      </w:r>
    </w:p>
    <w:p>
      <w:pPr>
        <w:spacing w:after="0" w:line="174" w:lineRule="exact"/>
        <w:rPr>
          <w:rFonts w:ascii="Courier New" w:cs="Courier New" w:eastAsia="Courier New" w:hAnsi="Courier New"/>
          <w:sz w:val="15"/>
          <w:szCs w:val="15"/>
          <w:color w:val="auto"/>
        </w:rPr>
      </w:pPr>
    </w:p>
    <w:p>
      <w:pPr>
        <w:jc w:val="both"/>
        <w:ind w:right="3179" w:firstLine="784"/>
        <w:spacing w:after="0" w:line="237" w:lineRule="auto"/>
        <w:tabs>
          <w:tab w:leader="none" w:pos="1146"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(or group of related agreements) for the purchase or sale of raw materials, commodities, supplies, products, or other personal property, or for the furnishing or receipt of services, the performance of which will extend over a period of more than one year, result in a material loss to the Seller, or involve consideration in excess of $1,000;</w:t>
      </w:r>
    </w:p>
    <w:p>
      <w:pPr>
        <w:spacing w:after="0" w:line="178" w:lineRule="exact"/>
        <w:rPr>
          <w:rFonts w:ascii="Courier New" w:cs="Courier New" w:eastAsia="Courier New" w:hAnsi="Courier New"/>
          <w:sz w:val="15"/>
          <w:szCs w:val="15"/>
          <w:color w:val="auto"/>
        </w:rPr>
      </w:pPr>
    </w:p>
    <w:p>
      <w:pPr>
        <w:ind w:left="1140" w:hanging="356"/>
        <w:spacing w:after="0"/>
        <w:tabs>
          <w:tab w:leader="none" w:pos="11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agreement  concerning a  partnership  or joint  venture of the</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Seller;</w:t>
      </w:r>
    </w:p>
    <w:p>
      <w:pPr>
        <w:spacing w:after="0" w:line="200" w:lineRule="exact"/>
        <w:rPr>
          <w:sz w:val="20"/>
          <w:szCs w:val="20"/>
          <w:color w:val="auto"/>
        </w:rPr>
      </w:pPr>
    </w:p>
    <w:p>
      <w:pPr>
        <w:spacing w:after="0" w:line="308"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E-15</w:t>
      </w:r>
    </w:p>
    <w:p>
      <w:pPr>
        <w:sectPr>
          <w:pgSz w:w="11900" w:h="16838" w:orient="portrait"/>
          <w:cols w:equalWidth="0" w:num="1">
            <w:col w:w="10219"/>
          </w:cols>
          <w:pgMar w:left="240" w:top="791" w:right="1440" w:bottom="1440" w:gutter="0" w:footer="0" w:header="0"/>
        </w:sectPr>
      </w:pPr>
    </w:p>
    <w:bookmarkStart w:id="40" w:name="page41"/>
    <w:bookmarkEnd w:id="40"/>
    <w:p>
      <w:pPr>
        <w:jc w:val="both"/>
        <w:ind w:right="3179" w:firstLine="784"/>
        <w:spacing w:after="0" w:line="237" w:lineRule="auto"/>
        <w:tabs>
          <w:tab w:leader="none" w:pos="1146"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(or group of related agreements) under which it has created, incurred, assumed, or guaranteed any indebtedness for borrowed money, or any capitalized lease obligation, in excess of $1,000 or under which it has imposed a Security Interest on any of its assets, tangible or intangible;</w:t>
      </w:r>
    </w:p>
    <w:p>
      <w:pPr>
        <w:spacing w:after="0" w:line="170" w:lineRule="exact"/>
        <w:rPr>
          <w:rFonts w:ascii="Courier New" w:cs="Courier New" w:eastAsia="Courier New" w:hAnsi="Courier New"/>
          <w:sz w:val="15"/>
          <w:szCs w:val="15"/>
          <w:color w:val="auto"/>
        </w:rPr>
      </w:pPr>
    </w:p>
    <w:p>
      <w:pPr>
        <w:ind w:left="1140" w:hanging="356"/>
        <w:spacing w:after="0"/>
        <w:tabs>
          <w:tab w:leader="none" w:pos="11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concerning confidentiality or noncompetition;</w:t>
      </w:r>
    </w:p>
    <w:p>
      <w:pPr>
        <w:spacing w:after="0" w:line="174" w:lineRule="exact"/>
        <w:rPr>
          <w:rFonts w:ascii="Courier New" w:cs="Courier New" w:eastAsia="Courier New" w:hAnsi="Courier New"/>
          <w:sz w:val="15"/>
          <w:szCs w:val="15"/>
          <w:color w:val="auto"/>
        </w:rPr>
      </w:pPr>
    </w:p>
    <w:p>
      <w:pPr>
        <w:ind w:right="3179" w:firstLine="784"/>
        <w:spacing w:after="0" w:line="235" w:lineRule="auto"/>
        <w:tabs>
          <w:tab w:leader="none" w:pos="1146"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with the Seller as a party and involving any of the Principal Shareholders and their Affiliates (other than the Seller);</w:t>
      </w:r>
    </w:p>
    <w:p>
      <w:pPr>
        <w:spacing w:after="0" w:line="175" w:lineRule="exact"/>
        <w:rPr>
          <w:rFonts w:ascii="Courier New" w:cs="Courier New" w:eastAsia="Courier New" w:hAnsi="Courier New"/>
          <w:sz w:val="15"/>
          <w:szCs w:val="15"/>
          <w:color w:val="auto"/>
        </w:rPr>
      </w:pPr>
    </w:p>
    <w:p>
      <w:pPr>
        <w:jc w:val="both"/>
        <w:ind w:right="3179" w:firstLine="784"/>
        <w:spacing w:after="0" w:line="237" w:lineRule="auto"/>
        <w:tabs>
          <w:tab w:leader="none" w:pos="1234"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profit sharing, stock option, stock purchase, stock appreciation, deferred compensation, severance, or other material plan or arrangement for the benefit of its current or former directors, officers, and employees;</w:t>
      </w:r>
    </w:p>
    <w:p>
      <w:pPr>
        <w:spacing w:after="0" w:line="170" w:lineRule="exact"/>
        <w:rPr>
          <w:rFonts w:ascii="Courier New" w:cs="Courier New" w:eastAsia="Courier New" w:hAnsi="Courier New"/>
          <w:sz w:val="15"/>
          <w:szCs w:val="15"/>
          <w:color w:val="auto"/>
        </w:rPr>
      </w:pPr>
    </w:p>
    <w:p>
      <w:pPr>
        <w:ind w:left="1140" w:hanging="356"/>
        <w:spacing w:after="0"/>
        <w:tabs>
          <w:tab w:leader="none" w:pos="11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collective bargaining agreement;</w:t>
      </w:r>
    </w:p>
    <w:p>
      <w:pPr>
        <w:spacing w:after="0" w:line="174" w:lineRule="exact"/>
        <w:rPr>
          <w:rFonts w:ascii="Courier New" w:cs="Courier New" w:eastAsia="Courier New" w:hAnsi="Courier New"/>
          <w:sz w:val="15"/>
          <w:szCs w:val="15"/>
          <w:color w:val="auto"/>
        </w:rPr>
      </w:pPr>
    </w:p>
    <w:p>
      <w:pPr>
        <w:jc w:val="both"/>
        <w:ind w:right="3179" w:firstLine="784"/>
        <w:spacing w:after="0" w:line="237" w:lineRule="auto"/>
        <w:tabs>
          <w:tab w:leader="none" w:pos="1146"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for the employment of any individual on a full-time, part-time, consulting, or other basis providing annual compensation in excess of $30,000 or providing severance benefits;</w:t>
      </w:r>
    </w:p>
    <w:p>
      <w:pPr>
        <w:spacing w:after="0" w:line="174" w:lineRule="exact"/>
        <w:rPr>
          <w:rFonts w:ascii="Courier New" w:cs="Courier New" w:eastAsia="Courier New" w:hAnsi="Courier New"/>
          <w:sz w:val="15"/>
          <w:szCs w:val="15"/>
          <w:color w:val="auto"/>
        </w:rPr>
      </w:pPr>
    </w:p>
    <w:p>
      <w:pPr>
        <w:jc w:val="both"/>
        <w:ind w:right="3179" w:firstLine="784"/>
        <w:spacing w:after="0" w:line="237" w:lineRule="auto"/>
        <w:tabs>
          <w:tab w:leader="none" w:pos="1146"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under which it has advanced or loaned any amount to any of its directors, officers, and employees outside the Ordinary Course of Business;</w:t>
      </w:r>
    </w:p>
    <w:p>
      <w:pPr>
        <w:spacing w:after="0" w:line="174" w:lineRule="exact"/>
        <w:rPr>
          <w:rFonts w:ascii="Courier New" w:cs="Courier New" w:eastAsia="Courier New" w:hAnsi="Courier New"/>
          <w:sz w:val="15"/>
          <w:szCs w:val="15"/>
          <w:color w:val="auto"/>
        </w:rPr>
      </w:pPr>
    </w:p>
    <w:p>
      <w:pPr>
        <w:jc w:val="both"/>
        <w:ind w:right="3179" w:firstLine="784"/>
        <w:spacing w:after="0" w:line="237" w:lineRule="auto"/>
        <w:tabs>
          <w:tab w:leader="none" w:pos="1234"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under which the consequences of a default or termination could have a material adverse effect on the business, financial condition, operations, results of operations, or future prospects of the Seller; or</w:t>
      </w:r>
    </w:p>
    <w:p>
      <w:pPr>
        <w:spacing w:after="0" w:line="176" w:lineRule="exact"/>
        <w:rPr>
          <w:rFonts w:ascii="Courier New" w:cs="Courier New" w:eastAsia="Courier New" w:hAnsi="Courier New"/>
          <w:sz w:val="15"/>
          <w:szCs w:val="15"/>
          <w:color w:val="auto"/>
        </w:rPr>
      </w:pPr>
    </w:p>
    <w:p>
      <w:pPr>
        <w:ind w:right="3179" w:firstLine="784"/>
        <w:spacing w:after="0" w:line="235" w:lineRule="auto"/>
        <w:tabs>
          <w:tab w:leader="none" w:pos="1234"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agreement (or group of related agreements) the performance of which involves consideration in excess of $10,000.</w:t>
      </w:r>
    </w:p>
    <w:p>
      <w:pPr>
        <w:spacing w:after="0" w:line="176"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The Seller has delivered to the Buyer a correct and complete copy of each written agreement listed in Section 3(p) of the Disclosure Schedule (as amended to date) and a written summary setting forth the terms and conditions of each oral agreement referred to in Section 3(p) of the Disclosure Schedule. With respect to each such agreement: (A) the agreement is legal, valid, binding, enforceable, and in full force and effect; (B) the agreement will continue to be legal, valid, binding, enforceable, and in full force and effect on identical terms following the consummation of the transactions contemplated hereby (including the assignments and assumptions referred to in Section 2 above); (C) no party is in breach or default, and no event has occurred which with notice or lapse of time would constitute a breach or default, or permit termination, modification, or acceleration, under the agreement; and (D) no party has repudiated any provision of the agreement.</w:t>
      </w:r>
    </w:p>
    <w:p>
      <w:pPr>
        <w:spacing w:after="0" w:line="183"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3.1.17 Compliance Testing. Section 3(q) of the Disclosure Schedule identifies each U.S. and non-U.S. industry organization that has certified or approved any of the Acquired Assets, and copies of such approvals have been delivered to the Buyer (collectively, the "Compliance Certificates").</w:t>
      </w:r>
    </w:p>
    <w:p>
      <w:pPr>
        <w:spacing w:after="0" w:line="200" w:lineRule="exact"/>
        <w:rPr>
          <w:sz w:val="20"/>
          <w:szCs w:val="20"/>
          <w:color w:val="auto"/>
        </w:rPr>
      </w:pPr>
    </w:p>
    <w:p>
      <w:pPr>
        <w:spacing w:after="0" w:line="31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E-16</w:t>
      </w:r>
    </w:p>
    <w:p>
      <w:pPr>
        <w:sectPr>
          <w:pgSz w:w="11900" w:h="16838" w:orient="portrait"/>
          <w:cols w:equalWidth="0" w:num="1">
            <w:col w:w="10219"/>
          </w:cols>
          <w:pgMar w:left="240" w:top="627" w:right="1440" w:bottom="1440" w:gutter="0" w:footer="0" w:header="0"/>
        </w:sectPr>
      </w:pPr>
    </w:p>
    <w:bookmarkStart w:id="41" w:name="page42"/>
    <w:bookmarkEnd w:id="41"/>
    <w:p>
      <w:pPr>
        <w:jc w:val="both"/>
        <w:ind w:right="3179" w:firstLine="793"/>
        <w:spacing w:after="0" w:line="235" w:lineRule="auto"/>
        <w:rPr>
          <w:sz w:val="20"/>
          <w:szCs w:val="20"/>
          <w:color w:val="auto"/>
        </w:rPr>
      </w:pPr>
      <w:r>
        <w:rPr>
          <w:rFonts w:ascii="Courier New" w:cs="Courier New" w:eastAsia="Courier New" w:hAnsi="Courier New"/>
          <w:sz w:val="15"/>
          <w:szCs w:val="15"/>
          <w:color w:val="auto"/>
        </w:rPr>
        <w:t>3.1.18 Powers of Attorney. There are no outstanding powers of attorney executed on behalf of the Seller.</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3.1.19 Reserved.</w:t>
      </w:r>
    </w:p>
    <w:p>
      <w:pPr>
        <w:spacing w:after="0" w:line="175" w:lineRule="exact"/>
        <w:rPr>
          <w:sz w:val="20"/>
          <w:szCs w:val="20"/>
          <w:color w:val="auto"/>
        </w:rPr>
      </w:pPr>
    </w:p>
    <w:p>
      <w:pPr>
        <w:jc w:val="both"/>
        <w:ind w:right="3179" w:firstLine="793"/>
        <w:spacing w:after="0" w:line="257" w:lineRule="auto"/>
        <w:rPr>
          <w:sz w:val="20"/>
          <w:szCs w:val="20"/>
          <w:color w:val="auto"/>
        </w:rPr>
      </w:pPr>
      <w:r>
        <w:rPr>
          <w:rFonts w:ascii="Courier New" w:cs="Courier New" w:eastAsia="Courier New" w:hAnsi="Courier New"/>
          <w:sz w:val="14"/>
          <w:szCs w:val="14"/>
          <w:color w:val="auto"/>
        </w:rPr>
        <w:t>3.1.20 Litigation. Section 3(t) of the Disclosure Schedule sets forth each instance in which the Seller (i) is subject to any outstanding injunction, judgment, order, decree, ruling, or charge or (ii) is a party or, to the Knowledge of the Seller, is threatened to be made a party to any action, suit, proceeding, hearing, or investigation of, in, or before any court or quasi-judicial or administrative agency of any federal, state, local, or foreign jurisdiction or before any arbitrator. None of the actions, suits, proceedings, hearings, and investigations set forth in Section 3(t) of the Disclosure Schedule could result in any material adverse change in the business, financial condition, operations, results of operations, or future prospects of the Seller.</w:t>
      </w:r>
    </w:p>
    <w:p>
      <w:pPr>
        <w:spacing w:after="0" w:line="166"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3.1.21 Product Warranty. Each product manufactured, sold, leased, or delivered by the Seller has been in conformity with all applicable contractual commitments and all express and implied warranties, and the Seller has no Liability (and to the Knowledge of the Seller, there is no Basis for any present or future action, suit, proceeding, hearing, investigation, charge, complaint, claim, or demand against any of them giving rise to any Liability) for replacement or repair thereof or other damages in connection therewith, subject only to the reserve for product warranty claims set forth on the face of the Most Recent Balance Sheet. No product manufactured, sold, leased, or delivered by any of the Seller is subject to any guaranty, warranty, or other indemnity beyond the applicable standard terms and conditions of sale or lease. Section 3(u) of the Disclosure Schedule includes copies of the standard terms and conditions of sale or lease for each of the Seller (containing applicable guaranty, warranty, and indemnity provisions).</w:t>
      </w:r>
    </w:p>
    <w:p>
      <w:pPr>
        <w:spacing w:after="0" w:line="184"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3.1.22 Product Liability. The Seller has no Liability (and to the Knowledge of the Seller, there is no Basis for any present or future action, suit, proceeding, hearing, investigation, charge, complaint, claim, or demand against any of them giving rise to any Liability) arising out of any injury to individuals or property as a result of the ownership, possession, or use of any product manufactured, sold, leased, or delivered by the Seller.</w:t>
      </w:r>
    </w:p>
    <w:p>
      <w:pPr>
        <w:spacing w:after="0" w:line="176"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3.1.23 Employees. To the Knowledge of the Seller, no executive, key employee, or group of employees has any plans to terminate employment with the Seller. The Seller is not a party to or bound by any collective bargaining agreement, nor has it experienced any strikes, grievances, claims of unfair labor practices, or other collective bargaining disputes. The Seller has not committed any unfair labor practice. The Seller has no Knowledge of any organizational effort presently being made or threatened by or on behalf of any labor union with respect to employees of the Seller. Schedule 3(w) lists each current and former employee of the Seller since January 1, 1995.</w:t>
      </w:r>
    </w:p>
    <w:p>
      <w:pPr>
        <w:spacing w:after="0" w:line="179"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3.1.24 Employee Benefits. Seller is in compliance with each Employee Benefit Plan that it maintains, and each such plan complies in all material respects with applicable laws.</w:t>
      </w:r>
    </w:p>
    <w:p>
      <w:pPr>
        <w:spacing w:after="0" w:line="175" w:lineRule="exact"/>
        <w:rPr>
          <w:sz w:val="20"/>
          <w:szCs w:val="20"/>
          <w:color w:val="auto"/>
        </w:rPr>
      </w:pPr>
    </w:p>
    <w:p>
      <w:pPr>
        <w:jc w:val="both"/>
        <w:ind w:right="3179" w:firstLine="793"/>
        <w:spacing w:after="0" w:line="265" w:lineRule="auto"/>
        <w:rPr>
          <w:sz w:val="20"/>
          <w:szCs w:val="20"/>
          <w:color w:val="auto"/>
        </w:rPr>
      </w:pPr>
      <w:r>
        <w:rPr>
          <w:rFonts w:ascii="Courier New" w:cs="Courier New" w:eastAsia="Courier New" w:hAnsi="Courier New"/>
          <w:sz w:val="14"/>
          <w:szCs w:val="14"/>
          <w:color w:val="auto"/>
        </w:rPr>
        <w:t>3.1.25 Guaranties. The Seller is not a guarantor or otherwise is liable for any Liability or obligation (including indebtedness) of any other Person.</w:t>
      </w:r>
    </w:p>
    <w:p>
      <w:pPr>
        <w:spacing w:after="0" w:line="200" w:lineRule="exact"/>
        <w:rPr>
          <w:sz w:val="20"/>
          <w:szCs w:val="20"/>
          <w:color w:val="auto"/>
        </w:rPr>
      </w:pPr>
    </w:p>
    <w:p>
      <w:pPr>
        <w:spacing w:after="0" w:line="292"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E-17</w:t>
      </w:r>
    </w:p>
    <w:p>
      <w:pPr>
        <w:sectPr>
          <w:pgSz w:w="11900" w:h="16838" w:orient="portrait"/>
          <w:cols w:equalWidth="0" w:num="1">
            <w:col w:w="10219"/>
          </w:cols>
          <w:pgMar w:left="240" w:top="627" w:right="1440" w:bottom="1440" w:gutter="0" w:footer="0" w:header="0"/>
        </w:sectPr>
      </w:pPr>
    </w:p>
    <w:bookmarkStart w:id="42" w:name="page43"/>
    <w:bookmarkEnd w:id="42"/>
    <w:p>
      <w:pPr>
        <w:ind w:left="780"/>
        <w:spacing w:after="0"/>
        <w:rPr>
          <w:sz w:val="20"/>
          <w:szCs w:val="20"/>
          <w:color w:val="auto"/>
        </w:rPr>
      </w:pPr>
      <w:r>
        <w:rPr>
          <w:rFonts w:ascii="Courier New" w:cs="Courier New" w:eastAsia="Courier New" w:hAnsi="Courier New"/>
          <w:sz w:val="15"/>
          <w:szCs w:val="15"/>
          <w:color w:val="auto"/>
        </w:rPr>
        <w:t>3.1.26 Environmental, Health, and Safety Matters.</w:t>
      </w:r>
    </w:p>
    <w:p>
      <w:pPr>
        <w:spacing w:after="0" w:line="175" w:lineRule="exact"/>
        <w:rPr>
          <w:sz w:val="20"/>
          <w:szCs w:val="20"/>
          <w:color w:val="auto"/>
        </w:rPr>
      </w:pPr>
    </w:p>
    <w:p>
      <w:pPr>
        <w:jc w:val="both"/>
        <w:ind w:right="3179" w:firstLine="784"/>
        <w:spacing w:after="0" w:line="237" w:lineRule="auto"/>
        <w:tabs>
          <w:tab w:leader="none" w:pos="114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the Seller, the Seller has materially complied and is in material compliance with all Environmental, Health, and Safety Requirements.</w:t>
      </w:r>
    </w:p>
    <w:p>
      <w:pPr>
        <w:spacing w:after="0" w:line="174" w:lineRule="exact"/>
        <w:rPr>
          <w:rFonts w:ascii="Courier New" w:cs="Courier New" w:eastAsia="Courier New" w:hAnsi="Courier New"/>
          <w:sz w:val="15"/>
          <w:szCs w:val="15"/>
          <w:color w:val="auto"/>
        </w:rPr>
      </w:pPr>
    </w:p>
    <w:p>
      <w:pPr>
        <w:jc w:val="both"/>
        <w:ind w:right="3179" w:firstLine="784"/>
        <w:spacing w:after="0" w:line="238" w:lineRule="auto"/>
        <w:tabs>
          <w:tab w:leader="none" w:pos="114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generality of the foregoing, to the Knowledge of the Seller, the Seller has obtained and is in material compliance with all permits, licenses and other authorizations that are required pursuant to Environmental, Health, and Safety Requirements for the occupation of its facilities and the operation of its business; a list of all such permits, licenses and other authorizations is set forth on the attached "Environmental and Safety Permits Schedule."</w:t>
      </w:r>
    </w:p>
    <w:p>
      <w:pPr>
        <w:spacing w:after="0" w:line="176" w:lineRule="exact"/>
        <w:rPr>
          <w:rFonts w:ascii="Courier New" w:cs="Courier New" w:eastAsia="Courier New" w:hAnsi="Courier New"/>
          <w:sz w:val="15"/>
          <w:szCs w:val="15"/>
          <w:color w:val="auto"/>
        </w:rPr>
      </w:pPr>
    </w:p>
    <w:p>
      <w:pPr>
        <w:jc w:val="both"/>
        <w:ind w:right="3179" w:firstLine="784"/>
        <w:spacing w:after="0" w:line="258" w:lineRule="auto"/>
        <w:tabs>
          <w:tab w:leader="none" w:pos="1146"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Seller has not received any written or oral notice, report or other information regarding any actual or alleged violation of Environmental, Health, and Safety Requirements, or any liabilities or potential liabilities (whether accrued, absolute, contingent, unliquidated or otherwise), including any investigatory, remedial or corrective obligations, relating to any of them or its facilities arising under Environmental, Health, and Safety Requirements.</w:t>
      </w:r>
    </w:p>
    <w:p>
      <w:pPr>
        <w:spacing w:after="0" w:line="163" w:lineRule="exact"/>
        <w:rPr>
          <w:rFonts w:ascii="Courier New" w:cs="Courier New" w:eastAsia="Courier New" w:hAnsi="Courier New"/>
          <w:sz w:val="14"/>
          <w:szCs w:val="14"/>
          <w:color w:val="auto"/>
        </w:rPr>
      </w:pPr>
    </w:p>
    <w:p>
      <w:pPr>
        <w:jc w:val="both"/>
        <w:ind w:right="3179" w:firstLine="784"/>
        <w:spacing w:after="0" w:line="237" w:lineRule="auto"/>
        <w:tabs>
          <w:tab w:leader="none" w:pos="114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the Seller, none of the following exists at any property or facility owned or operated by the Seller: (1) underground storage tanks, (2) asbestos-containing material in any form or condition, (3) materials or equipment containing polychlorinated biphenyls, or (4) landfills or surface impoundments.</w:t>
      </w:r>
    </w:p>
    <w:p>
      <w:pPr>
        <w:spacing w:after="0" w:line="178" w:lineRule="exact"/>
        <w:rPr>
          <w:rFonts w:ascii="Courier New" w:cs="Courier New" w:eastAsia="Courier New" w:hAnsi="Courier New"/>
          <w:sz w:val="15"/>
          <w:szCs w:val="15"/>
          <w:color w:val="auto"/>
        </w:rPr>
      </w:pPr>
    </w:p>
    <w:p>
      <w:pPr>
        <w:jc w:val="both"/>
        <w:ind w:right="3179" w:firstLine="784"/>
        <w:spacing w:after="0" w:line="238" w:lineRule="auto"/>
        <w:tabs>
          <w:tab w:leader="none" w:pos="114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the Seller, the Seller has not treated, stored, disposed of, arranged for or permitted the disposal of, transported, handled, or released any hazardous substance, or owned or operated any property or facility in a manner that has given or would give rise to liability for response costs, corrective action costs, personal injury, property damage, natural resources damages or attorney fees, pursuant to the Comprehensive Environmental Response, Compensation and Liability Act of 1980, as amended ("CERCLA"), the Solid Waste Disposal Act, as amended ("SWDA") or any other Environmental, Health, and Safety Requirements.</w:t>
      </w:r>
    </w:p>
    <w:p>
      <w:pPr>
        <w:spacing w:after="0" w:line="178" w:lineRule="exact"/>
        <w:rPr>
          <w:rFonts w:ascii="Courier New" w:cs="Courier New" w:eastAsia="Courier New" w:hAnsi="Courier New"/>
          <w:sz w:val="15"/>
          <w:szCs w:val="15"/>
          <w:color w:val="auto"/>
        </w:rPr>
      </w:pPr>
    </w:p>
    <w:p>
      <w:pPr>
        <w:jc w:val="both"/>
        <w:ind w:right="3179" w:firstLine="784"/>
        <w:spacing w:after="0" w:line="259" w:lineRule="auto"/>
        <w:tabs>
          <w:tab w:leader="none" w:pos="1234"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the Seller, the Seller has not, either expressly or by operation of law, assumed or undertaken any liability, including without limitation any obligation for corrective or remedial action, of any other Person relating to Environmental, Health, and Safety Requirements.</w:t>
      </w:r>
    </w:p>
    <w:p>
      <w:pPr>
        <w:spacing w:after="0" w:line="162" w:lineRule="exact"/>
        <w:rPr>
          <w:rFonts w:ascii="Courier New" w:cs="Courier New" w:eastAsia="Courier New" w:hAnsi="Courier New"/>
          <w:sz w:val="14"/>
          <w:szCs w:val="14"/>
          <w:color w:val="auto"/>
        </w:rPr>
      </w:pPr>
    </w:p>
    <w:p>
      <w:pPr>
        <w:jc w:val="both"/>
        <w:ind w:right="3179" w:firstLine="784"/>
        <w:spacing w:after="0" w:line="257" w:lineRule="auto"/>
        <w:tabs>
          <w:tab w:leader="none" w:pos="1146"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the Seller, no facts, events or conditions relating to the past or present facilities, properties or operations of the Seller will prevent, hinder or limit continued compliance with Environmental, Health, and Safety Requirements, give rise to any investigatory, remedial or corrective obligations pursuant to Environmental, Health, and Safety Requirements, or give rise to any other liabilities (whether accrued, absolute, contingent, unliquidated or otherwise) pursuant to Environmental, Health, and Safety Requirements, including without limitation any relating to onsite or offsite releases or threatened releases of hazardous materials, substances or wastes, personal injury, property damage or natural resources damage.</w:t>
      </w:r>
    </w:p>
    <w:p>
      <w:pPr>
        <w:spacing w:after="0" w:line="200" w:lineRule="exact"/>
        <w:rPr>
          <w:sz w:val="20"/>
          <w:szCs w:val="20"/>
          <w:color w:val="auto"/>
        </w:rPr>
      </w:pPr>
    </w:p>
    <w:p>
      <w:pPr>
        <w:spacing w:after="0" w:line="30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E-18</w:t>
      </w:r>
    </w:p>
    <w:p>
      <w:pPr>
        <w:sectPr>
          <w:pgSz w:w="11900" w:h="16838" w:orient="portrait"/>
          <w:cols w:equalWidth="0" w:num="1">
            <w:col w:w="10219"/>
          </w:cols>
          <w:pgMar w:left="240" w:top="622" w:right="1440" w:bottom="1440" w:gutter="0" w:footer="0" w:header="0"/>
        </w:sectPr>
      </w:pPr>
    </w:p>
    <w:bookmarkStart w:id="43" w:name="page44"/>
    <w:bookmarkEnd w:id="43"/>
    <w:p>
      <w:pPr>
        <w:jc w:val="both"/>
        <w:ind w:left="10" w:right="3179" w:firstLine="793"/>
        <w:spacing w:after="0" w:line="237" w:lineRule="auto"/>
        <w:rPr>
          <w:sz w:val="20"/>
          <w:szCs w:val="20"/>
          <w:color w:val="auto"/>
        </w:rPr>
      </w:pPr>
      <w:r>
        <w:rPr>
          <w:rFonts w:ascii="Courier New" w:cs="Courier New" w:eastAsia="Courier New" w:hAnsi="Courier New"/>
          <w:sz w:val="15"/>
          <w:szCs w:val="15"/>
          <w:color w:val="auto"/>
        </w:rPr>
        <w:t>3.1.27 Certain Business Relationships With the Seller. None of the Principal Shareholders and their Affiliates has been involved in any business arrangement or relationship with the Seller within the past 12 months, and none of the Principal Shareholders and their Affiliates owns any asset, tangible or intangible, which is used in the business of the Seller.</w:t>
      </w:r>
    </w:p>
    <w:p>
      <w:pPr>
        <w:spacing w:after="0" w:line="178" w:lineRule="exact"/>
        <w:rPr>
          <w:sz w:val="20"/>
          <w:szCs w:val="20"/>
          <w:color w:val="auto"/>
        </w:rPr>
      </w:pPr>
    </w:p>
    <w:p>
      <w:pPr>
        <w:jc w:val="both"/>
        <w:ind w:left="10" w:right="3179" w:firstLine="793"/>
        <w:spacing w:after="0" w:line="237" w:lineRule="auto"/>
        <w:rPr>
          <w:sz w:val="20"/>
          <w:szCs w:val="20"/>
          <w:color w:val="auto"/>
        </w:rPr>
      </w:pPr>
      <w:r>
        <w:rPr>
          <w:rFonts w:ascii="Courier New" w:cs="Courier New" w:eastAsia="Courier New" w:hAnsi="Courier New"/>
          <w:sz w:val="15"/>
          <w:szCs w:val="15"/>
          <w:color w:val="auto"/>
        </w:rPr>
        <w:t>3.1.28 Disclosure. The representations and warranties contained in this Section 3 do not contain any untrue statement of a material fact or omit to state any material fact necessary in order to make the statements and information contained in this Section 3 not misleading.</w:t>
      </w:r>
    </w:p>
    <w:p>
      <w:pPr>
        <w:spacing w:after="0" w:line="176" w:lineRule="exact"/>
        <w:rPr>
          <w:sz w:val="20"/>
          <w:szCs w:val="20"/>
          <w:color w:val="auto"/>
        </w:rPr>
      </w:pPr>
    </w:p>
    <w:p>
      <w:pPr>
        <w:jc w:val="both"/>
        <w:ind w:left="10" w:right="3179" w:firstLine="793"/>
        <w:spacing w:after="0" w:line="256" w:lineRule="auto"/>
        <w:rPr>
          <w:sz w:val="20"/>
          <w:szCs w:val="20"/>
          <w:color w:val="auto"/>
        </w:rPr>
      </w:pPr>
      <w:r>
        <w:rPr>
          <w:rFonts w:ascii="Courier New" w:cs="Courier New" w:eastAsia="Courier New" w:hAnsi="Courier New"/>
          <w:sz w:val="14"/>
          <w:szCs w:val="14"/>
          <w:color w:val="auto"/>
        </w:rPr>
        <w:t>3.1.29 Investment. The Seller (i) understands that the Gentner Shares have not been, and will not be, registered under the Securities Act, or under any state securities laws, and are being offered and sold in reliance upon federal and state exemptions for transactions not involving any public offering,</w:t>
      </w:r>
    </w:p>
    <w:p>
      <w:pPr>
        <w:spacing w:after="0" w:line="1" w:lineRule="exact"/>
        <w:rPr>
          <w:sz w:val="20"/>
          <w:szCs w:val="20"/>
          <w:color w:val="auto"/>
        </w:rPr>
      </w:pPr>
    </w:p>
    <w:p>
      <w:pPr>
        <w:jc w:val="both"/>
        <w:ind w:left="10" w:right="3179" w:hanging="10"/>
        <w:spacing w:after="0" w:line="238" w:lineRule="auto"/>
        <w:tabs>
          <w:tab w:leader="none" w:pos="45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acquiring the Gentner Shares solely for its own account for investment purposes, and not with a view to the distribution thereof, provided that the Seller may distribute some or all of the Gentner Shares to one or more of its current Shareholders consistent with the provisions of this Agreement, (iii) is a sophisticated investor with knowledge and experience in business and financial matters, (iv) has received certain information concerning the Buyer and has had the opportunity to obtain additional information as desired in order to evaluate the merits and the risks inherent in holding the Gentner Shares, (v) is able to bear the economic risk and lack of liquidity inherent in holding the Gentner Shares, and (vi) is an Accredited Investor.</w:t>
      </w:r>
    </w:p>
    <w:p>
      <w:pPr>
        <w:spacing w:after="0" w:line="174"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ARTICLE 4 -- Representations and Warranties of the Buyer.</w:t>
      </w:r>
    </w:p>
    <w:p>
      <w:pPr>
        <w:ind w:left="97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The Buyer represents and warrants to the Seller that the statements contained in this Section 4 are correct and complete as of the date of this Agreement and will be correct and complete as of the Closing Date (as though made then and as though the Closing Date were substituted for the date of this Agreement throughout this Section 4), except as set forth in the Disclosure Schedule. The Disclosure Schedule will be arranged in paragraphs corresponding to the lettered and numbered paragraphs contained in this Section 4.</w:t>
      </w:r>
    </w:p>
    <w:p>
      <w:pPr>
        <w:spacing w:after="0" w:line="177" w:lineRule="exact"/>
        <w:rPr>
          <w:sz w:val="20"/>
          <w:szCs w:val="20"/>
          <w:color w:val="auto"/>
        </w:rPr>
      </w:pPr>
    </w:p>
    <w:p>
      <w:pPr>
        <w:jc w:val="both"/>
        <w:ind w:left="10" w:right="3179" w:firstLine="793"/>
        <w:spacing w:after="0" w:line="237" w:lineRule="auto"/>
        <w:rPr>
          <w:sz w:val="20"/>
          <w:szCs w:val="20"/>
          <w:color w:val="auto"/>
        </w:rPr>
      </w:pPr>
      <w:r>
        <w:rPr>
          <w:rFonts w:ascii="Courier New" w:cs="Courier New" w:eastAsia="Courier New" w:hAnsi="Courier New"/>
          <w:sz w:val="15"/>
          <w:szCs w:val="15"/>
          <w:color w:val="auto"/>
        </w:rPr>
        <w:t>4.1.1 Organization of the Buyer. The Buyer is a corporation duly organized, validly existing, and in good standing under the laws of the jurisdiction of its incorporation.</w:t>
      </w:r>
    </w:p>
    <w:p>
      <w:pPr>
        <w:spacing w:after="0" w:line="175" w:lineRule="exact"/>
        <w:rPr>
          <w:sz w:val="20"/>
          <w:szCs w:val="20"/>
          <w:color w:val="auto"/>
        </w:rPr>
      </w:pPr>
    </w:p>
    <w:p>
      <w:pPr>
        <w:jc w:val="both"/>
        <w:ind w:left="10" w:right="3179" w:firstLine="793"/>
        <w:spacing w:after="0" w:line="238" w:lineRule="auto"/>
        <w:rPr>
          <w:sz w:val="20"/>
          <w:szCs w:val="20"/>
          <w:color w:val="auto"/>
        </w:rPr>
      </w:pPr>
      <w:r>
        <w:rPr>
          <w:rFonts w:ascii="Courier New" w:cs="Courier New" w:eastAsia="Courier New" w:hAnsi="Courier New"/>
          <w:sz w:val="15"/>
          <w:szCs w:val="15"/>
          <w:color w:val="auto"/>
        </w:rPr>
        <w:t>4.1.2 Capitalization; Gentner Shares. The authorized capital stock of the Buyer consists of 50,000,000 shares of common stock, par value $.001 per share. As of June 1, 2000, 8,417,038 shares of common stock were issued and outstanding, all of which were validly issued, fully paid and nonassessable, and no shares of common stock were held in treasury. The Gentner Shares, when delivered at the Closing, shall have been duly authorized, fully paid, and nonassessable.</w:t>
      </w:r>
    </w:p>
    <w:p>
      <w:pPr>
        <w:spacing w:after="0" w:line="177" w:lineRule="exact"/>
        <w:rPr>
          <w:sz w:val="20"/>
          <w:szCs w:val="20"/>
          <w:color w:val="auto"/>
        </w:rPr>
      </w:pPr>
    </w:p>
    <w:p>
      <w:pPr>
        <w:jc w:val="both"/>
        <w:ind w:left="10" w:right="3179" w:firstLine="793"/>
        <w:spacing w:after="0" w:line="265" w:lineRule="auto"/>
        <w:rPr>
          <w:sz w:val="20"/>
          <w:szCs w:val="20"/>
          <w:color w:val="auto"/>
        </w:rPr>
      </w:pPr>
      <w:r>
        <w:rPr>
          <w:rFonts w:ascii="Courier New" w:cs="Courier New" w:eastAsia="Courier New" w:hAnsi="Courier New"/>
          <w:sz w:val="14"/>
          <w:szCs w:val="14"/>
          <w:color w:val="auto"/>
        </w:rPr>
        <w:t>4.1.3 Authorization of Transaction. The Buyer has full power and authority (including full corporate power and authority) to execute and deliver</w:t>
      </w:r>
    </w:p>
    <w:p>
      <w:pPr>
        <w:spacing w:after="0" w:line="322"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E-19</w:t>
      </w:r>
    </w:p>
    <w:p>
      <w:pPr>
        <w:sectPr>
          <w:pgSz w:w="11900" w:h="16838" w:orient="portrait"/>
          <w:cols w:equalWidth="0" w:num="1">
            <w:col w:w="10229"/>
          </w:cols>
          <w:pgMar w:left="230" w:top="627" w:right="1440" w:bottom="1440" w:gutter="0" w:footer="0" w:header="0"/>
        </w:sectPr>
      </w:pPr>
    </w:p>
    <w:bookmarkStart w:id="44" w:name="page45"/>
    <w:bookmarkEnd w:id="44"/>
    <w:p>
      <w:pPr>
        <w:jc w:val="both"/>
        <w:ind w:left="10" w:right="3179"/>
        <w:spacing w:after="0" w:line="237" w:lineRule="auto"/>
        <w:rPr>
          <w:sz w:val="20"/>
          <w:szCs w:val="20"/>
          <w:color w:val="auto"/>
        </w:rPr>
      </w:pPr>
      <w:r>
        <w:rPr>
          <w:rFonts w:ascii="Courier New" w:cs="Courier New" w:eastAsia="Courier New" w:hAnsi="Courier New"/>
          <w:sz w:val="15"/>
          <w:szCs w:val="15"/>
          <w:color w:val="auto"/>
        </w:rPr>
        <w:t>this Agreement and to perform its obligations hereunder. This Agreement constitutes the valid and legally binding obligation of the Buyer, enforceable in accordance with its terms and conditions.</w:t>
      </w:r>
    </w:p>
    <w:p>
      <w:pPr>
        <w:spacing w:after="0" w:line="175" w:lineRule="exact"/>
        <w:rPr>
          <w:sz w:val="20"/>
          <w:szCs w:val="20"/>
          <w:color w:val="auto"/>
        </w:rPr>
      </w:pPr>
    </w:p>
    <w:p>
      <w:pPr>
        <w:jc w:val="both"/>
        <w:ind w:left="10" w:right="3179" w:firstLine="793"/>
        <w:spacing w:after="0" w:line="256" w:lineRule="auto"/>
        <w:rPr>
          <w:sz w:val="20"/>
          <w:szCs w:val="20"/>
          <w:color w:val="auto"/>
        </w:rPr>
      </w:pPr>
      <w:r>
        <w:rPr>
          <w:rFonts w:ascii="Courier New" w:cs="Courier New" w:eastAsia="Courier New" w:hAnsi="Courier New"/>
          <w:sz w:val="14"/>
          <w:szCs w:val="14"/>
          <w:color w:val="auto"/>
        </w:rPr>
        <w:t>4.1.4 Noncontravention. Neither the execution and the delivery of this Agreement, nor the consummation of the transactions contemplated hereby (including the assignments and assumptions referred to in Section 2 above), will</w:t>
      </w:r>
    </w:p>
    <w:p>
      <w:pPr>
        <w:spacing w:after="0" w:line="1" w:lineRule="exact"/>
        <w:rPr>
          <w:sz w:val="20"/>
          <w:szCs w:val="20"/>
          <w:color w:val="auto"/>
        </w:rPr>
      </w:pPr>
    </w:p>
    <w:p>
      <w:pPr>
        <w:jc w:val="both"/>
        <w:ind w:left="10" w:right="3179" w:hanging="10"/>
        <w:spacing w:after="0" w:line="238" w:lineRule="auto"/>
        <w:tabs>
          <w:tab w:leader="none" w:pos="362"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violate any constitution, statute, regulation, rule, injunction, judgment, order, decree, ruling, charge, or other restriction of any government, governmental agency, or court to which the Buyer is subject or any provision of its charter or bylaws or (ii) conflict with, result in a breach of, constitute a default under, result in the acceleration of, create in any party the right to accelerate, terminate, modify, or cancel, or require any notice under any agreement, contract, lease, license, instrument, or other arrangement to which the Buyer is a party or by which it is bound or to which any of its assets is subject. The Buyer does not need to give any notice to, make any filing with, or obtain any authorization, consent, or approval of any government or governmental agency in order for the Parties to consummate the transactions contemplated by this Agreement (including the assignments and assumptions referred to in Section 2 above).</w:t>
      </w:r>
    </w:p>
    <w:p>
      <w:pPr>
        <w:spacing w:after="0" w:line="183" w:lineRule="exact"/>
        <w:rPr>
          <w:sz w:val="20"/>
          <w:szCs w:val="20"/>
          <w:color w:val="auto"/>
        </w:rPr>
      </w:pPr>
    </w:p>
    <w:p>
      <w:pPr>
        <w:jc w:val="both"/>
        <w:ind w:left="10" w:right="3179" w:firstLine="793"/>
        <w:spacing w:after="0" w:line="237" w:lineRule="auto"/>
        <w:rPr>
          <w:sz w:val="20"/>
          <w:szCs w:val="20"/>
          <w:color w:val="auto"/>
        </w:rPr>
      </w:pPr>
      <w:r>
        <w:rPr>
          <w:rFonts w:ascii="Courier New" w:cs="Courier New" w:eastAsia="Courier New" w:hAnsi="Courier New"/>
          <w:sz w:val="15"/>
          <w:szCs w:val="15"/>
          <w:color w:val="auto"/>
        </w:rPr>
        <w:t>4.1.5 Brokers' Fees. The Buyer has no Liability or obligation to pay any fees or commissions to any broker, finder, or agent with respect to the transactions contemplated by this Agreement for which the Seller could become liable or obligated.</w:t>
      </w:r>
    </w:p>
    <w:p>
      <w:pPr>
        <w:spacing w:after="0" w:line="171"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ARTICLE 5 -- Pre-Closing Covenants.</w:t>
      </w:r>
    </w:p>
    <w:p>
      <w:pPr>
        <w:ind w:left="193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left="10" w:right="3179"/>
        <w:spacing w:after="0" w:line="235" w:lineRule="auto"/>
        <w:rPr>
          <w:sz w:val="20"/>
          <w:szCs w:val="20"/>
          <w:color w:val="auto"/>
        </w:rPr>
      </w:pPr>
      <w:r>
        <w:rPr>
          <w:rFonts w:ascii="Courier New" w:cs="Courier New" w:eastAsia="Courier New" w:hAnsi="Courier New"/>
          <w:sz w:val="15"/>
          <w:szCs w:val="15"/>
          <w:color w:val="auto"/>
        </w:rPr>
        <w:t>The Parties agree as follows with respect to the period between the execution of this Agreement and the Closing.</w:t>
      </w:r>
    </w:p>
    <w:p>
      <w:pPr>
        <w:spacing w:after="0" w:line="176" w:lineRule="exact"/>
        <w:rPr>
          <w:sz w:val="20"/>
          <w:szCs w:val="20"/>
          <w:color w:val="auto"/>
        </w:rPr>
      </w:pPr>
    </w:p>
    <w:p>
      <w:pPr>
        <w:jc w:val="both"/>
        <w:ind w:left="10" w:right="3179" w:firstLine="793"/>
        <w:spacing w:after="0" w:line="237" w:lineRule="auto"/>
        <w:rPr>
          <w:sz w:val="20"/>
          <w:szCs w:val="20"/>
          <w:color w:val="auto"/>
        </w:rPr>
      </w:pPr>
      <w:r>
        <w:rPr>
          <w:rFonts w:ascii="Courier New" w:cs="Courier New" w:eastAsia="Courier New" w:hAnsi="Courier New"/>
          <w:sz w:val="15"/>
          <w:szCs w:val="15"/>
          <w:color w:val="auto"/>
        </w:rPr>
        <w:t>5.1.1 General. Each of the Parties will use its best efforts to take all action and to do all things necessary or proper to consummate and make effective the transactions contemplated by this Agreement (including satisfaction, of the closing conditions set forth in Section 6 below).</w:t>
      </w:r>
    </w:p>
    <w:p>
      <w:pPr>
        <w:spacing w:after="0" w:line="176" w:lineRule="exact"/>
        <w:rPr>
          <w:sz w:val="20"/>
          <w:szCs w:val="20"/>
          <w:color w:val="auto"/>
        </w:rPr>
      </w:pPr>
    </w:p>
    <w:p>
      <w:pPr>
        <w:jc w:val="both"/>
        <w:ind w:left="10" w:right="3179" w:firstLine="793"/>
        <w:spacing w:after="0" w:line="238" w:lineRule="auto"/>
        <w:rPr>
          <w:sz w:val="20"/>
          <w:szCs w:val="20"/>
          <w:color w:val="auto"/>
        </w:rPr>
      </w:pPr>
      <w:r>
        <w:rPr>
          <w:rFonts w:ascii="Courier New" w:cs="Courier New" w:eastAsia="Courier New" w:hAnsi="Courier New"/>
          <w:sz w:val="15"/>
          <w:szCs w:val="15"/>
          <w:color w:val="auto"/>
        </w:rPr>
        <w:t>5.1.2 Notices and Consents. The Seller will give any notices to third parties, and the Seller will use its reasonable best efforts to obtain any third party consents, that the Buyer may request in connection with the matters referred to in Section 3(c) above. Each of the Parties will give any notices to, make any filings with, and use its reasonable best efforts to obtain any authorizations, consents, and approvals of governments and governmental agencies in connection with the matters referred to in Section 3(c) and Section 4(c) above.</w:t>
      </w:r>
    </w:p>
    <w:p>
      <w:pPr>
        <w:spacing w:after="0" w:line="178" w:lineRule="exact"/>
        <w:rPr>
          <w:sz w:val="20"/>
          <w:szCs w:val="20"/>
          <w:color w:val="auto"/>
        </w:rPr>
      </w:pPr>
    </w:p>
    <w:p>
      <w:pPr>
        <w:jc w:val="both"/>
        <w:ind w:left="10" w:right="3179" w:firstLine="793"/>
        <w:spacing w:after="0" w:line="256" w:lineRule="auto"/>
        <w:rPr>
          <w:sz w:val="20"/>
          <w:szCs w:val="20"/>
          <w:color w:val="auto"/>
        </w:rPr>
      </w:pPr>
      <w:r>
        <w:rPr>
          <w:rFonts w:ascii="Courier New" w:cs="Courier New" w:eastAsia="Courier New" w:hAnsi="Courier New"/>
          <w:sz w:val="14"/>
          <w:szCs w:val="14"/>
          <w:color w:val="auto"/>
        </w:rPr>
        <w:t>5.1.3 Operation of Business. The Seller will not engage in any practice, take any action, or enter into any transaction outside the Ordinary Course of Business. Without limiting the generality of the foregoing, without the prior written consent of the Buyer, the Seller will not (i) declare, set aside, or pay any dividend or make any distribution with respect to its capital stock or redeem, purchase, or otherwise acquire any of its capital stock, or</w:t>
      </w:r>
    </w:p>
    <w:p>
      <w:pPr>
        <w:spacing w:after="0" w:line="2" w:lineRule="exact"/>
        <w:rPr>
          <w:sz w:val="20"/>
          <w:szCs w:val="20"/>
          <w:color w:val="auto"/>
        </w:rPr>
      </w:pPr>
    </w:p>
    <w:p>
      <w:pPr>
        <w:ind w:left="10" w:right="3179" w:hanging="10"/>
        <w:spacing w:after="0" w:line="235" w:lineRule="auto"/>
        <w:tabs>
          <w:tab w:leader="none" w:pos="53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otherwise engage in any practice, take any action, or enter into any transaction of the sort described in Section 3(h) above.</w:t>
      </w:r>
    </w:p>
    <w:p>
      <w:pPr>
        <w:spacing w:after="0" w:line="34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E-20</w:t>
      </w:r>
    </w:p>
    <w:p>
      <w:pPr>
        <w:sectPr>
          <w:pgSz w:w="11900" w:h="16838" w:orient="portrait"/>
          <w:cols w:equalWidth="0" w:num="1">
            <w:col w:w="10229"/>
          </w:cols>
          <w:pgMar w:left="230" w:top="627" w:right="1440" w:bottom="1440" w:gutter="0" w:footer="0" w:header="0"/>
        </w:sectPr>
      </w:pPr>
    </w:p>
    <w:bookmarkStart w:id="45" w:name="page46"/>
    <w:bookmarkEnd w:id="45"/>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5.1.4 Preservation of Business. The Seller will keep its business and properties substantially intact, including its present operations, physical facilities, working conditions, and relationships with lessors, licensors, suppliers, customers, and employees.</w:t>
      </w:r>
    </w:p>
    <w:p>
      <w:pPr>
        <w:spacing w:after="0" w:line="176"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5.1.5 Full Access. The Seller will permit representatives of the Buyer to have full access at all reasonable times, and in a manner so as not to interfere with the normal business operations of the Seller, to all premises, properties, personnel, books, records (including Tax records), contracts, and documents of or pertaining to the Seller.</w:t>
      </w:r>
    </w:p>
    <w:p>
      <w:pPr>
        <w:spacing w:after="0" w:line="178"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5.1.6 Notice of Developments. Each Party will give prompt written notice to the other Party of any material adverse development causing a breach of any of its own representations and warranties in Section 3 and Section 4 above. No disclosure by any Party pursuant to this Section 5(f), however, shall be deemed to amend or supplement the Disclosure Schedule or to prevent or cure any misrepresentation, breach of warranty, or breach of covenant without the written consent of the other Party.</w:t>
      </w:r>
    </w:p>
    <w:p>
      <w:pPr>
        <w:spacing w:after="0" w:line="177"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5.1.7 Exclusivity. The Seller, on behalf of itself, its officers, directors, shareholders, attorneys, and advisor, together with the Principal Shareholders, agrees not to (i) solicit, initiate, or encourage the submission of any proposal or offer from any Person relating to the acquisition of any capital stock or other voting securities, or any substantial portion of the assets, of the Seller (including any acquisition structured as a merger, consolidation, or share exchange); or (ii) participate other than with Buyer in any discussions or negotiations regarding, furnish any information with respect to, assist or participate in, or facilitate in any other manner any effort or attempt by any Person to do or seek any of the foregoing, pending the Closing. The Seller will notify the Buyer immediately if any Person makes any proposal, offer, inquiry, or contact with respect to any of the foregoing prior to the Closing.</w:t>
      </w:r>
    </w:p>
    <w:p>
      <w:pPr>
        <w:spacing w:after="0" w:line="177"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ARTICLE 6 -- Conditions to Obligation to Close.</w:t>
      </w:r>
    </w:p>
    <w:p>
      <w:pPr>
        <w:ind w:left="14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6.1.1 Conditions to Obligation of the Buyer. The obligation of the Buyer to consummate the transactions to be performed by it in connection with the Closing is subject to satisfaction of the following conditions:</w:t>
      </w:r>
    </w:p>
    <w:p>
      <w:pPr>
        <w:spacing w:after="0" w:line="175" w:lineRule="exact"/>
        <w:rPr>
          <w:sz w:val="20"/>
          <w:szCs w:val="20"/>
          <w:color w:val="auto"/>
        </w:rPr>
      </w:pPr>
    </w:p>
    <w:p>
      <w:pPr>
        <w:jc w:val="both"/>
        <w:ind w:right="3179" w:firstLine="784"/>
        <w:spacing w:after="0" w:line="237" w:lineRule="auto"/>
        <w:tabs>
          <w:tab w:leader="none" w:pos="1146"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set forth in Section 3 above shall be true and correct in all material respects at and as of the Closing Date;</w:t>
      </w:r>
    </w:p>
    <w:p>
      <w:pPr>
        <w:spacing w:after="0" w:line="174" w:lineRule="exact"/>
        <w:rPr>
          <w:rFonts w:ascii="Courier New" w:cs="Courier New" w:eastAsia="Courier New" w:hAnsi="Courier New"/>
          <w:sz w:val="15"/>
          <w:szCs w:val="15"/>
          <w:color w:val="auto"/>
        </w:rPr>
      </w:pPr>
    </w:p>
    <w:p>
      <w:pPr>
        <w:ind w:right="3179" w:firstLine="784"/>
        <w:spacing w:after="0" w:line="235" w:lineRule="auto"/>
        <w:tabs>
          <w:tab w:leader="none" w:pos="1146"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Seller shall have performed and complied with all of its covenants hereunder in all material respects through the Closing;</w:t>
      </w:r>
    </w:p>
    <w:p>
      <w:pPr>
        <w:spacing w:after="0" w:line="175" w:lineRule="exact"/>
        <w:rPr>
          <w:rFonts w:ascii="Courier New" w:cs="Courier New" w:eastAsia="Courier New" w:hAnsi="Courier New"/>
          <w:sz w:val="15"/>
          <w:szCs w:val="15"/>
          <w:color w:val="auto"/>
        </w:rPr>
      </w:pPr>
    </w:p>
    <w:p>
      <w:pPr>
        <w:ind w:right="3179" w:firstLine="784"/>
        <w:spacing w:after="0" w:line="235" w:lineRule="auto"/>
        <w:tabs>
          <w:tab w:leader="none" w:pos="1146"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Seller shall have procured all of the third party consents specified in Section 5(b);</w:t>
      </w:r>
    </w:p>
    <w:p>
      <w:pPr>
        <w:spacing w:after="0" w:line="175" w:lineRule="exact"/>
        <w:rPr>
          <w:rFonts w:ascii="Courier New" w:cs="Courier New" w:eastAsia="Courier New" w:hAnsi="Courier New"/>
          <w:sz w:val="15"/>
          <w:szCs w:val="15"/>
          <w:color w:val="auto"/>
        </w:rPr>
      </w:pPr>
    </w:p>
    <w:p>
      <w:pPr>
        <w:jc w:val="both"/>
        <w:ind w:right="3179" w:firstLine="784"/>
        <w:spacing w:after="0" w:line="259" w:lineRule="auto"/>
        <w:tabs>
          <w:tab w:leader="none" w:pos="1146"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material adverse change, financial or otherwise, shall have occurred in the condition of Seller, Seller's business, or the Acquired Assets, including without limitation any action, suit, or proceeding pending or threatened before any court or quasi-judicial or administrative agency of any</w:t>
      </w:r>
    </w:p>
    <w:p>
      <w:pPr>
        <w:spacing w:after="0" w:line="327"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E-21</w:t>
      </w:r>
    </w:p>
    <w:p>
      <w:pPr>
        <w:sectPr>
          <w:pgSz w:w="11900" w:h="16838" w:orient="portrait"/>
          <w:cols w:equalWidth="0" w:num="1">
            <w:col w:w="10219"/>
          </w:cols>
          <w:pgMar w:left="240" w:top="627" w:right="1440" w:bottom="1440" w:gutter="0" w:footer="0" w:header="0"/>
        </w:sectPr>
      </w:pPr>
    </w:p>
    <w:bookmarkStart w:id="46" w:name="page47"/>
    <w:bookmarkEnd w:id="46"/>
    <w:p>
      <w:pPr>
        <w:jc w:val="both"/>
        <w:ind w:left="10" w:right="3179"/>
        <w:spacing w:after="0" w:line="256" w:lineRule="auto"/>
        <w:rPr>
          <w:sz w:val="20"/>
          <w:szCs w:val="20"/>
          <w:color w:val="auto"/>
        </w:rPr>
      </w:pPr>
      <w:r>
        <w:rPr>
          <w:rFonts w:ascii="Courier New" w:cs="Courier New" w:eastAsia="Courier New" w:hAnsi="Courier New"/>
          <w:sz w:val="14"/>
          <w:szCs w:val="14"/>
          <w:color w:val="auto"/>
        </w:rPr>
        <w:t>federal, state, local, or foreign jurisdiction or before any arbitrator wherein an unfavorable injunction, judgment, order, decree, ruling, or charge would (A) prevent consummation of any of the transactions contemplated by this Agreement,</w:t>
      </w:r>
    </w:p>
    <w:p>
      <w:pPr>
        <w:spacing w:after="0" w:line="1" w:lineRule="exact"/>
        <w:rPr>
          <w:sz w:val="20"/>
          <w:szCs w:val="20"/>
          <w:color w:val="auto"/>
        </w:rPr>
      </w:pPr>
    </w:p>
    <w:p>
      <w:pPr>
        <w:jc w:val="both"/>
        <w:ind w:left="10" w:right="3179" w:hanging="10"/>
        <w:spacing w:after="0" w:line="259" w:lineRule="auto"/>
        <w:tabs>
          <w:tab w:leader="none" w:pos="362"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any of the transactions contemplated by this Agreement to be rescinded following consummation, or (C) affect adversely the right of the Buyer to own the Acquired Assets, and to operate the former businesses of the Seller (and no such injunction, judgment, order, decree, ruling, or charge shall be in effect);</w:t>
      </w:r>
    </w:p>
    <w:p>
      <w:pPr>
        <w:sectPr>
          <w:pgSz w:w="11900" w:h="16838" w:orient="portrait"/>
          <w:cols w:equalWidth="0" w:num="1">
            <w:col w:w="10229"/>
          </w:cols>
          <w:pgMar w:left="230" w:top="627" w:right="1440" w:bottom="1440" w:gutter="0" w:footer="0" w:header="0"/>
        </w:sectPr>
      </w:pPr>
    </w:p>
    <w:p>
      <w:pPr>
        <w:spacing w:after="0" w:line="163" w:lineRule="exact"/>
        <w:rPr>
          <w:sz w:val="20"/>
          <w:szCs w:val="20"/>
          <w:color w:val="auto"/>
        </w:rPr>
      </w:pPr>
    </w:p>
    <w:p>
      <w:pPr>
        <w:jc w:val="both"/>
        <w:ind w:left="10" w:firstLine="784"/>
        <w:spacing w:after="0" w:line="260" w:lineRule="auto"/>
        <w:tabs>
          <w:tab w:leader="none" w:pos="1155"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Seller shall have effect that each of the conditions satisfied in all respects;</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delivered to the Buyer a certificate to the specified above in Section 6(a)(i)-(iii) is</w:t>
      </w:r>
    </w:p>
    <w:p>
      <w:pPr>
        <w:spacing w:after="0" w:line="345" w:lineRule="exact"/>
        <w:rPr>
          <w:sz w:val="20"/>
          <w:szCs w:val="20"/>
          <w:color w:val="auto"/>
        </w:rPr>
      </w:pPr>
    </w:p>
    <w:p>
      <w:pPr>
        <w:sectPr>
          <w:pgSz w:w="11900" w:h="16838" w:orient="portrait"/>
          <w:cols w:equalWidth="0" w:num="2">
            <w:col w:w="2990" w:space="180"/>
            <w:col w:w="7059"/>
          </w:cols>
          <w:pgMar w:left="230" w:top="627" w:right="1440" w:bottom="1440" w:gutter="0" w:footer="0" w:header="0"/>
          <w:type w:val="continuous"/>
        </w:sectPr>
      </w:pPr>
    </w:p>
    <w:p>
      <w:pPr>
        <w:jc w:val="both"/>
        <w:ind w:left="10" w:right="3179" w:firstLine="784"/>
        <w:spacing w:after="0" w:line="237" w:lineRule="auto"/>
        <w:tabs>
          <w:tab w:leader="none" w:pos="1244"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Seller and the Buyer shall have received all other authorizations, consents, and approvals of governments and governmental agencies referred to in Section 3(c) and Section 4(c) above;</w:t>
      </w:r>
    </w:p>
    <w:p>
      <w:pPr>
        <w:spacing w:after="0" w:line="174" w:lineRule="exact"/>
        <w:rPr>
          <w:rFonts w:ascii="Courier New" w:cs="Courier New" w:eastAsia="Courier New" w:hAnsi="Courier New"/>
          <w:sz w:val="15"/>
          <w:szCs w:val="15"/>
          <w:color w:val="auto"/>
        </w:rPr>
      </w:pPr>
    </w:p>
    <w:p>
      <w:pPr>
        <w:jc w:val="both"/>
        <w:ind w:left="10" w:right="3179" w:firstLine="784"/>
        <w:spacing w:after="0" w:line="238" w:lineRule="auto"/>
        <w:tabs>
          <w:tab w:leader="none" w:pos="115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Buyer shall not have discovered during due diligence any lien, encumbrance, security interest, claim, license, grant, infringement of Buyer's Intellectual Property rights, or Buyer's infringement of the Intellectual Property rights of any third party, which materially adversely affects the Acquired Assets (except for the Assumed Liabilities, and those encumbrances or security interests which shall be paid or terminated prior to or at the Closing, including the Gold Found Loan Documents).</w:t>
      </w:r>
    </w:p>
    <w:p>
      <w:pPr>
        <w:spacing w:after="0" w:line="176" w:lineRule="exact"/>
        <w:rPr>
          <w:rFonts w:ascii="Courier New" w:cs="Courier New" w:eastAsia="Courier New" w:hAnsi="Courier New"/>
          <w:sz w:val="15"/>
          <w:szCs w:val="15"/>
          <w:color w:val="auto"/>
        </w:rPr>
      </w:pPr>
    </w:p>
    <w:p>
      <w:pPr>
        <w:jc w:val="both"/>
        <w:ind w:left="10" w:right="3179" w:firstLine="784"/>
        <w:spacing w:after="0" w:line="237" w:lineRule="auto"/>
        <w:tabs>
          <w:tab w:leader="none" w:pos="115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Buyer shall have received from counsel to the Seller an opinion, substantially in the form as set forth in Exhibit E attached hereto, addressed to the Buyer, and dated as of the Closing Date;</w:t>
      </w:r>
    </w:p>
    <w:p>
      <w:pPr>
        <w:spacing w:after="0" w:line="174" w:lineRule="exact"/>
        <w:rPr>
          <w:rFonts w:ascii="Courier New" w:cs="Courier New" w:eastAsia="Courier New" w:hAnsi="Courier New"/>
          <w:sz w:val="15"/>
          <w:szCs w:val="15"/>
          <w:color w:val="auto"/>
        </w:rPr>
      </w:pPr>
    </w:p>
    <w:p>
      <w:pPr>
        <w:jc w:val="both"/>
        <w:ind w:left="10" w:right="3179" w:firstLine="784"/>
        <w:spacing w:after="0" w:line="237" w:lineRule="auto"/>
        <w:tabs>
          <w:tab w:leader="none" w:pos="1244"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actions to be taken by the Seller in connection with consummation of the transactions contemplated hereby and all certificates, opinions, instruments, and other documents required to effect the transactions contemplated hereby will be reasonably satisfactory in form and substance to the Buyer; and</w:t>
      </w:r>
    </w:p>
    <w:p>
      <w:pPr>
        <w:spacing w:after="0" w:line="178" w:lineRule="exact"/>
        <w:rPr>
          <w:rFonts w:ascii="Courier New" w:cs="Courier New" w:eastAsia="Courier New" w:hAnsi="Courier New"/>
          <w:sz w:val="15"/>
          <w:szCs w:val="15"/>
          <w:color w:val="auto"/>
        </w:rPr>
      </w:pPr>
    </w:p>
    <w:p>
      <w:pPr>
        <w:ind w:left="10" w:right="3179" w:firstLine="784"/>
        <w:spacing w:after="0" w:line="235" w:lineRule="auto"/>
        <w:tabs>
          <w:tab w:leader="none" w:pos="115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 contemplated herein shall have been approved by the Board of Directors of Buyer.</w:t>
      </w:r>
    </w:p>
    <w:p>
      <w:pPr>
        <w:spacing w:after="0" w:line="176" w:lineRule="exact"/>
        <w:rPr>
          <w:sz w:val="20"/>
          <w:szCs w:val="20"/>
          <w:color w:val="auto"/>
        </w:rPr>
      </w:pPr>
    </w:p>
    <w:p>
      <w:pPr>
        <w:jc w:val="both"/>
        <w:ind w:left="10" w:right="3179" w:firstLine="441"/>
        <w:spacing w:after="0" w:line="235" w:lineRule="auto"/>
        <w:rPr>
          <w:sz w:val="20"/>
          <w:szCs w:val="20"/>
          <w:color w:val="auto"/>
        </w:rPr>
      </w:pPr>
      <w:r>
        <w:rPr>
          <w:rFonts w:ascii="Courier New" w:cs="Courier New" w:eastAsia="Courier New" w:hAnsi="Courier New"/>
          <w:sz w:val="15"/>
          <w:szCs w:val="15"/>
          <w:color w:val="auto"/>
        </w:rPr>
        <w:t>The Buyer may waive any condition specified in this Section 6(a) if it executes a writing so stating at or prior to the Closing.</w:t>
      </w:r>
    </w:p>
    <w:p>
      <w:pPr>
        <w:spacing w:after="0" w:line="176" w:lineRule="exact"/>
        <w:rPr>
          <w:sz w:val="20"/>
          <w:szCs w:val="20"/>
          <w:color w:val="auto"/>
        </w:rPr>
      </w:pPr>
    </w:p>
    <w:p>
      <w:pPr>
        <w:jc w:val="both"/>
        <w:ind w:left="10" w:right="3179" w:firstLine="793"/>
        <w:spacing w:after="0" w:line="237" w:lineRule="auto"/>
        <w:rPr>
          <w:sz w:val="20"/>
          <w:szCs w:val="20"/>
          <w:color w:val="auto"/>
        </w:rPr>
      </w:pPr>
      <w:r>
        <w:rPr>
          <w:rFonts w:ascii="Courier New" w:cs="Courier New" w:eastAsia="Courier New" w:hAnsi="Courier New"/>
          <w:sz w:val="15"/>
          <w:szCs w:val="15"/>
          <w:color w:val="auto"/>
        </w:rPr>
        <w:t>6.1.2 Conditions to Obligation of the Seller. The obligation of the Seller to consummate the transactions to be performed by it in connection with the Closing is subject to satisfaction of the following conditions:</w:t>
      </w:r>
    </w:p>
    <w:p>
      <w:pPr>
        <w:spacing w:after="0" w:line="175" w:lineRule="exact"/>
        <w:rPr>
          <w:sz w:val="20"/>
          <w:szCs w:val="20"/>
          <w:color w:val="auto"/>
        </w:rPr>
      </w:pPr>
    </w:p>
    <w:p>
      <w:pPr>
        <w:jc w:val="both"/>
        <w:ind w:left="10" w:right="3179" w:firstLine="784"/>
        <w:spacing w:after="0" w:line="237" w:lineRule="auto"/>
        <w:tabs>
          <w:tab w:leader="none" w:pos="1155"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set forth in Section 4 above shall be true and correct in all material respects at and as of the Closing Date;</w:t>
      </w:r>
    </w:p>
    <w:p>
      <w:pPr>
        <w:spacing w:after="0" w:line="174" w:lineRule="exact"/>
        <w:rPr>
          <w:rFonts w:ascii="Courier New" w:cs="Courier New" w:eastAsia="Courier New" w:hAnsi="Courier New"/>
          <w:sz w:val="15"/>
          <w:szCs w:val="15"/>
          <w:color w:val="auto"/>
        </w:rPr>
      </w:pPr>
    </w:p>
    <w:p>
      <w:pPr>
        <w:ind w:left="10" w:right="3179" w:firstLine="784"/>
        <w:spacing w:after="0" w:line="235" w:lineRule="auto"/>
        <w:tabs>
          <w:tab w:leader="none" w:pos="1155"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Buyer shall have performed and complied with all of its covenants hereunder in all material respects through the Closing;</w:t>
      </w:r>
    </w:p>
    <w:p>
      <w:pPr>
        <w:spacing w:after="0" w:line="34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E-22</w:t>
      </w:r>
    </w:p>
    <w:p>
      <w:pPr>
        <w:sectPr>
          <w:pgSz w:w="11900" w:h="16838" w:orient="portrait"/>
          <w:cols w:equalWidth="0" w:num="1">
            <w:col w:w="10229"/>
          </w:cols>
          <w:pgMar w:left="230" w:top="627" w:right="1440" w:bottom="1440" w:gutter="0" w:footer="0" w:header="0"/>
          <w:type w:val="continuous"/>
        </w:sectPr>
      </w:pPr>
    </w:p>
    <w:bookmarkStart w:id="47" w:name="page48"/>
    <w:bookmarkEnd w:id="47"/>
    <w:p>
      <w:pPr>
        <w:jc w:val="both"/>
        <w:ind w:right="3179" w:firstLine="784"/>
        <w:spacing w:after="0" w:line="238" w:lineRule="auto"/>
        <w:tabs>
          <w:tab w:leader="none" w:pos="1146"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action, suit, or proceeding shall be pending or threatened before any court or quasi-judicial or administrative agency of any federal, state, local, or foreign jurisdiction or before any arbitrator wherein an unfavorable injunction, judgment, order, decree, ruling, or charge would (A) prevent consummation of any of the transactions contemplated by this Agreement or (B) cause any of the transactions contemplated by this Agreement to be rescinded following consummation (and no such injunction, judgment, order, decree, ruling, or charge shall be in effect);</w:t>
      </w:r>
    </w:p>
    <w:p>
      <w:pPr>
        <w:sectPr>
          <w:pgSz w:w="11900" w:h="16838" w:orient="portrait"/>
          <w:cols w:equalWidth="0" w:num="1">
            <w:col w:w="10219"/>
          </w:cols>
          <w:pgMar w:left="240" w:top="627" w:right="1440" w:bottom="1440" w:gutter="0" w:footer="0" w:header="0"/>
        </w:sectPr>
      </w:pPr>
    </w:p>
    <w:p>
      <w:pPr>
        <w:spacing w:after="0" w:line="172" w:lineRule="exact"/>
        <w:rPr>
          <w:sz w:val="20"/>
          <w:szCs w:val="20"/>
          <w:color w:val="auto"/>
        </w:rPr>
      </w:pPr>
    </w:p>
    <w:p>
      <w:pPr>
        <w:ind w:left="1140" w:hanging="356"/>
        <w:spacing w:after="0"/>
        <w:tabs>
          <w:tab w:leader="none" w:pos="11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Buyer shall have</w:t>
      </w:r>
    </w:p>
    <w:p>
      <w:pPr>
        <w:spacing w:after="0" w:line="5" w:lineRule="exact"/>
        <w:rPr>
          <w:rFonts w:ascii="Courier New" w:cs="Courier New" w:eastAsia="Courier New" w:hAnsi="Courier New"/>
          <w:sz w:val="15"/>
          <w:szCs w:val="15"/>
          <w:color w:val="auto"/>
        </w:rPr>
      </w:pPr>
    </w:p>
    <w:p>
      <w:pPr>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effect that each of the conditions satisfied in all respects;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right"/>
        <w:ind w:right="3179"/>
        <w:spacing w:after="0" w:line="265" w:lineRule="auto"/>
        <w:rPr>
          <w:sz w:val="20"/>
          <w:szCs w:val="20"/>
          <w:color w:val="auto"/>
        </w:rPr>
      </w:pPr>
      <w:r>
        <w:rPr>
          <w:rFonts w:ascii="Courier New" w:cs="Courier New" w:eastAsia="Courier New" w:hAnsi="Courier New"/>
          <w:sz w:val="14"/>
          <w:szCs w:val="14"/>
          <w:color w:val="auto"/>
        </w:rPr>
        <w:t>delivered to the Seller a certificate  to the specified above in Section  6(b)(i)-(iii) is</w:t>
      </w:r>
    </w:p>
    <w:p>
      <w:pPr>
        <w:spacing w:after="0" w:line="327" w:lineRule="exact"/>
        <w:rPr>
          <w:sz w:val="20"/>
          <w:szCs w:val="20"/>
          <w:color w:val="auto"/>
        </w:rPr>
      </w:pPr>
    </w:p>
    <w:p>
      <w:pPr>
        <w:sectPr>
          <w:pgSz w:w="11900" w:h="16838" w:orient="portrait"/>
          <w:cols w:equalWidth="0" w:num="2">
            <w:col w:w="2980" w:space="100"/>
            <w:col w:w="7139"/>
          </w:cols>
          <w:pgMar w:left="240" w:top="627" w:right="1440" w:bottom="1440" w:gutter="0" w:footer="0" w:header="0"/>
          <w:type w:val="continuous"/>
        </w:sectPr>
      </w:pPr>
    </w:p>
    <w:p>
      <w:pPr>
        <w:jc w:val="both"/>
        <w:ind w:right="3179" w:firstLine="784"/>
        <w:spacing w:after="0" w:line="237" w:lineRule="auto"/>
        <w:tabs>
          <w:tab w:leader="none" w:pos="1234"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Seller and the Buyer shall have received all other authorizations, consents, and approvals of governments and governmental agencies referred to in Section 3(c) and Section 4(c) above;</w:t>
      </w:r>
    </w:p>
    <w:p>
      <w:pPr>
        <w:spacing w:after="0" w:line="174" w:lineRule="exact"/>
        <w:rPr>
          <w:rFonts w:ascii="Courier New" w:cs="Courier New" w:eastAsia="Courier New" w:hAnsi="Courier New"/>
          <w:sz w:val="15"/>
          <w:szCs w:val="15"/>
          <w:color w:val="auto"/>
        </w:rPr>
      </w:pPr>
    </w:p>
    <w:p>
      <w:pPr>
        <w:ind w:right="3179" w:firstLine="784"/>
        <w:spacing w:after="0" w:line="235" w:lineRule="auto"/>
        <w:tabs>
          <w:tab w:leader="none" w:pos="114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 contemplated herein shall have been approved by the Board of Directors of the Seller and the Seller Shareholders; and</w:t>
      </w:r>
    </w:p>
    <w:p>
      <w:pPr>
        <w:spacing w:after="0" w:line="175" w:lineRule="exact"/>
        <w:rPr>
          <w:rFonts w:ascii="Courier New" w:cs="Courier New" w:eastAsia="Courier New" w:hAnsi="Courier New"/>
          <w:sz w:val="15"/>
          <w:szCs w:val="15"/>
          <w:color w:val="auto"/>
        </w:rPr>
      </w:pPr>
    </w:p>
    <w:p>
      <w:pPr>
        <w:jc w:val="both"/>
        <w:ind w:right="3179" w:firstLine="784"/>
        <w:spacing w:after="0" w:line="237" w:lineRule="auto"/>
        <w:tabs>
          <w:tab w:leader="none" w:pos="1234"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actions to be taken by the Buyer in connection with consummation of the transactions contemplated hereby and all certificates, opinions, instruments, and other documents required to effect the transactions contemplated hereby will be reasonably satisfactory in form and substance to the Seller.</w:t>
      </w:r>
    </w:p>
    <w:p>
      <w:pPr>
        <w:spacing w:after="0" w:line="178"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The Seller may waive any condition specified in this Section 6(b) if it executes a writing so stating at or prior to the Closing.</w:t>
      </w:r>
    </w:p>
    <w:p>
      <w:pPr>
        <w:spacing w:after="0" w:line="34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ARTICLE 7 -- Termination.</w:t>
      </w:r>
    </w:p>
    <w:p>
      <w:pPr>
        <w:ind w:left="24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793"/>
        <w:spacing w:after="0" w:line="235" w:lineRule="auto"/>
        <w:rPr>
          <w:sz w:val="20"/>
          <w:szCs w:val="20"/>
          <w:color w:val="auto"/>
        </w:rPr>
      </w:pPr>
      <w:r>
        <w:rPr>
          <w:rFonts w:ascii="Courier New" w:cs="Courier New" w:eastAsia="Courier New" w:hAnsi="Courier New"/>
          <w:sz w:val="15"/>
          <w:szCs w:val="15"/>
          <w:color w:val="auto"/>
        </w:rPr>
        <w:t>7.1.1 Termination of Agreement. Certain of the Parties may terminate this Agreement as provided below:</w:t>
      </w:r>
    </w:p>
    <w:p>
      <w:pPr>
        <w:spacing w:after="0" w:line="176" w:lineRule="exact"/>
        <w:rPr>
          <w:sz w:val="20"/>
          <w:szCs w:val="20"/>
          <w:color w:val="auto"/>
        </w:rPr>
      </w:pPr>
    </w:p>
    <w:p>
      <w:pPr>
        <w:ind w:right="3179" w:firstLine="784"/>
        <w:spacing w:after="0" w:line="235" w:lineRule="auto"/>
        <w:tabs>
          <w:tab w:leader="none" w:pos="1146"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Buyer and the Seller may terminate this Agreement by mutual written consent at any time prior to the Closing;</w:t>
      </w:r>
    </w:p>
    <w:p>
      <w:pPr>
        <w:spacing w:after="0" w:line="175" w:lineRule="exact"/>
        <w:rPr>
          <w:rFonts w:ascii="Courier New" w:cs="Courier New" w:eastAsia="Courier New" w:hAnsi="Courier New"/>
          <w:sz w:val="15"/>
          <w:szCs w:val="15"/>
          <w:color w:val="auto"/>
        </w:rPr>
      </w:pPr>
    </w:p>
    <w:p>
      <w:pPr>
        <w:jc w:val="both"/>
        <w:ind w:right="3179" w:firstLine="784"/>
        <w:spacing w:after="0" w:line="237" w:lineRule="auto"/>
        <w:tabs>
          <w:tab w:leader="none" w:pos="1146"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Buyer may terminate this Agreement by giving written notice to the Seller on or before the Closing if the Buyer is not satisfied with the results of its continuing business, legal, and accounting due diligence regarding the Seller, subject to the provisions of Section 2(c) hereof regarding forfeiture of the Deposit in certain circumstances;</w:t>
      </w:r>
    </w:p>
    <w:p>
      <w:pPr>
        <w:spacing w:after="0" w:line="178" w:lineRule="exact"/>
        <w:rPr>
          <w:rFonts w:ascii="Courier New" w:cs="Courier New" w:eastAsia="Courier New" w:hAnsi="Courier New"/>
          <w:sz w:val="15"/>
          <w:szCs w:val="15"/>
          <w:color w:val="auto"/>
        </w:rPr>
      </w:pPr>
    </w:p>
    <w:p>
      <w:pPr>
        <w:jc w:val="both"/>
        <w:ind w:right="3179" w:firstLine="784"/>
        <w:spacing w:after="0" w:line="257" w:lineRule="auto"/>
        <w:tabs>
          <w:tab w:leader="none" w:pos="1146"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Buyer may terminate this Agreement by giving written notice to the Seller at any time prior to the Closing (A) in the event the Seller has breached any material representation, warranty, or covenant contained in this Agreement in any material respect, the Buyer has notified the Seller of the breach, and the breach has continued without cure for a period of 10 days after the notice of breach or (B) if the Closing shall not have occurred within a reasonable amount of time after July 3, 2000 by reason of the failure of any</w:t>
      </w:r>
    </w:p>
    <w:p>
      <w:pPr>
        <w:spacing w:after="0" w:line="331"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E-23</w:t>
      </w:r>
    </w:p>
    <w:p>
      <w:pPr>
        <w:sectPr>
          <w:pgSz w:w="11900" w:h="16838" w:orient="portrait"/>
          <w:cols w:equalWidth="0" w:num="1">
            <w:col w:w="10219"/>
          </w:cols>
          <w:pgMar w:left="240" w:top="627" w:right="1440" w:bottom="1440" w:gutter="0" w:footer="0" w:header="0"/>
          <w:type w:val="continuous"/>
        </w:sectPr>
      </w:pPr>
    </w:p>
    <w:bookmarkStart w:id="48" w:name="page49"/>
    <w:bookmarkEnd w:id="48"/>
    <w:p>
      <w:pPr>
        <w:jc w:val="both"/>
        <w:ind w:right="3179"/>
        <w:spacing w:after="0" w:line="237" w:lineRule="auto"/>
        <w:rPr>
          <w:sz w:val="20"/>
          <w:szCs w:val="20"/>
          <w:color w:val="auto"/>
        </w:rPr>
      </w:pPr>
      <w:r>
        <w:rPr>
          <w:rFonts w:ascii="Courier New" w:cs="Courier New" w:eastAsia="Courier New" w:hAnsi="Courier New"/>
          <w:sz w:val="15"/>
          <w:szCs w:val="15"/>
          <w:color w:val="auto"/>
        </w:rPr>
        <w:t>condition precedent under Section 6(a) hereof (unless the failure results primarily from the Buyer itself breaching any representation, warranty, or covenant contained in this Agreement); and</w:t>
      </w:r>
    </w:p>
    <w:p>
      <w:pPr>
        <w:spacing w:after="0" w:line="175" w:lineRule="exact"/>
        <w:rPr>
          <w:sz w:val="20"/>
          <w:szCs w:val="20"/>
          <w:color w:val="auto"/>
        </w:rPr>
      </w:pPr>
    </w:p>
    <w:p>
      <w:pPr>
        <w:jc w:val="both"/>
        <w:ind w:right="3179" w:firstLine="784"/>
        <w:spacing w:after="0" w:line="238" w:lineRule="auto"/>
        <w:tabs>
          <w:tab w:leader="none" w:pos="1146"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Seller may terminate this Agreement by giving written notice to the Buyer at any time prior to the Closing (A) in the event the Buyer has breached any material representation, warranty, or covenant contained in this Agreement in any material respect, the Seller has notified the Buyer of the breach, and the breach has continued without cure for a period of 10 days after the notice of breach or (B) if the Closing shall not have occurred within a reasonable amount of time after July 3, 2000, by reason of the failure of any condition precedent under Section 6(b) hereof (unless the failure results primarily from the Seller itself breaching any representation, warranty, or covenant contained in this Agreement).</w:t>
      </w:r>
    </w:p>
    <w:p>
      <w:pPr>
        <w:spacing w:after="0" w:line="180"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7.1.2 Effect of Termination. If any Party terminates this Agreement pursuant to Section 7(a) above, all rights and obligations of the Parties hereunder shall terminate without any Liability of any Party to any other Party (except for any Liability of any Party then in breach, and except for the provisions of Section 2(c) relating to the forfeiture or refund of the Deposit in certain circumstances).</w:t>
      </w:r>
    </w:p>
    <w:p>
      <w:pPr>
        <w:spacing w:after="0" w:line="170"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ARTICLE 8 -- Remedies for Breaches of this Agreement.</w:t>
      </w:r>
    </w:p>
    <w:p>
      <w:pPr>
        <w:ind w:left="11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8.1.1 Survival of Representations and Warranties. All of the representations and warranties of the Parties contained in this Agreement shall survive the Closing hereunder (even if the damaged Party knew or had reason to know of any misrepresentation or breach of warranty or covenant at the time of Closing) and continue in full force and effect for a period of two years thereafter (subject to any applicable statutes of limitations).</w:t>
      </w:r>
    </w:p>
    <w:p>
      <w:pPr>
        <w:spacing w:after="0" w:line="176"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8.1.2 Indemnification Provisions for Benefit of the Buyer. In the event the Seller breaches any of its representations, warranties, or covenants, or any other provision contained herein, and, if there is an applicable survival period pursuant to Section 8(a) above, provided that the Buyer makes a written claim for indemnification against the Seller pursuant to the provisions below within such survival period, then the Seller agrees to indemnify the Buyer from and against the entirety of any Adverse Consequences the Buyer may suffer through and after the date of the claim for indemnification (including any Adverse Consequences the Buyer may suffer after the end of any applicable survival period) resulting from, arising out of, relating to, in the nature of, or caused by a material breach of any such representation, warranty, covenant or other provision hereof.</w:t>
      </w:r>
    </w:p>
    <w:p>
      <w:pPr>
        <w:spacing w:after="0" w:line="182"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8.1.3 Indemnification Provisions for Benefit of the Sellers. In the event the Buyer materially breaches any of its representations, warranties, and covenants contained herein, and, if there is an applicable survival period pursuant to Section 8(a) above, provided that the Seller makes a written claim for indemnification against the Buyer pursuant to the provisions below within such survival period, then the Buyer agrees to indemnify the Seller from and against the entirety of any Adverse Consequences the Seller may suffer through and after the date of the claim for indemnification (including any Adverse Consequences the Seller may suffer after the end of any applicable survival</w:t>
      </w:r>
    </w:p>
    <w:p>
      <w:pPr>
        <w:spacing w:after="0" w:line="342"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E-24</w:t>
      </w:r>
    </w:p>
    <w:p>
      <w:pPr>
        <w:sectPr>
          <w:pgSz w:w="11900" w:h="16838" w:orient="portrait"/>
          <w:cols w:equalWidth="0" w:num="1">
            <w:col w:w="10219"/>
          </w:cols>
          <w:pgMar w:left="240" w:top="627" w:right="1440" w:bottom="1440" w:gutter="0" w:footer="0" w:header="0"/>
        </w:sectPr>
      </w:pPr>
    </w:p>
    <w:bookmarkStart w:id="49" w:name="page50"/>
    <w:bookmarkEnd w:id="49"/>
    <w:p>
      <w:pPr>
        <w:jc w:val="both"/>
        <w:ind w:right="3179"/>
        <w:spacing w:after="0" w:line="237" w:lineRule="auto"/>
        <w:rPr>
          <w:sz w:val="20"/>
          <w:szCs w:val="20"/>
          <w:color w:val="auto"/>
        </w:rPr>
      </w:pPr>
      <w:r>
        <w:rPr>
          <w:rFonts w:ascii="Courier New" w:cs="Courier New" w:eastAsia="Courier New" w:hAnsi="Courier New"/>
          <w:sz w:val="15"/>
          <w:szCs w:val="15"/>
          <w:color w:val="auto"/>
        </w:rPr>
        <w:t>period) resulting from, arising out of, relating to, in the nature of, or caused by the material breach of any such representation, warranty, covenant or other provision hereof.</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8.1.4 Matters Involving Third Parties.</w:t>
      </w:r>
    </w:p>
    <w:p>
      <w:pPr>
        <w:spacing w:after="0" w:line="175" w:lineRule="exact"/>
        <w:rPr>
          <w:sz w:val="20"/>
          <w:szCs w:val="20"/>
          <w:color w:val="auto"/>
        </w:rPr>
      </w:pPr>
    </w:p>
    <w:p>
      <w:pPr>
        <w:jc w:val="both"/>
        <w:ind w:right="3179" w:firstLine="784"/>
        <w:spacing w:after="0" w:line="238" w:lineRule="auto"/>
        <w:tabs>
          <w:tab w:leader="none" w:pos="1146"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third party shall notify any Party (the "Indemnified Party") with respect to any matter (a "Third Party Claim") which may give rise to a claim for indemnification against any other Party (the "Indemnifying Party") under this Section 8, then the Indemnified Party shall promptly notify each Indemnifying Party thereof in writing; provided, however, that no delay on the part of the Indemnified Party in notifying any Indemnifying Party shall relieve the Indemnifying Party from any obligation hereunder unless (and then solely to the extent) the Indemnifying Party thereby is prejudiced.</w:t>
      </w:r>
    </w:p>
    <w:p>
      <w:pPr>
        <w:spacing w:after="0" w:line="177" w:lineRule="exact"/>
        <w:rPr>
          <w:rFonts w:ascii="Courier New" w:cs="Courier New" w:eastAsia="Courier New" w:hAnsi="Courier New"/>
          <w:sz w:val="15"/>
          <w:szCs w:val="15"/>
          <w:color w:val="auto"/>
        </w:rPr>
      </w:pPr>
    </w:p>
    <w:p>
      <w:pPr>
        <w:jc w:val="both"/>
        <w:ind w:right="3179" w:firstLine="784"/>
        <w:spacing w:after="0" w:line="257" w:lineRule="auto"/>
        <w:tabs>
          <w:tab w:leader="none" w:pos="1234"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Indemnifying Party will have the right to defend the Indemnified Party against the Third Party Claim with counsel of its choice reasonably satisfactory to the Indemnified Party so long as (A) the Indemnifying Party notifies the Indemnified Party in writing within 15 days after the Indemnified Party has given notice of the Third Party Claim that the Indemnifying Party will indemnify the Indemnified Party from and against the entirety of any Adverse Consequences the Indemnified Party may suffer resulting from, arising out of, relating to, in the nature of, or caused by the Third Party Claim, (B) the Indemnifying Party provides the Indemnified Party with evidence reasonably acceptable to the Indemnified Party that the Indemnifying Party will have the financial resources to defend against the Third Party Claim and fulfill its indemnification obligations hereunder, and (C) the Indemnifying Party conducts the defense of the Third Party Claim actively and diligently.</w:t>
      </w:r>
    </w:p>
    <w:p>
      <w:pPr>
        <w:spacing w:after="0" w:line="165" w:lineRule="exact"/>
        <w:rPr>
          <w:rFonts w:ascii="Courier New" w:cs="Courier New" w:eastAsia="Courier New" w:hAnsi="Courier New"/>
          <w:sz w:val="14"/>
          <w:szCs w:val="14"/>
          <w:color w:val="auto"/>
        </w:rPr>
      </w:pPr>
    </w:p>
    <w:p>
      <w:pPr>
        <w:jc w:val="both"/>
        <w:ind w:right="3179" w:firstLine="784"/>
        <w:spacing w:after="0" w:line="238" w:lineRule="auto"/>
        <w:tabs>
          <w:tab w:leader="none" w:pos="1146"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long as the Indemnifying Party is conducting the defense of the Third Party Claim in accordance with Section 8(d)(ii) above, (A) the Indemnified Party may retain separate co-counsel at its sole cost and expense and participate in the defense of the Third Party Claim, (B) the Indemnified Party will not consent to the entry of any judgment or enter into any settlement with respect to the Third Party Claim without the prior written consent of the Indemnifying Party (not to be withheld unreasonably), and (C) the Indemnifying Party will not consent to the entry of any judgment or enter into any settlement with respect to the Third Party Claim without the prior written consent of the Indemnified Party (not to be withheld unreasonably).</w:t>
      </w:r>
    </w:p>
    <w:p>
      <w:pPr>
        <w:spacing w:after="0" w:line="179" w:lineRule="exact"/>
        <w:rPr>
          <w:rFonts w:ascii="Courier New" w:cs="Courier New" w:eastAsia="Courier New" w:hAnsi="Courier New"/>
          <w:sz w:val="15"/>
          <w:szCs w:val="15"/>
          <w:color w:val="auto"/>
        </w:rPr>
      </w:pPr>
    </w:p>
    <w:p>
      <w:pPr>
        <w:jc w:val="both"/>
        <w:ind w:right="3179" w:firstLine="784"/>
        <w:spacing w:after="0" w:line="257" w:lineRule="auto"/>
        <w:tabs>
          <w:tab w:leader="none" w:pos="1146"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any of the conditions in Section 8(d)(ii) above is or becomes unsatisfied, however, (A) the Indemnified Party may defend against, and consent to the entry of any judgment or enter into any settlement with respect to, the Third Party Claim in any manner it reasonably may deem appropriate (and the Indemnified Party need not consult with, or obtain any consent from, any Indemnifying Party in connection therewith), and (B) the Indemnifying Parties will remain responsible for any Adverse Consequences the Indemnified Party may suffer resulting from, arising out of, relating to, in the nature of, or caused by the Third Party Claim to the fullest extent provided in this Section 8.</w:t>
      </w:r>
    </w:p>
    <w:p>
      <w:pPr>
        <w:spacing w:after="0" w:line="167" w:lineRule="exact"/>
        <w:rPr>
          <w:sz w:val="20"/>
          <w:szCs w:val="20"/>
          <w:color w:val="auto"/>
        </w:rPr>
      </w:pPr>
    </w:p>
    <w:p>
      <w:pPr>
        <w:ind w:right="3179" w:firstLine="793"/>
        <w:spacing w:after="0" w:line="235" w:lineRule="auto"/>
        <w:rPr>
          <w:sz w:val="20"/>
          <w:szCs w:val="20"/>
          <w:color w:val="auto"/>
        </w:rPr>
      </w:pPr>
      <w:r>
        <w:rPr>
          <w:rFonts w:ascii="Courier New" w:cs="Courier New" w:eastAsia="Courier New" w:hAnsi="Courier New"/>
          <w:sz w:val="15"/>
          <w:szCs w:val="15"/>
          <w:color w:val="auto"/>
        </w:rPr>
        <w:t>8.1.5 Determination of Adverse Consequences. The Parties shall take into account the time cost of money (using the Applicable Rate as the discount</w:t>
      </w:r>
    </w:p>
    <w:p>
      <w:pPr>
        <w:spacing w:after="0" w:line="34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E-25</w:t>
      </w:r>
    </w:p>
    <w:p>
      <w:pPr>
        <w:sectPr>
          <w:pgSz w:w="11900" w:h="16838" w:orient="portrait"/>
          <w:cols w:equalWidth="0" w:num="1">
            <w:col w:w="10219"/>
          </w:cols>
          <w:pgMar w:left="240" w:top="627" w:right="1440" w:bottom="1440" w:gutter="0" w:footer="0" w:header="0"/>
        </w:sectPr>
      </w:pPr>
    </w:p>
    <w:bookmarkStart w:id="50" w:name="page51"/>
    <w:bookmarkEnd w:id="50"/>
    <w:p>
      <w:pPr>
        <w:jc w:val="both"/>
        <w:ind w:right="3179"/>
        <w:spacing w:after="0" w:line="237" w:lineRule="auto"/>
        <w:rPr>
          <w:sz w:val="20"/>
          <w:szCs w:val="20"/>
          <w:color w:val="auto"/>
        </w:rPr>
      </w:pPr>
      <w:r>
        <w:rPr>
          <w:rFonts w:ascii="Courier New" w:cs="Courier New" w:eastAsia="Courier New" w:hAnsi="Courier New"/>
          <w:sz w:val="15"/>
          <w:szCs w:val="15"/>
          <w:color w:val="auto"/>
        </w:rPr>
        <w:t>rate) in determining Adverse Consequences for purposes of this Section 8. All indemnification payments under this Section 8 shall be deemed adjustments to the Purchase Price.</w:t>
      </w:r>
    </w:p>
    <w:p>
      <w:pPr>
        <w:spacing w:after="0" w:line="175" w:lineRule="exact"/>
        <w:rPr>
          <w:sz w:val="20"/>
          <w:szCs w:val="20"/>
          <w:color w:val="auto"/>
        </w:rPr>
      </w:pPr>
    </w:p>
    <w:p>
      <w:pPr>
        <w:jc w:val="both"/>
        <w:ind w:right="3179" w:firstLine="793"/>
        <w:spacing w:after="0" w:line="256" w:lineRule="auto"/>
        <w:rPr>
          <w:sz w:val="20"/>
          <w:szCs w:val="20"/>
          <w:color w:val="auto"/>
        </w:rPr>
      </w:pPr>
      <w:r>
        <w:rPr>
          <w:rFonts w:ascii="Courier New" w:cs="Courier New" w:eastAsia="Courier New" w:hAnsi="Courier New"/>
          <w:sz w:val="14"/>
          <w:szCs w:val="14"/>
          <w:color w:val="auto"/>
        </w:rPr>
        <w:t>8.1.6 Certain Set-Off Rights. The Escrowed Shares and the Escrowed Amount shall be placed in escrow at Closing pursuant to Section 2(c) above, for the Escrow Period commencing on the Closing Date, with an Escrow Agent to be agreed upon by the Parties (the "Escrow Agent"). The Parties shall enter into an escrow agreement (the "Escrow Agreement") with the Escrow Agent containing terms consistent with the provisions of this Agreement. The Buyer shall have the option of recouping all or any part of any Adverse Consequences it may suffer (in lieu of seeking any indemnification to which it is entitled under this Section 8) by notifying the Seller in writing of such Adverse Consequences (the "Set-Off Claim") stating (i) the amount of such Adverse Consequences, and (ii) the basis for such claim of Adverse Consequences in sufficient details for Seller to evaluate the Set-Off Claim; Seller shall have ten (10) days to evaluate and respond to Buyer's Set-Off Claim in writing. If Seller does not dispute Buyer's Set-Off Claim, Buyer shall be entitled to set off such claim against the Escrowed Amount, and thereafter against the Escrowed Shares. In the event that the Seller disputes a Set-Off Claim, the parties will resolve such dispute using the procedure described in Section 10(p) below, provided that, if the Escrow Period described in this section expires during the existence of a dispute involving a Set-Off Claim, the Escrow Agent shall retain an amount equal to the Set-Off Claim in escrow pending resolution of the dispute, and will release the balance of the Escrowed Amount and Escrowed Shares to Seller.</w:t>
      </w:r>
    </w:p>
    <w:p>
      <w:pPr>
        <w:spacing w:after="0" w:line="346"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8.1.7 Notwithstanding anything to the contrary in this Agreement, the Seller shall have no obligation to indemnity the Buyer from and against any Adverse Consequences unless and until the aggregate indemnifiable Adverse Consequences suffered by the Buyer equal or exceed $34,000, net of any proceeds actually received from any insurance policy or policies covering such Adverse Consequences (the "Basket"), at which point the Seller shall be obligated to indemnify the Buyer for all Adverse Consequences (including the Basket). In no event shall the Seller's liability to indemnity the Buyer exceed the Purchase Price.</w:t>
      </w:r>
    </w:p>
    <w:p>
      <w:pPr>
        <w:spacing w:after="0" w:line="179"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8.1.8 The foregoing indemnification provisions in this Section 8 are in addition to, and not in derogation of, any statutory, equitable, or common law remedy (including without limitation any such remedy arising under Environmental, Health, and Safety Requirements) any Party may have with respect to the transactions contemplated by this Agreement.</w:t>
      </w:r>
    </w:p>
    <w:p>
      <w:pPr>
        <w:spacing w:after="0" w:line="17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ARTICLE 9 -- Additional Covenants.</w:t>
      </w:r>
    </w:p>
    <w:p>
      <w:pPr>
        <w:ind w:left="20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9.1.1 Confidentiality. Except as set forth in press releases and announcements approved in advance by each of the Parties, the existence and terms of this Agreement are strictly confidential and may not be disclosed to anyone other than to the directors, officers and advisers of the Parties who have fiduciary or legal responsibilities to keep such information confidential. Seller shall use its best efforts to prevent its officers, directors, employees and shareholders from trading in Buyer's stock pending public announcement by the Parties of the Agreement. Each Party agrees that it will not disclose to third parties information deemed confidential by the other Party, other than as required by applicable law.</w:t>
      </w:r>
    </w:p>
    <w:p>
      <w:pPr>
        <w:spacing w:after="0" w:line="343"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E-26</w:t>
      </w:r>
    </w:p>
    <w:p>
      <w:pPr>
        <w:sectPr>
          <w:pgSz w:w="11900" w:h="16838" w:orient="portrait"/>
          <w:cols w:equalWidth="0" w:num="1">
            <w:col w:w="10219"/>
          </w:cols>
          <w:pgMar w:left="240" w:top="627" w:right="1440" w:bottom="1440" w:gutter="0" w:footer="0" w:header="0"/>
        </w:sectPr>
      </w:pPr>
    </w:p>
    <w:bookmarkStart w:id="51" w:name="page52"/>
    <w:bookmarkEnd w:id="51"/>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9.1.2 Non-Compete. Seller agrees that, for a period of three years following the Closing, it will not develop, license or sell any products or services within or without the U.S. that are competitive with the lines of business of Gentner that utilize any of the Acquired Assets.</w:t>
      </w:r>
    </w:p>
    <w:p>
      <w:pPr>
        <w:spacing w:after="0" w:line="176"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9.1.3 Share Certificate Legends. The Seller understand and agrees that each certificate representing Gentner Shares received hereunder shall bear the following legends:</w:t>
      </w:r>
    </w:p>
    <w:p>
      <w:pPr>
        <w:spacing w:after="0" w:line="175" w:lineRule="exact"/>
        <w:rPr>
          <w:sz w:val="20"/>
          <w:szCs w:val="20"/>
          <w:color w:val="auto"/>
        </w:rPr>
      </w:pPr>
    </w:p>
    <w:p>
      <w:pPr>
        <w:jc w:val="both"/>
        <w:ind w:left="1580" w:right="3179"/>
        <w:spacing w:after="0" w:line="237" w:lineRule="auto"/>
        <w:rPr>
          <w:sz w:val="20"/>
          <w:szCs w:val="20"/>
          <w:color w:val="auto"/>
        </w:rPr>
      </w:pPr>
      <w:r>
        <w:rPr>
          <w:rFonts w:ascii="Courier New" w:cs="Courier New" w:eastAsia="Courier New" w:hAnsi="Courier New"/>
          <w:sz w:val="15"/>
          <w:szCs w:val="15"/>
          <w:color w:val="auto"/>
        </w:rPr>
        <w:t>"THE TRANSFER OF THE SECURITIES REPRESENTED BY THIS CERTIFICATE IS RESTRICTED BY AN ASSET PURCHASE AGREEMENT ON FILE AT THE OFFICES OF THE CORPORATION."</w:t>
      </w:r>
    </w:p>
    <w:p>
      <w:pPr>
        <w:spacing w:after="0" w:line="175" w:lineRule="exact"/>
        <w:rPr>
          <w:sz w:val="20"/>
          <w:szCs w:val="20"/>
          <w:color w:val="auto"/>
        </w:rPr>
      </w:pPr>
    </w:p>
    <w:p>
      <w:pPr>
        <w:jc w:val="both"/>
        <w:ind w:left="1580" w:right="3179"/>
        <w:spacing w:after="0" w:line="238" w:lineRule="auto"/>
        <w:rPr>
          <w:sz w:val="20"/>
          <w:szCs w:val="20"/>
          <w:color w:val="auto"/>
        </w:rPr>
      </w:pPr>
      <w:r>
        <w:rPr>
          <w:rFonts w:ascii="Courier New" w:cs="Courier New" w:eastAsia="Courier New" w:hAnsi="Courier New"/>
          <w:sz w:val="15"/>
          <w:szCs w:val="15"/>
          <w:color w:val="auto"/>
        </w:rPr>
        <w:t>"THE SECURITIES REPRESENTED BY THIS CERTIFICATE HAVE NOT BEEN REGISTERED UNDER THE SECURITIES ACT OF 1933 OR THE SECURITIES LAWS OF ANY STATE AND MAY NOT BE SOLD OR OTHERWISE DISPOSED OF EXCEPT PURSUANT TO AN EFFECTIVE REGISTRATION STATEMENT UNDER SUCH ACT AND APPLICABLE STATE SECURITIES LAWS OR AN APPLICABLE EXEMPTION TO THE REGISTRATION REQUIREMENTS OF SUCH ACT OR SUCH LAWS."</w:t>
      </w:r>
    </w:p>
    <w:p>
      <w:pPr>
        <w:spacing w:after="0" w:line="17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ARTICLE 10 -- Miscellaneous.</w:t>
      </w:r>
    </w:p>
    <w:p>
      <w:pPr>
        <w:ind w:left="22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10.1.1 Term Sheet. The Parties acknowledge that this Agreement supersedes that certain term sheet executed by Buyer, Seller and the Principal Shareholders dated effective April 18, 2000.</w:t>
      </w:r>
    </w:p>
    <w:p>
      <w:pPr>
        <w:spacing w:after="0" w:line="175"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10.1.2 Press Releases and Public Announcements. Other than the press release issued jointly by the Parties on or about May 19, 2000, no Party shall issue any press release or make any public announcement relating to the subject matter of this Agreement prior to the Closing without the prior written approval of the other Party; provided, however, that any Party may make any public disclosure it believes in good faith is required by applicable law or any listing or trading agreement concerning its publicly-traded securities (in which case the disclosing Party will use its reasonable best efforts to advise the other Party prior to making the disclosure). The Seller acknowledges that the Buyer will file a Form 8-K with the U.S. Securities and Exchange Commission in connection with the transactions contemplated hereby.</w:t>
      </w:r>
    </w:p>
    <w:p>
      <w:pPr>
        <w:spacing w:after="0" w:line="181"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10.1.3 No Third-Party Beneficiaries. This Agreement shall not confer any rights or remedies upon any Person other than the Parties and their respective successors and permitted assigns.</w:t>
      </w:r>
    </w:p>
    <w:p>
      <w:pPr>
        <w:spacing w:after="0" w:line="175"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10.1.4 Entire Agreement. This Agreement (including the documents referred to herein) constitutes the entire agreement between the Parties and supersedes any prior understandings, agreements, or representations by or between the Parties, written or oral, to the extent they related in any way to the subject matter hereof.</w:t>
      </w:r>
    </w:p>
    <w:p>
      <w:pPr>
        <w:spacing w:after="0" w:line="342"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E-27</w:t>
      </w:r>
    </w:p>
    <w:p>
      <w:pPr>
        <w:sectPr>
          <w:pgSz w:w="11900" w:h="16838" w:orient="portrait"/>
          <w:cols w:equalWidth="0" w:num="1">
            <w:col w:w="10219"/>
          </w:cols>
          <w:pgMar w:left="240" w:top="627" w:right="1440" w:bottom="1440" w:gutter="0" w:footer="0" w:header="0"/>
        </w:sectPr>
      </w:pPr>
    </w:p>
    <w:bookmarkStart w:id="52" w:name="page53"/>
    <w:bookmarkEnd w:id="52"/>
    <w:p>
      <w:pPr>
        <w:jc w:val="both"/>
        <w:ind w:right="3179" w:firstLine="793"/>
        <w:spacing w:after="0" w:line="257" w:lineRule="auto"/>
        <w:rPr>
          <w:sz w:val="20"/>
          <w:szCs w:val="20"/>
          <w:color w:val="auto"/>
        </w:rPr>
      </w:pPr>
      <w:r>
        <w:rPr>
          <w:rFonts w:ascii="Courier New" w:cs="Courier New" w:eastAsia="Courier New" w:hAnsi="Courier New"/>
          <w:sz w:val="14"/>
          <w:szCs w:val="14"/>
          <w:color w:val="auto"/>
        </w:rPr>
        <w:t>10.1.5 Succession and Assignment. This Agreement shall be binding upon and inure to the benefit of the Parties named herein and their respective successors and permitted assigns. No Party may assign either this Agreement or any of its rights, interests, or obligations hereunder without the prior written approval of the other Party; provided, however, that the Buyer may (i) assign any or all of its rights and interests hereunder to one or more of its Affiliates and (ii) designate one or more of its Affiliates to perform its obligations hereunder (in any or all of which cases the Buyer nonetheless shall remain responsible for the performance of all of its obligations hereunder).</w:t>
      </w:r>
    </w:p>
    <w:p>
      <w:pPr>
        <w:spacing w:after="0" w:line="167"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10.1.6 Counterparts. This Agreement may be executed in one or more counterparts, each of which shall be deemed an original but all of which together will constitute one and the same instrument.</w:t>
      </w:r>
    </w:p>
    <w:p>
      <w:pPr>
        <w:spacing w:after="0" w:line="175"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10.1.7 Headings. The section headings contained in this Agreement are inserted for convenience only and shall not affect in any way the meaning or interpretation of this Agreement.</w:t>
      </w:r>
    </w:p>
    <w:p>
      <w:pPr>
        <w:spacing w:after="0" w:line="175"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10.1.8 Notices. All notices, requests, demands, claims, and other communications hereunder will be in writing. Any notice, request, demand, claim, or other communication hereunder shall be deemed duly given if (and then two business days after) it is sent by registered or certified mail, return receipt requested, postage prepaid, and addressed to the intended recipient as set forth below:</w:t>
      </w:r>
    </w:p>
    <w:p>
      <w:pPr>
        <w:spacing w:after="0" w:line="170"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rPr>
              <w:t>If to the Seller:</w:t>
            </w:r>
          </w:p>
        </w:tc>
        <w:tc>
          <w:tcPr>
            <w:tcW w:w="3380" w:type="dxa"/>
            <w:vAlign w:val="bottom"/>
            <w:gridSpan w:val="3"/>
          </w:tcPr>
          <w:p>
            <w:pPr>
              <w:ind w:left="380"/>
              <w:spacing w:after="0"/>
              <w:rPr>
                <w:sz w:val="20"/>
                <w:szCs w:val="20"/>
                <w:color w:val="auto"/>
              </w:rPr>
            </w:pPr>
            <w:r>
              <w:rPr>
                <w:rFonts w:ascii="Courier New" w:cs="Courier New" w:eastAsia="Courier New" w:hAnsi="Courier New"/>
                <w:sz w:val="15"/>
                <w:szCs w:val="15"/>
                <w:color w:val="auto"/>
                <w:w w:val="97"/>
              </w:rPr>
              <w:t>Gentner Communications Corporation</w:t>
            </w:r>
          </w:p>
        </w:tc>
      </w:tr>
      <w:tr>
        <w:trPr>
          <w:trHeight w:val="170"/>
        </w:trPr>
        <w:tc>
          <w:tcPr>
            <w:tcW w:w="1900" w:type="dxa"/>
            <w:vAlign w:val="bottom"/>
          </w:tcPr>
          <w:p>
            <w:pPr>
              <w:spacing w:after="0"/>
              <w:rPr>
                <w:sz w:val="14"/>
                <w:szCs w:val="14"/>
                <w:color w:val="auto"/>
              </w:rPr>
            </w:pPr>
          </w:p>
        </w:tc>
        <w:tc>
          <w:tcPr>
            <w:tcW w:w="216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1825 Research Way</w:t>
            </w:r>
          </w:p>
        </w:tc>
        <w:tc>
          <w:tcPr>
            <w:tcW w:w="1220" w:type="dxa"/>
            <w:vAlign w:val="bottom"/>
          </w:tcPr>
          <w:p>
            <w:pPr>
              <w:spacing w:after="0"/>
              <w:rPr>
                <w:sz w:val="14"/>
                <w:szCs w:val="14"/>
                <w:color w:val="auto"/>
              </w:rPr>
            </w:pPr>
          </w:p>
        </w:tc>
      </w:tr>
      <w:tr>
        <w:trPr>
          <w:trHeight w:val="170"/>
        </w:trPr>
        <w:tc>
          <w:tcPr>
            <w:tcW w:w="1900" w:type="dxa"/>
            <w:vAlign w:val="bottom"/>
          </w:tcPr>
          <w:p>
            <w:pPr>
              <w:spacing w:after="0"/>
              <w:rPr>
                <w:sz w:val="14"/>
                <w:szCs w:val="14"/>
                <w:color w:val="auto"/>
              </w:rPr>
            </w:pPr>
          </w:p>
        </w:tc>
        <w:tc>
          <w:tcPr>
            <w:tcW w:w="216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Salt Lake City, UT</w:t>
            </w:r>
          </w:p>
        </w:tc>
        <w:tc>
          <w:tcPr>
            <w:tcW w:w="1220" w:type="dxa"/>
            <w:vAlign w:val="bottom"/>
          </w:tcPr>
          <w:p>
            <w:pPr>
              <w:jc w:val="right"/>
              <w:ind w:right="707"/>
              <w:spacing w:after="0"/>
              <w:rPr>
                <w:sz w:val="20"/>
                <w:szCs w:val="20"/>
                <w:color w:val="auto"/>
              </w:rPr>
            </w:pPr>
            <w:r>
              <w:rPr>
                <w:rFonts w:ascii="Courier New" w:cs="Courier New" w:eastAsia="Courier New" w:hAnsi="Courier New"/>
                <w:sz w:val="15"/>
                <w:szCs w:val="15"/>
                <w:color w:val="auto"/>
                <w:w w:val="93"/>
              </w:rPr>
              <w:t>84119</w:t>
            </w:r>
          </w:p>
        </w:tc>
      </w:tr>
      <w:tr>
        <w:trPr>
          <w:trHeight w:val="170"/>
        </w:trPr>
        <w:tc>
          <w:tcPr>
            <w:tcW w:w="1900" w:type="dxa"/>
            <w:vAlign w:val="bottom"/>
          </w:tcPr>
          <w:p>
            <w:pPr>
              <w:spacing w:after="0"/>
              <w:rPr>
                <w:sz w:val="14"/>
                <w:szCs w:val="14"/>
                <w:color w:val="auto"/>
              </w:rPr>
            </w:pPr>
          </w:p>
        </w:tc>
        <w:tc>
          <w:tcPr>
            <w:tcW w:w="1360" w:type="dxa"/>
            <w:vAlign w:val="bottom"/>
          </w:tcPr>
          <w:p>
            <w:pPr>
              <w:ind w:left="380"/>
              <w:spacing w:after="0"/>
              <w:rPr>
                <w:sz w:val="20"/>
                <w:szCs w:val="20"/>
                <w:color w:val="auto"/>
              </w:rPr>
            </w:pPr>
            <w:r>
              <w:rPr>
                <w:rFonts w:ascii="Courier New" w:cs="Courier New" w:eastAsia="Courier New" w:hAnsi="Courier New"/>
                <w:sz w:val="15"/>
                <w:szCs w:val="15"/>
                <w:color w:val="auto"/>
              </w:rPr>
              <w:t>Attention:</w:t>
            </w:r>
          </w:p>
        </w:tc>
        <w:tc>
          <w:tcPr>
            <w:tcW w:w="8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1900" w:type="dxa"/>
            <w:vAlign w:val="bottom"/>
          </w:tcPr>
          <w:p>
            <w:pPr>
              <w:spacing w:after="0"/>
              <w:rPr>
                <w:sz w:val="14"/>
                <w:szCs w:val="14"/>
                <w:color w:val="auto"/>
              </w:rPr>
            </w:pPr>
          </w:p>
        </w:tc>
        <w:tc>
          <w:tcPr>
            <w:tcW w:w="1360" w:type="dxa"/>
            <w:vAlign w:val="bottom"/>
          </w:tcPr>
          <w:p>
            <w:pPr>
              <w:ind w:left="380"/>
              <w:spacing w:after="0"/>
              <w:rPr>
                <w:sz w:val="20"/>
                <w:szCs w:val="20"/>
                <w:color w:val="auto"/>
              </w:rPr>
            </w:pPr>
            <w:r>
              <w:rPr>
                <w:rFonts w:ascii="Courier New" w:cs="Courier New" w:eastAsia="Courier New" w:hAnsi="Courier New"/>
                <w:sz w:val="15"/>
                <w:szCs w:val="15"/>
                <w:color w:val="auto"/>
              </w:rPr>
              <w:t>Telefax:</w:t>
            </w:r>
          </w:p>
        </w:tc>
        <w:tc>
          <w:tcPr>
            <w:tcW w:w="8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9"/>
        </w:trPr>
        <w:tc>
          <w:tcPr>
            <w:tcW w:w="1900" w:type="dxa"/>
            <w:vAlign w:val="bottom"/>
          </w:tcPr>
          <w:p>
            <w:pPr>
              <w:spacing w:after="0"/>
              <w:rPr>
                <w:sz w:val="20"/>
                <w:szCs w:val="20"/>
                <w:color w:val="auto"/>
              </w:rPr>
            </w:pPr>
            <w:r>
              <w:rPr>
                <w:rFonts w:ascii="Courier New" w:cs="Courier New" w:eastAsia="Courier New" w:hAnsi="Courier New"/>
                <w:sz w:val="15"/>
                <w:szCs w:val="15"/>
                <w:color w:val="auto"/>
              </w:rPr>
              <w:t>Copy to:</w:t>
            </w:r>
          </w:p>
        </w:tc>
        <w:tc>
          <w:tcPr>
            <w:tcW w:w="3380" w:type="dxa"/>
            <w:vAlign w:val="bottom"/>
            <w:gridSpan w:val="3"/>
          </w:tcPr>
          <w:p>
            <w:pPr>
              <w:ind w:left="380"/>
              <w:spacing w:after="0"/>
              <w:rPr>
                <w:sz w:val="20"/>
                <w:szCs w:val="20"/>
                <w:color w:val="auto"/>
              </w:rPr>
            </w:pPr>
            <w:r>
              <w:rPr>
                <w:rFonts w:ascii="Courier New" w:cs="Courier New" w:eastAsia="Courier New" w:hAnsi="Courier New"/>
                <w:sz w:val="15"/>
                <w:szCs w:val="15"/>
                <w:color w:val="auto"/>
                <w:w w:val="97"/>
              </w:rPr>
              <w:t>Jones, Waldo, Holbrook &amp; McDonough</w:t>
            </w:r>
          </w:p>
        </w:tc>
      </w:tr>
      <w:tr>
        <w:trPr>
          <w:trHeight w:val="170"/>
        </w:trPr>
        <w:tc>
          <w:tcPr>
            <w:tcW w:w="1900" w:type="dxa"/>
            <w:vAlign w:val="bottom"/>
          </w:tcPr>
          <w:p>
            <w:pPr>
              <w:spacing w:after="0"/>
              <w:rPr>
                <w:sz w:val="14"/>
                <w:szCs w:val="14"/>
                <w:color w:val="auto"/>
              </w:rPr>
            </w:pPr>
          </w:p>
        </w:tc>
        <w:tc>
          <w:tcPr>
            <w:tcW w:w="216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170 South Main St.</w:t>
            </w:r>
          </w:p>
        </w:tc>
        <w:tc>
          <w:tcPr>
            <w:tcW w:w="1220" w:type="dxa"/>
            <w:vAlign w:val="bottom"/>
          </w:tcPr>
          <w:p>
            <w:pPr>
              <w:spacing w:after="0"/>
              <w:rPr>
                <w:sz w:val="14"/>
                <w:szCs w:val="14"/>
                <w:color w:val="auto"/>
              </w:rPr>
            </w:pPr>
          </w:p>
        </w:tc>
      </w:tr>
      <w:tr>
        <w:trPr>
          <w:trHeight w:val="170"/>
        </w:trPr>
        <w:tc>
          <w:tcPr>
            <w:tcW w:w="1900" w:type="dxa"/>
            <w:vAlign w:val="bottom"/>
          </w:tcPr>
          <w:p>
            <w:pPr>
              <w:spacing w:after="0"/>
              <w:rPr>
                <w:sz w:val="14"/>
                <w:szCs w:val="14"/>
                <w:color w:val="auto"/>
              </w:rPr>
            </w:pPr>
          </w:p>
        </w:tc>
        <w:tc>
          <w:tcPr>
            <w:tcW w:w="216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Salt Lake City, UT</w:t>
            </w:r>
          </w:p>
        </w:tc>
        <w:tc>
          <w:tcPr>
            <w:tcW w:w="1220" w:type="dxa"/>
            <w:vAlign w:val="bottom"/>
          </w:tcPr>
          <w:p>
            <w:pPr>
              <w:jc w:val="right"/>
              <w:ind w:right="707"/>
              <w:spacing w:after="0"/>
              <w:rPr>
                <w:sz w:val="20"/>
                <w:szCs w:val="20"/>
                <w:color w:val="auto"/>
              </w:rPr>
            </w:pPr>
            <w:r>
              <w:rPr>
                <w:rFonts w:ascii="Courier New" w:cs="Courier New" w:eastAsia="Courier New" w:hAnsi="Courier New"/>
                <w:sz w:val="15"/>
                <w:szCs w:val="15"/>
                <w:color w:val="auto"/>
                <w:w w:val="93"/>
              </w:rPr>
              <w:t>84108</w:t>
            </w:r>
          </w:p>
        </w:tc>
      </w:tr>
      <w:tr>
        <w:trPr>
          <w:trHeight w:val="170"/>
        </w:trPr>
        <w:tc>
          <w:tcPr>
            <w:tcW w:w="1900" w:type="dxa"/>
            <w:vAlign w:val="bottom"/>
          </w:tcPr>
          <w:p>
            <w:pPr>
              <w:spacing w:after="0"/>
              <w:rPr>
                <w:sz w:val="14"/>
                <w:szCs w:val="14"/>
                <w:color w:val="auto"/>
              </w:rPr>
            </w:pPr>
          </w:p>
        </w:tc>
        <w:tc>
          <w:tcPr>
            <w:tcW w:w="3380" w:type="dxa"/>
            <w:vAlign w:val="bottom"/>
            <w:gridSpan w:val="3"/>
          </w:tcPr>
          <w:p>
            <w:pPr>
              <w:ind w:left="380"/>
              <w:spacing w:after="0"/>
              <w:rPr>
                <w:sz w:val="20"/>
                <w:szCs w:val="20"/>
                <w:color w:val="auto"/>
              </w:rPr>
            </w:pPr>
            <w:r>
              <w:rPr>
                <w:rFonts w:ascii="Courier New" w:cs="Courier New" w:eastAsia="Courier New" w:hAnsi="Courier New"/>
                <w:sz w:val="15"/>
                <w:szCs w:val="15"/>
                <w:color w:val="auto"/>
              </w:rPr>
              <w:t>Attention: James A. Valeo, Esq.</w:t>
            </w:r>
          </w:p>
        </w:tc>
      </w:tr>
      <w:tr>
        <w:trPr>
          <w:trHeight w:val="170"/>
        </w:trPr>
        <w:tc>
          <w:tcPr>
            <w:tcW w:w="1900" w:type="dxa"/>
            <w:vAlign w:val="bottom"/>
          </w:tcPr>
          <w:p>
            <w:pPr>
              <w:spacing w:after="0"/>
              <w:rPr>
                <w:sz w:val="14"/>
                <w:szCs w:val="14"/>
                <w:color w:val="auto"/>
              </w:rPr>
            </w:pPr>
          </w:p>
        </w:tc>
        <w:tc>
          <w:tcPr>
            <w:tcW w:w="3380" w:type="dxa"/>
            <w:vAlign w:val="bottom"/>
            <w:gridSpan w:val="3"/>
          </w:tcPr>
          <w:p>
            <w:pPr>
              <w:ind w:left="380"/>
              <w:spacing w:after="0"/>
              <w:rPr>
                <w:sz w:val="20"/>
                <w:szCs w:val="20"/>
                <w:color w:val="auto"/>
              </w:rPr>
            </w:pPr>
            <w:r>
              <w:rPr>
                <w:rFonts w:ascii="Courier New" w:cs="Courier New" w:eastAsia="Courier New" w:hAnsi="Courier New"/>
                <w:sz w:val="15"/>
                <w:szCs w:val="15"/>
                <w:color w:val="auto"/>
              </w:rPr>
              <w:t>Telefax: 801-328-0537</w:t>
            </w:r>
          </w:p>
        </w:tc>
      </w:tr>
      <w:tr>
        <w:trPr>
          <w:trHeight w:val="509"/>
        </w:trPr>
        <w:tc>
          <w:tcPr>
            <w:tcW w:w="1900" w:type="dxa"/>
            <w:vAlign w:val="bottom"/>
          </w:tcPr>
          <w:p>
            <w:pPr>
              <w:spacing w:after="0"/>
              <w:rPr>
                <w:sz w:val="20"/>
                <w:szCs w:val="20"/>
                <w:color w:val="auto"/>
              </w:rPr>
            </w:pPr>
            <w:r>
              <w:rPr>
                <w:rFonts w:ascii="Courier New" w:cs="Courier New" w:eastAsia="Courier New" w:hAnsi="Courier New"/>
                <w:sz w:val="15"/>
                <w:szCs w:val="15"/>
                <w:color w:val="auto"/>
              </w:rPr>
              <w:t>If to the Buyer:</w:t>
            </w:r>
          </w:p>
        </w:tc>
        <w:tc>
          <w:tcPr>
            <w:tcW w:w="216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ClearOne, Inc.</w:t>
            </w:r>
          </w:p>
        </w:tc>
        <w:tc>
          <w:tcPr>
            <w:tcW w:w="1220" w:type="dxa"/>
            <w:vAlign w:val="bottom"/>
          </w:tcPr>
          <w:p>
            <w:pPr>
              <w:spacing w:after="0"/>
              <w:rPr>
                <w:sz w:val="24"/>
                <w:szCs w:val="24"/>
                <w:color w:val="auto"/>
              </w:rPr>
            </w:pPr>
          </w:p>
        </w:tc>
      </w:tr>
      <w:tr>
        <w:trPr>
          <w:trHeight w:val="170"/>
        </w:trPr>
        <w:tc>
          <w:tcPr>
            <w:tcW w:w="1900" w:type="dxa"/>
            <w:vAlign w:val="bottom"/>
          </w:tcPr>
          <w:p>
            <w:pPr>
              <w:spacing w:after="0"/>
              <w:rPr>
                <w:sz w:val="14"/>
                <w:szCs w:val="14"/>
                <w:color w:val="auto"/>
              </w:rPr>
            </w:pPr>
          </w:p>
        </w:tc>
        <w:tc>
          <w:tcPr>
            <w:tcW w:w="2160" w:type="dxa"/>
            <w:vAlign w:val="bottom"/>
            <w:gridSpan w:val="2"/>
          </w:tcPr>
          <w:p>
            <w:pPr>
              <w:ind w:left="380"/>
              <w:spacing w:after="0"/>
              <w:rPr>
                <w:sz w:val="20"/>
                <w:szCs w:val="20"/>
                <w:color w:val="auto"/>
              </w:rPr>
            </w:pPr>
            <w:r>
              <w:rPr>
                <w:rFonts w:ascii="Courier New" w:cs="Courier New" w:eastAsia="Courier New" w:hAnsi="Courier New"/>
                <w:sz w:val="15"/>
                <w:szCs w:val="15"/>
                <w:color w:val="auto"/>
                <w:w w:val="97"/>
              </w:rPr>
              <w:t>14 Tower Office Park</w:t>
            </w:r>
          </w:p>
        </w:tc>
        <w:tc>
          <w:tcPr>
            <w:tcW w:w="1220" w:type="dxa"/>
            <w:vAlign w:val="bottom"/>
          </w:tcPr>
          <w:p>
            <w:pPr>
              <w:spacing w:after="0"/>
              <w:rPr>
                <w:sz w:val="14"/>
                <w:szCs w:val="14"/>
                <w:color w:val="auto"/>
              </w:rPr>
            </w:pPr>
          </w:p>
        </w:tc>
      </w:tr>
      <w:tr>
        <w:trPr>
          <w:trHeight w:val="170"/>
        </w:trPr>
        <w:tc>
          <w:tcPr>
            <w:tcW w:w="1900" w:type="dxa"/>
            <w:vAlign w:val="bottom"/>
          </w:tcPr>
          <w:p>
            <w:pPr>
              <w:spacing w:after="0"/>
              <w:rPr>
                <w:sz w:val="14"/>
                <w:szCs w:val="14"/>
                <w:color w:val="auto"/>
              </w:rPr>
            </w:pPr>
          </w:p>
        </w:tc>
        <w:tc>
          <w:tcPr>
            <w:tcW w:w="1360" w:type="dxa"/>
            <w:vAlign w:val="bottom"/>
          </w:tcPr>
          <w:p>
            <w:pPr>
              <w:ind w:left="380"/>
              <w:spacing w:after="0"/>
              <w:rPr>
                <w:sz w:val="20"/>
                <w:szCs w:val="20"/>
                <w:color w:val="auto"/>
              </w:rPr>
            </w:pPr>
            <w:r>
              <w:rPr>
                <w:rFonts w:ascii="Courier New" w:cs="Courier New" w:eastAsia="Courier New" w:hAnsi="Courier New"/>
                <w:sz w:val="15"/>
                <w:szCs w:val="15"/>
                <w:color w:val="auto"/>
              </w:rPr>
              <w:t>Woburn, MA</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01801</w:t>
            </w:r>
          </w:p>
        </w:tc>
        <w:tc>
          <w:tcPr>
            <w:tcW w:w="1220" w:type="dxa"/>
            <w:vAlign w:val="bottom"/>
          </w:tcPr>
          <w:p>
            <w:pPr>
              <w:spacing w:after="0"/>
              <w:rPr>
                <w:sz w:val="14"/>
                <w:szCs w:val="14"/>
                <w:color w:val="auto"/>
              </w:rPr>
            </w:pPr>
          </w:p>
        </w:tc>
      </w:tr>
      <w:tr>
        <w:trPr>
          <w:trHeight w:val="170"/>
        </w:trPr>
        <w:tc>
          <w:tcPr>
            <w:tcW w:w="1900" w:type="dxa"/>
            <w:vAlign w:val="bottom"/>
          </w:tcPr>
          <w:p>
            <w:pPr>
              <w:spacing w:after="0"/>
              <w:rPr>
                <w:sz w:val="14"/>
                <w:szCs w:val="14"/>
                <w:color w:val="auto"/>
              </w:rPr>
            </w:pPr>
          </w:p>
        </w:tc>
        <w:tc>
          <w:tcPr>
            <w:tcW w:w="1360" w:type="dxa"/>
            <w:vAlign w:val="bottom"/>
          </w:tcPr>
          <w:p>
            <w:pPr>
              <w:ind w:left="380"/>
              <w:spacing w:after="0"/>
              <w:rPr>
                <w:sz w:val="20"/>
                <w:szCs w:val="20"/>
                <w:color w:val="auto"/>
              </w:rPr>
            </w:pPr>
            <w:r>
              <w:rPr>
                <w:rFonts w:ascii="Courier New" w:cs="Courier New" w:eastAsia="Courier New" w:hAnsi="Courier New"/>
                <w:sz w:val="15"/>
                <w:szCs w:val="15"/>
                <w:color w:val="auto"/>
              </w:rPr>
              <w:t>Attention:</w:t>
            </w:r>
          </w:p>
        </w:tc>
        <w:tc>
          <w:tcPr>
            <w:tcW w:w="8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1900" w:type="dxa"/>
            <w:vAlign w:val="bottom"/>
          </w:tcPr>
          <w:p>
            <w:pPr>
              <w:spacing w:after="0"/>
              <w:rPr>
                <w:sz w:val="14"/>
                <w:szCs w:val="14"/>
                <w:color w:val="auto"/>
              </w:rPr>
            </w:pPr>
          </w:p>
        </w:tc>
        <w:tc>
          <w:tcPr>
            <w:tcW w:w="1360" w:type="dxa"/>
            <w:vAlign w:val="bottom"/>
          </w:tcPr>
          <w:p>
            <w:pPr>
              <w:ind w:left="380"/>
              <w:spacing w:after="0"/>
              <w:rPr>
                <w:sz w:val="20"/>
                <w:szCs w:val="20"/>
                <w:color w:val="auto"/>
              </w:rPr>
            </w:pPr>
            <w:r>
              <w:rPr>
                <w:rFonts w:ascii="Courier New" w:cs="Courier New" w:eastAsia="Courier New" w:hAnsi="Courier New"/>
                <w:sz w:val="15"/>
                <w:szCs w:val="15"/>
                <w:color w:val="auto"/>
              </w:rPr>
              <w:t>Telefax:</w:t>
            </w:r>
          </w:p>
        </w:tc>
        <w:tc>
          <w:tcPr>
            <w:tcW w:w="8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9"/>
        </w:trPr>
        <w:tc>
          <w:tcPr>
            <w:tcW w:w="1900" w:type="dxa"/>
            <w:vAlign w:val="bottom"/>
          </w:tcPr>
          <w:p>
            <w:pPr>
              <w:spacing w:after="0"/>
              <w:rPr>
                <w:sz w:val="20"/>
                <w:szCs w:val="20"/>
                <w:color w:val="auto"/>
              </w:rPr>
            </w:pPr>
            <w:r>
              <w:rPr>
                <w:rFonts w:ascii="Courier New" w:cs="Courier New" w:eastAsia="Courier New" w:hAnsi="Courier New"/>
                <w:sz w:val="15"/>
                <w:szCs w:val="15"/>
                <w:color w:val="auto"/>
              </w:rPr>
              <w:t>Copy to:</w:t>
            </w:r>
          </w:p>
        </w:tc>
        <w:tc>
          <w:tcPr>
            <w:tcW w:w="2160" w:type="dxa"/>
            <w:vAlign w:val="bottom"/>
            <w:gridSpan w:val="2"/>
          </w:tcPr>
          <w:p>
            <w:pPr>
              <w:ind w:left="380"/>
              <w:spacing w:after="0"/>
              <w:rPr>
                <w:sz w:val="20"/>
                <w:szCs w:val="20"/>
                <w:color w:val="auto"/>
              </w:rPr>
            </w:pPr>
            <w:r>
              <w:rPr>
                <w:rFonts w:ascii="Courier New" w:cs="Courier New" w:eastAsia="Courier New" w:hAnsi="Courier New"/>
                <w:sz w:val="15"/>
                <w:szCs w:val="15"/>
                <w:color w:val="auto"/>
                <w:w w:val="97"/>
              </w:rPr>
              <w:t>Holland &amp; Knight LLP</w:t>
            </w:r>
          </w:p>
        </w:tc>
        <w:tc>
          <w:tcPr>
            <w:tcW w:w="1220" w:type="dxa"/>
            <w:vAlign w:val="bottom"/>
          </w:tcPr>
          <w:p>
            <w:pPr>
              <w:spacing w:after="0"/>
              <w:rPr>
                <w:sz w:val="24"/>
                <w:szCs w:val="24"/>
                <w:color w:val="auto"/>
              </w:rPr>
            </w:pPr>
          </w:p>
        </w:tc>
      </w:tr>
      <w:tr>
        <w:trPr>
          <w:trHeight w:val="170"/>
        </w:trPr>
        <w:tc>
          <w:tcPr>
            <w:tcW w:w="1900" w:type="dxa"/>
            <w:vAlign w:val="bottom"/>
          </w:tcPr>
          <w:p>
            <w:pPr>
              <w:spacing w:after="0"/>
              <w:rPr>
                <w:sz w:val="14"/>
                <w:szCs w:val="14"/>
                <w:color w:val="auto"/>
              </w:rPr>
            </w:pPr>
          </w:p>
        </w:tc>
        <w:tc>
          <w:tcPr>
            <w:tcW w:w="216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One Beacon Street</w:t>
            </w:r>
          </w:p>
        </w:tc>
        <w:tc>
          <w:tcPr>
            <w:tcW w:w="1220" w:type="dxa"/>
            <w:vAlign w:val="bottom"/>
          </w:tcPr>
          <w:p>
            <w:pPr>
              <w:spacing w:after="0"/>
              <w:rPr>
                <w:sz w:val="14"/>
                <w:szCs w:val="14"/>
                <w:color w:val="auto"/>
              </w:rPr>
            </w:pPr>
          </w:p>
        </w:tc>
      </w:tr>
      <w:tr>
        <w:trPr>
          <w:trHeight w:val="170"/>
        </w:trPr>
        <w:tc>
          <w:tcPr>
            <w:tcW w:w="1900" w:type="dxa"/>
            <w:vAlign w:val="bottom"/>
          </w:tcPr>
          <w:p>
            <w:pPr>
              <w:spacing w:after="0"/>
              <w:rPr>
                <w:sz w:val="14"/>
                <w:szCs w:val="14"/>
                <w:color w:val="auto"/>
              </w:rPr>
            </w:pPr>
          </w:p>
        </w:tc>
        <w:tc>
          <w:tcPr>
            <w:tcW w:w="1360" w:type="dxa"/>
            <w:vAlign w:val="bottom"/>
          </w:tcPr>
          <w:p>
            <w:pPr>
              <w:ind w:left="380"/>
              <w:spacing w:after="0"/>
              <w:rPr>
                <w:sz w:val="20"/>
                <w:szCs w:val="20"/>
                <w:color w:val="auto"/>
              </w:rPr>
            </w:pPr>
            <w:r>
              <w:rPr>
                <w:rFonts w:ascii="Courier New" w:cs="Courier New" w:eastAsia="Courier New" w:hAnsi="Courier New"/>
                <w:sz w:val="15"/>
                <w:szCs w:val="15"/>
                <w:color w:val="auto"/>
              </w:rPr>
              <w:t>Boston, MA</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02108</w:t>
            </w:r>
          </w:p>
        </w:tc>
        <w:tc>
          <w:tcPr>
            <w:tcW w:w="1220" w:type="dxa"/>
            <w:vAlign w:val="bottom"/>
          </w:tcPr>
          <w:p>
            <w:pPr>
              <w:spacing w:after="0"/>
              <w:rPr>
                <w:sz w:val="14"/>
                <w:szCs w:val="14"/>
                <w:color w:val="auto"/>
              </w:rPr>
            </w:pPr>
          </w:p>
        </w:tc>
      </w:tr>
      <w:tr>
        <w:trPr>
          <w:trHeight w:val="170"/>
        </w:trPr>
        <w:tc>
          <w:tcPr>
            <w:tcW w:w="1900" w:type="dxa"/>
            <w:vAlign w:val="bottom"/>
          </w:tcPr>
          <w:p>
            <w:pPr>
              <w:spacing w:after="0"/>
              <w:rPr>
                <w:sz w:val="14"/>
                <w:szCs w:val="14"/>
                <w:color w:val="auto"/>
              </w:rPr>
            </w:pPr>
          </w:p>
        </w:tc>
        <w:tc>
          <w:tcPr>
            <w:tcW w:w="3380" w:type="dxa"/>
            <w:vAlign w:val="bottom"/>
            <w:gridSpan w:val="3"/>
          </w:tcPr>
          <w:p>
            <w:pPr>
              <w:ind w:left="380"/>
              <w:spacing w:after="0"/>
              <w:rPr>
                <w:sz w:val="20"/>
                <w:szCs w:val="20"/>
                <w:color w:val="auto"/>
              </w:rPr>
            </w:pPr>
            <w:r>
              <w:rPr>
                <w:rFonts w:ascii="Courier New" w:cs="Courier New" w:eastAsia="Courier New" w:hAnsi="Courier New"/>
                <w:sz w:val="15"/>
                <w:szCs w:val="15"/>
                <w:color w:val="auto"/>
              </w:rPr>
              <w:t>Attention: Thomas Huang, Esq.</w:t>
            </w:r>
          </w:p>
        </w:tc>
      </w:tr>
    </w:tbl>
    <w:p>
      <w:pPr>
        <w:ind w:left="3860"/>
        <w:spacing w:after="0"/>
        <w:rPr>
          <w:sz w:val="20"/>
          <w:szCs w:val="20"/>
          <w:color w:val="auto"/>
        </w:rPr>
      </w:pPr>
      <w:r>
        <w:rPr>
          <w:rFonts w:ascii="Courier New" w:cs="Courier New" w:eastAsia="Courier New" w:hAnsi="Courier New"/>
          <w:sz w:val="15"/>
          <w:szCs w:val="15"/>
          <w:color w:val="auto"/>
        </w:rPr>
        <w:t>Telefax: 617-720-0325</w:t>
      </w:r>
    </w:p>
    <w:p>
      <w:pPr>
        <w:spacing w:after="0" w:line="338"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E-28</w:t>
      </w:r>
    </w:p>
    <w:p>
      <w:pPr>
        <w:sectPr>
          <w:pgSz w:w="11900" w:h="16838" w:orient="portrait"/>
          <w:cols w:equalWidth="0" w:num="1">
            <w:col w:w="10219"/>
          </w:cols>
          <w:pgMar w:left="240" w:top="627" w:right="1440" w:bottom="1440" w:gutter="0" w:footer="0" w:header="0"/>
        </w:sectPr>
      </w:pPr>
    </w:p>
    <w:bookmarkStart w:id="53" w:name="page54"/>
    <w:bookmarkEnd w:id="53"/>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Any Party may send any notice, request, demand, claim, or other communication hereunder to the intended recipient at the address set forth above using any other means (including personal delivery, expedited courier, messenger service, telecopy, telex, ordinary mail, or electronic mail), but no such notice, request, demand, claim, or other communication shall be deemed to have been duly given unless and until it actually is received by the intended recipient. Any Party may change the address to which notices, requests, demands, claims, and other communications hereunder are to be delivered by giving the other Party notice in the manner herein set forth.</w:t>
      </w:r>
    </w:p>
    <w:p>
      <w:pPr>
        <w:spacing w:after="0" w:line="179"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10.1.9 Governing Law. This Agreement shall be governed by and construed in accordance with the laws of the State of Utah without giving effect to any choice or conflict of law provision or rule that would cause the application of the laws of any jurisdiction other than the State of Utah.</w:t>
      </w:r>
    </w:p>
    <w:p>
      <w:pPr>
        <w:spacing w:after="0" w:line="176"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10.1.10 Amendments and Waivers. No amendment of any provision of this Agreement shall be valid unless the same shall be in writing and signed by the Buyer and the Seller. The Seller may consent to any such amendment at any time prior to the Closing with the prior authorization of its board of directors; provided, however, that any amendment effected after the Seller Shareholders have approved this Agreement will be subject to the restrictions contained in applicable law concerning such approval. No waiver by any Party of any default, misrepresentation, or breach of warranty or covenant hereunder, whether intentional or not, shall be deemed to extend to any prior or subsequent default, misrepresentation, or breach of warranty or covenant hereunder or affect in any way any rights arising by virtue of any prior or subsequent such occurrence.</w:t>
      </w:r>
    </w:p>
    <w:p>
      <w:pPr>
        <w:spacing w:after="0" w:line="182"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10.1.11 Severability.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w:t>
      </w:r>
    </w:p>
    <w:p>
      <w:pPr>
        <w:spacing w:after="0" w:line="178"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10.1.12 Expenses. Each of the Buyer and the Seller, will bear its own costs and expenses (including legal fees and expenses) incurred in connection with this Agreement and the transactions contemplated hereby.</w:t>
      </w:r>
    </w:p>
    <w:p>
      <w:pPr>
        <w:spacing w:after="0" w:line="175" w:lineRule="exact"/>
        <w:rPr>
          <w:sz w:val="20"/>
          <w:szCs w:val="20"/>
          <w:color w:val="auto"/>
        </w:rPr>
      </w:pPr>
    </w:p>
    <w:p>
      <w:pPr>
        <w:jc w:val="both"/>
        <w:ind w:right="3179" w:firstLine="793"/>
        <w:spacing w:after="0" w:line="257" w:lineRule="auto"/>
        <w:rPr>
          <w:sz w:val="20"/>
          <w:szCs w:val="20"/>
          <w:color w:val="auto"/>
        </w:rPr>
      </w:pPr>
      <w:r>
        <w:rPr>
          <w:rFonts w:ascii="Courier New" w:cs="Courier New" w:eastAsia="Courier New" w:hAnsi="Courier New"/>
          <w:sz w:val="14"/>
          <w:szCs w:val="14"/>
          <w:color w:val="auto"/>
        </w:rPr>
        <w:t>10.1.13 Construction. 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 Any reference to any federal, state, local, or foreign statute or law shall be deemed also to refer to all rules and regulations promulgated thereunder, unless the context requires otherwise. The word "including" shall mean including without limitation. At the request of Buyer, Seller has disclosed each exception to a representation and warranty with</w:t>
      </w:r>
    </w:p>
    <w:p>
      <w:pPr>
        <w:spacing w:after="0" w:line="33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E-29</w:t>
      </w:r>
    </w:p>
    <w:p>
      <w:pPr>
        <w:sectPr>
          <w:pgSz w:w="11900" w:h="16838" w:orient="portrait"/>
          <w:cols w:equalWidth="0" w:num="1">
            <w:col w:w="10219"/>
          </w:cols>
          <w:pgMar w:left="240" w:top="797" w:right="1440" w:bottom="1440" w:gutter="0" w:footer="0" w:header="0"/>
        </w:sectPr>
      </w:pPr>
    </w:p>
    <w:bookmarkStart w:id="54" w:name="page55"/>
    <w:bookmarkEnd w:id="54"/>
    <w:p>
      <w:pPr>
        <w:jc w:val="both"/>
        <w:ind w:right="3179"/>
        <w:spacing w:after="0" w:line="257" w:lineRule="auto"/>
        <w:rPr>
          <w:sz w:val="20"/>
          <w:szCs w:val="20"/>
          <w:color w:val="auto"/>
        </w:rPr>
      </w:pPr>
      <w:r>
        <w:rPr>
          <w:rFonts w:ascii="Courier New" w:cs="Courier New" w:eastAsia="Courier New" w:hAnsi="Courier New"/>
          <w:sz w:val="14"/>
          <w:szCs w:val="14"/>
          <w:color w:val="auto"/>
        </w:rPr>
        <w:t>reasonable particularity and described the relevant facts in reasonable detail. The Parties intend that each representation, warranty, and covenant contained herein shall have independent significance. If any Party has breached any representation, warranty, or covenant contained herein in any respect, the fact that there exists another representation, warranty, or covenant relating to the same subject matter (regardless of the relative levels of specificity) which the Party has not breached shall not detract from or mitigate the fact that the Party is in breach of the first representation, warranty, or covenant.</w:t>
      </w:r>
    </w:p>
    <w:p>
      <w:pPr>
        <w:spacing w:after="0" w:line="167"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10.1.14 Incorporation of Exhibits and Schedules. The Exhibits and Schedules identified in this Agreement are incorporated herein by reference and made a part hereof.</w:t>
      </w:r>
    </w:p>
    <w:p>
      <w:pPr>
        <w:spacing w:after="0" w:line="175"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10.1.15 Specific Performance. Each of the Parties acknowledges and agrees that the other Party would be damaged irreparably in the event any of the provisions of this Agreement are not performed in accordance with their specific terms or otherwise are breached. Accordingly, each of the Parties agrees that the other Party shall be entitled to an injunction or injunctions to prevent breaches of the provisions of this Agreement and to enforce specifically this Agreement and the terms and provisions hereof in any action instituted in any court of the United States or any state thereof having jurisdiction over the Parties and the matter, in addition to any other remedy to which it may be entitled, at law or in equity.</w:t>
      </w:r>
    </w:p>
    <w:p>
      <w:pPr>
        <w:spacing w:after="0" w:line="180"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10.1.16 Dispute Resolution. Subject to the provisions of Section 10(o) above, any dispute arising out of or in connection with this Agreement, including any question regarding its existence, validity or termination, shall be settled: first, by good faith negotiation between the Parties for a period of no more than ten (10) days following written notice by the disputing Party to the other Party of such dispute; then, if unresolved, by non-binding mediation for a period of thirty (30) days before a mutually satisfactory mediator. Any dispute remaining unresolved following mediation shall be settled by binding arbitration before a single arbitrator under the Rules of the American Arbitration Association for Commercial Disputes (the "Rules" (as modified by this section)). Judgment upon the award rendered by the arbitrator or arbitrators may be entered in any court having jurisdiction thereof, and shall be binding on the Parties hereto. The costs of arbitration, including reasonable legal fees and costs, shall be borne by either or both of the Parties in whatever proportion as the arbitrator or arbitrators may award.</w:t>
      </w:r>
    </w:p>
    <w:p>
      <w:pPr>
        <w:spacing w:after="0" w:line="185"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10.1.17 Employee Benefits Matters. The Buyer may, but shall not be obligated, to hire certain Employees of Seller. In any event, Seller shall remain responsible for each of the Employee Benefit Plans that the Seller maintains following the Closing (and for terminating such Employee Benefit Plans that Seller elects not to maintain following the Closing) and each trust, insurance contract, annuity contract, or other funding arrangement that the Seller has established with respect thereto, and Buyer shall assume no responsibility or obligation therefor.</w:t>
      </w:r>
    </w:p>
    <w:p>
      <w:pPr>
        <w:spacing w:after="0" w:line="34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[Remainder of Page Intentionally Left Blank.]</w:t>
      </w:r>
    </w:p>
    <w:p>
      <w:pPr>
        <w:spacing w:after="0" w:line="3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E-30</w:t>
      </w:r>
    </w:p>
    <w:p>
      <w:pPr>
        <w:sectPr>
          <w:pgSz w:w="11900" w:h="16838" w:orient="portrait"/>
          <w:cols w:equalWidth="0" w:num="1">
            <w:col w:w="10219"/>
          </w:cols>
          <w:pgMar w:left="240" w:top="627" w:right="1440" w:bottom="1440" w:gutter="0" w:footer="0" w:header="0"/>
        </w:sectPr>
      </w:pPr>
    </w:p>
    <w:bookmarkStart w:id="55" w:name="page56"/>
    <w:bookmarkEnd w:id="55"/>
    <w:p>
      <w:pPr>
        <w:ind w:right="3179" w:firstLine="793"/>
        <w:spacing w:after="0" w:line="235" w:lineRule="auto"/>
        <w:rPr>
          <w:sz w:val="20"/>
          <w:szCs w:val="20"/>
          <w:color w:val="auto"/>
        </w:rPr>
      </w:pPr>
      <w:r>
        <w:rPr>
          <w:rFonts w:ascii="Courier New" w:cs="Courier New" w:eastAsia="Courier New" w:hAnsi="Courier New"/>
          <w:sz w:val="15"/>
          <w:szCs w:val="15"/>
          <w:color w:val="auto"/>
        </w:rPr>
        <w:t>IN WITNESS WHEREOF, the Parties hereto have executed this Agreement as of the date first written above.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GENTNER COMMUNICATIONS CORPORATION</w:t>
      </w:r>
    </w:p>
    <w:p>
      <w:pPr>
        <w:spacing w:after="0" w:line="339"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/s/Susie Strohm</w:t>
      </w:r>
    </w:p>
    <w:p>
      <w:pPr>
        <w:ind w:left="60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Title: Chief financial Officer</w:t>
      </w:r>
    </w:p>
    <w:p>
      <w:pPr>
        <w:ind w:left="600"/>
        <w:spacing w:after="0" w:line="238" w:lineRule="auto"/>
        <w:rPr>
          <w:sz w:val="20"/>
          <w:szCs w:val="20"/>
          <w:color w:val="auto"/>
        </w:rPr>
      </w:pPr>
      <w:r>
        <w:rPr>
          <w:rFonts w:ascii="Courier New" w:cs="Courier New" w:eastAsia="Courier New" w:hAnsi="Courier New"/>
          <w:sz w:val="15"/>
          <w:szCs w:val="15"/>
          <w:color w:val="auto"/>
        </w:rPr>
        <w:t>------------------------------------------</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CLEARONE, INC.</w:t>
      </w:r>
    </w:p>
    <w:p>
      <w:pPr>
        <w:spacing w:after="0" w:line="339"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/s/Andrew Chiang</w:t>
      </w:r>
    </w:p>
    <w:p>
      <w:pPr>
        <w:ind w:left="60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Title: President</w:t>
      </w:r>
    </w:p>
    <w:p>
      <w:pPr>
        <w:ind w:left="600"/>
        <w:spacing w:after="0" w:line="238"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E-31</w:t>
      </w:r>
    </w:p>
    <w:p>
      <w:pPr>
        <w:sectPr>
          <w:pgSz w:w="11900" w:h="16838" w:orient="portrait"/>
          <w:cols w:equalWidth="0" w:num="1">
            <w:col w:w="10219"/>
          </w:cols>
          <w:pgMar w:left="240" w:top="797" w:right="1440" w:bottom="1440" w:gutter="0" w:footer="0" w:header="0"/>
        </w:sectPr>
      </w:pPr>
    </w:p>
    <w:bookmarkStart w:id="56" w:name="page57"/>
    <w:bookmarkEnd w:id="56"/>
    <w:p>
      <w:pPr>
        <w:jc w:val="center"/>
        <w:ind w:right="3099"/>
        <w:spacing w:after="0"/>
        <w:rPr>
          <w:sz w:val="20"/>
          <w:szCs w:val="20"/>
          <w:color w:val="auto"/>
        </w:rPr>
      </w:pPr>
      <w:r>
        <w:rPr>
          <w:rFonts w:ascii="Courier New" w:cs="Courier New" w:eastAsia="Courier New" w:hAnsi="Courier New"/>
          <w:sz w:val="15"/>
          <w:szCs w:val="15"/>
          <w:color w:val="auto"/>
        </w:rPr>
        <w:t>EXHIBIT A</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ACQUIRED ASSETS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Contracts/Agreements/Licenses</w:t>
      </w: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VideoServer License Agreement, dated March 24, 1999, as amended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Compliance Certificates</w:t>
      </w:r>
    </w:p>
    <w:p>
      <w:pPr>
        <w:spacing w:after="0" w:line="175"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License Agreement between DSP Software Engineering, Inc., and Intervision Corp., dated April 15, 1998</w:t>
      </w:r>
    </w:p>
    <w:p>
      <w:pPr>
        <w:spacing w:after="0" w:line="176"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International Distribution Agreement by and between Taiwan Teama Trading Co. Ltd. and Seller, dated April 10 , 2000</w:t>
      </w:r>
    </w:p>
    <w:p>
      <w:pPr>
        <w:spacing w:after="0" w:line="176"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Distribution Agreement by and between TeleDynamics, LLP, and Seller, dated February 10 , 2000</w:t>
      </w:r>
    </w:p>
    <w:p>
      <w:pPr>
        <w:spacing w:after="0" w:line="176"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Distribution Agreement by and between Daisytek, Inc., and Seller, dated April 10 , 2000</w:t>
      </w:r>
    </w:p>
    <w:p>
      <w:pPr>
        <w:spacing w:after="0" w:line="176"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Short Term Vendor Agreement, by and between Wal-Mart and Seller, dated October 14, 1999</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Vendor Agreement, by and between Office Depot and Seller, dated May 23, 2000</w:t>
      </w:r>
    </w:p>
    <w:p>
      <w:pPr>
        <w:spacing w:after="0" w:line="169" w:lineRule="exact"/>
        <w:rPr>
          <w:sz w:val="20"/>
          <w:szCs w:val="20"/>
          <w:color w:val="auto"/>
        </w:rPr>
      </w:pPr>
    </w:p>
    <w:p>
      <w:pPr>
        <w:spacing w:after="0"/>
        <w:tabs>
          <w:tab w:leader="none" w:pos="940" w:val="left"/>
          <w:tab w:leader="none" w:pos="1740" w:val="left"/>
        </w:tabs>
        <w:rPr>
          <w:sz w:val="20"/>
          <w:szCs w:val="20"/>
          <w:color w:val="auto"/>
        </w:rPr>
      </w:pPr>
      <w:r>
        <w:rPr>
          <w:rFonts w:ascii="Courier New" w:cs="Courier New" w:eastAsia="Courier New" w:hAnsi="Courier New"/>
          <w:sz w:val="15"/>
          <w:szCs w:val="15"/>
          <w:color w:val="auto"/>
        </w:rPr>
        <w:t>Inventory</w:t>
        <w:tab/>
        <w:t>Listing</w:t>
      </w:r>
      <w:r>
        <w:rPr>
          <w:sz w:val="20"/>
          <w:szCs w:val="20"/>
          <w:color w:val="auto"/>
        </w:rPr>
        <w:tab/>
      </w:r>
      <w:r>
        <w:rPr>
          <w:rFonts w:ascii="Courier New" w:cs="Courier New" w:eastAsia="Courier New" w:hAnsi="Courier New"/>
          <w:sz w:val="14"/>
          <w:szCs w:val="14"/>
          <w:color w:val="auto"/>
        </w:rPr>
        <w:t>[Intentionally Omitted]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Acquired Assets</w:t>
      </w:r>
    </w:p>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All Intellectual Property in Schedule 3(m)(iii) and 3(m)(iv) of the Disclosure Schedule, other than the November 20, 1997 Software License Agreement with VideoServer, Inc., and the April 23, 1998 Co-Marketing Agreement with 8x8, Inc., referenced therein.</w:t>
      </w:r>
    </w:p>
    <w:p>
      <w:pPr>
        <w:spacing w:after="0" w:line="176"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An amount of $59,000 currently held by the Landlord as deposit for Seller's Woburn office</w:t>
      </w:r>
    </w:p>
    <w:p>
      <w:pPr>
        <w:spacing w:after="0" w:line="34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E-32</w:t>
      </w:r>
    </w:p>
    <w:p>
      <w:pPr>
        <w:sectPr>
          <w:pgSz w:w="11900" w:h="16838" w:orient="portrait"/>
          <w:cols w:equalWidth="0" w:num="1">
            <w:col w:w="10219"/>
          </w:cols>
          <w:pgMar w:left="240" w:top="791" w:right="1440" w:bottom="1440" w:gutter="0" w:footer="0" w:header="0"/>
        </w:sectPr>
      </w:pPr>
    </w:p>
    <w:bookmarkStart w:id="57" w:name="page58"/>
    <w:bookmarkEnd w:id="57"/>
    <w:p>
      <w:pPr>
        <w:jc w:val="center"/>
        <w:ind w:right="3090"/>
        <w:spacing w:after="0"/>
        <w:rPr>
          <w:sz w:val="20"/>
          <w:szCs w:val="20"/>
          <w:color w:val="auto"/>
        </w:rPr>
      </w:pPr>
      <w:r>
        <w:rPr>
          <w:rFonts w:ascii="Courier New" w:cs="Courier New" w:eastAsia="Courier New" w:hAnsi="Courier New"/>
          <w:sz w:val="15"/>
          <w:szCs w:val="15"/>
          <w:color w:val="auto"/>
        </w:rPr>
        <w:t>EXHIBIT B</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VIDEOSERVER LICENSE</w:t>
      </w:r>
    </w:p>
    <w:p>
      <w:pPr>
        <w:spacing w:after="0" w:line="169" w:lineRule="exact"/>
        <w:rPr>
          <w:sz w:val="20"/>
          <w:szCs w:val="20"/>
          <w:color w:val="auto"/>
        </w:rPr>
      </w:pPr>
    </w:p>
    <w:p>
      <w:pPr>
        <w:ind w:left="2210"/>
        <w:spacing w:after="0"/>
        <w:rPr>
          <w:sz w:val="20"/>
          <w:szCs w:val="20"/>
          <w:color w:val="auto"/>
        </w:rPr>
      </w:pPr>
      <w:r>
        <w:rPr>
          <w:rFonts w:ascii="Courier New" w:cs="Courier New" w:eastAsia="Courier New" w:hAnsi="Courier New"/>
          <w:sz w:val="15"/>
          <w:szCs w:val="15"/>
          <w:color w:val="auto"/>
        </w:rPr>
        <w:t>AMENDMENT TO LICENSE AGREEMENT</w:t>
      </w:r>
    </w:p>
    <w:p>
      <w:pPr>
        <w:spacing w:after="0" w:line="175" w:lineRule="exact"/>
        <w:rPr>
          <w:sz w:val="20"/>
          <w:szCs w:val="20"/>
          <w:color w:val="auto"/>
        </w:rPr>
      </w:pPr>
    </w:p>
    <w:p>
      <w:pPr>
        <w:jc w:val="both"/>
        <w:ind w:left="10" w:right="3179" w:firstLine="441"/>
        <w:spacing w:after="0" w:line="238" w:lineRule="auto"/>
        <w:rPr>
          <w:sz w:val="20"/>
          <w:szCs w:val="20"/>
          <w:color w:val="auto"/>
        </w:rPr>
      </w:pPr>
      <w:r>
        <w:rPr>
          <w:rFonts w:ascii="Courier New" w:cs="Courier New" w:eastAsia="Courier New" w:hAnsi="Courier New"/>
          <w:sz w:val="15"/>
          <w:szCs w:val="15"/>
          <w:color w:val="auto"/>
        </w:rPr>
        <w:t>THIS AMENDMENT TO LICENSE AGREEMTNT (the "Amendment") is entered into as of the 1st day of June, 2000 by and among Gentner Communications Corporation, a Utah corporation ("Assignee" or "Gentner"), ClearOne, Inc., a Massachusetts corporation ("Licensor" or "ClearOne") and Ezenia, Inc., a Delaware corporation (formerly VideoServer, Inc.) ("Licensee" or "Ezenia"), the foregoing sometimes referred to collectively herein as the "parties."</w:t>
      </w:r>
    </w:p>
    <w:p>
      <w:pPr>
        <w:spacing w:after="0" w:line="170" w:lineRule="exact"/>
        <w:rPr>
          <w:sz w:val="20"/>
          <w:szCs w:val="20"/>
          <w:color w:val="auto"/>
        </w:rPr>
      </w:pPr>
    </w:p>
    <w:p>
      <w:pPr>
        <w:ind w:left="2550"/>
        <w:spacing w:after="0"/>
        <w:rPr>
          <w:sz w:val="20"/>
          <w:szCs w:val="20"/>
          <w:color w:val="auto"/>
        </w:rPr>
      </w:pPr>
      <w:r>
        <w:rPr>
          <w:rFonts w:ascii="Courier New" w:cs="Courier New" w:eastAsia="Courier New" w:hAnsi="Courier New"/>
          <w:sz w:val="15"/>
          <w:szCs w:val="15"/>
          <w:color w:val="auto"/>
        </w:rPr>
        <w:t>ARTICLE 11 -- RECITALS</w:t>
      </w:r>
    </w:p>
    <w:p>
      <w:pPr>
        <w:ind w:left="2550"/>
        <w:spacing w:after="0"/>
        <w:rPr>
          <w:sz w:val="20"/>
          <w:szCs w:val="20"/>
          <w:color w:val="auto"/>
        </w:rPr>
      </w:pPr>
      <w:r>
        <w:rPr>
          <w:rFonts w:ascii="Courier New" w:cs="Courier New" w:eastAsia="Courier New" w:hAnsi="Courier New"/>
          <w:sz w:val="15"/>
          <w:szCs w:val="15"/>
          <w:color w:val="auto"/>
        </w:rPr>
        <w:t>----------------------</w:t>
      </w:r>
    </w:p>
    <w:p>
      <w:pPr>
        <w:spacing w:after="0" w:line="344" w:lineRule="exact"/>
        <w:rPr>
          <w:sz w:val="20"/>
          <w:szCs w:val="20"/>
          <w:color w:val="auto"/>
        </w:rPr>
      </w:pPr>
    </w:p>
    <w:p>
      <w:pPr>
        <w:jc w:val="both"/>
        <w:ind w:left="1590" w:right="3179" w:firstLine="790"/>
        <w:spacing w:after="0" w:line="237" w:lineRule="auto"/>
        <w:tabs>
          <w:tab w:leader="none" w:pos="2735"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 and Licensee entered into that certain License Agreement dated March 24, 1999 (the "License Agreement"), relating to the license of certain technology owned by ClearOne.</w:t>
      </w:r>
    </w:p>
    <w:p>
      <w:pPr>
        <w:spacing w:after="0" w:line="176" w:lineRule="exact"/>
        <w:rPr>
          <w:rFonts w:ascii="Courier New" w:cs="Courier New" w:eastAsia="Courier New" w:hAnsi="Courier New"/>
          <w:sz w:val="15"/>
          <w:szCs w:val="15"/>
          <w:color w:val="auto"/>
        </w:rPr>
      </w:pPr>
    </w:p>
    <w:p>
      <w:pPr>
        <w:jc w:val="both"/>
        <w:ind w:left="1590" w:right="3179" w:firstLine="790"/>
        <w:spacing w:after="0" w:line="258" w:lineRule="auto"/>
        <w:tabs>
          <w:tab w:leader="none" w:pos="2824"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Gentner and ClearOne have entered into negotiations concerning a proposed transaction in which Gentner contemplates acquiring certain assets of ClearOne (the "Acquired Assets"). The Acquired Assets include software and other intellectual property of ClearOne, some of which has been licensed to Licensee pursuant to the License Agreement.</w:t>
      </w:r>
    </w:p>
    <w:p>
      <w:pPr>
        <w:spacing w:after="0" w:line="163" w:lineRule="exact"/>
        <w:rPr>
          <w:rFonts w:ascii="Courier New" w:cs="Courier New" w:eastAsia="Courier New" w:hAnsi="Courier New"/>
          <w:sz w:val="14"/>
          <w:szCs w:val="14"/>
          <w:color w:val="auto"/>
        </w:rPr>
      </w:pPr>
    </w:p>
    <w:p>
      <w:pPr>
        <w:jc w:val="both"/>
        <w:ind w:left="1590" w:right="3179" w:firstLine="790"/>
        <w:spacing w:after="0" w:line="237" w:lineRule="auto"/>
        <w:tabs>
          <w:tab w:leader="none" w:pos="2735"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closing of Gentner's purchase of the Acquired Assets, the parties wish to amend the License Agreement as set forth herein.</w:t>
      </w:r>
    </w:p>
    <w:p>
      <w:pPr>
        <w:spacing w:after="0" w:line="175" w:lineRule="exact"/>
        <w:rPr>
          <w:sz w:val="20"/>
          <w:szCs w:val="20"/>
          <w:color w:val="auto"/>
        </w:rPr>
      </w:pPr>
    </w:p>
    <w:p>
      <w:pPr>
        <w:ind w:left="10" w:right="3179" w:firstLine="793"/>
        <w:spacing w:after="0" w:line="235" w:lineRule="auto"/>
        <w:rPr>
          <w:sz w:val="20"/>
          <w:szCs w:val="20"/>
          <w:color w:val="auto"/>
        </w:rPr>
      </w:pPr>
      <w:r>
        <w:rPr>
          <w:rFonts w:ascii="Courier New" w:cs="Courier New" w:eastAsia="Courier New" w:hAnsi="Courier New"/>
          <w:sz w:val="15"/>
          <w:szCs w:val="15"/>
          <w:color w:val="auto"/>
        </w:rPr>
        <w:t>NOW, THEREFORE, for good and valuable consideration, the parties mutually covenant and agree as follows:</w:t>
      </w:r>
    </w:p>
    <w:p>
      <w:pPr>
        <w:spacing w:after="0" w:line="176" w:lineRule="exact"/>
        <w:rPr>
          <w:sz w:val="20"/>
          <w:szCs w:val="20"/>
          <w:color w:val="auto"/>
        </w:rPr>
      </w:pPr>
    </w:p>
    <w:p>
      <w:pPr>
        <w:jc w:val="both"/>
        <w:ind w:left="10" w:right="3179" w:hanging="10"/>
        <w:spacing w:after="0" w:line="237" w:lineRule="auto"/>
        <w:tabs>
          <w:tab w:leader="none" w:pos="274"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Capitalized Terms. Except as otherwise defined herein, capitalized terms used in this Amendment shall have the meanings given to such terms in the License Agreement.</w:t>
      </w:r>
    </w:p>
    <w:p>
      <w:pPr>
        <w:spacing w:after="0" w:line="174" w:lineRule="exact"/>
        <w:rPr>
          <w:rFonts w:ascii="Courier New" w:cs="Courier New" w:eastAsia="Courier New" w:hAnsi="Courier New"/>
          <w:sz w:val="15"/>
          <w:szCs w:val="15"/>
          <w:color w:val="auto"/>
        </w:rPr>
      </w:pPr>
    </w:p>
    <w:p>
      <w:pPr>
        <w:jc w:val="both"/>
        <w:ind w:left="10" w:right="3179" w:hanging="10"/>
        <w:spacing w:after="0" w:line="237" w:lineRule="auto"/>
        <w:tabs>
          <w:tab w:leader="none" w:pos="274"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Deletion of Provisions. The texts of Section 1.5, Section 2, and Section 6.2 of the License Agreement are hereby deleted in their entirety, and the notation "Intentionally Omitted" shall be inserted in place of each deleted provision to maintain existing numbering of the Sections.</w:t>
      </w:r>
    </w:p>
    <w:p>
      <w:pPr>
        <w:spacing w:after="0" w:line="176" w:lineRule="exact"/>
        <w:rPr>
          <w:rFonts w:ascii="Courier New" w:cs="Courier New" w:eastAsia="Courier New" w:hAnsi="Courier New"/>
          <w:sz w:val="15"/>
          <w:szCs w:val="15"/>
          <w:color w:val="auto"/>
        </w:rPr>
      </w:pPr>
    </w:p>
    <w:p>
      <w:pPr>
        <w:jc w:val="both"/>
        <w:ind w:left="10" w:right="3179" w:hanging="10"/>
        <w:spacing w:after="0" w:line="237" w:lineRule="auto"/>
        <w:tabs>
          <w:tab w:leader="none" w:pos="274"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Gentner as Assignee. Gentner hereby agrees to be bound by all of the terms of the License Agreement and to assume all of ClearOne's rights and obligations thereunder as modified and amended by this Amendment.</w:t>
      </w:r>
    </w:p>
    <w:p>
      <w:pPr>
        <w:spacing w:after="0" w:line="3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E-33</w:t>
      </w:r>
    </w:p>
    <w:p>
      <w:pPr>
        <w:sectPr>
          <w:pgSz w:w="11900" w:h="16838" w:orient="portrait"/>
          <w:cols w:equalWidth="0" w:num="1">
            <w:col w:w="10229"/>
          </w:cols>
          <w:pgMar w:left="230" w:top="961" w:right="1440" w:bottom="1440" w:gutter="0" w:footer="0" w:header="0"/>
        </w:sectPr>
      </w:pPr>
    </w:p>
    <w:bookmarkStart w:id="58" w:name="page59"/>
    <w:bookmarkEnd w:id="58"/>
    <w:p>
      <w:pPr>
        <w:jc w:val="both"/>
        <w:ind w:left="10" w:right="3179" w:hanging="10"/>
        <w:spacing w:after="0" w:line="238" w:lineRule="auto"/>
        <w:tabs>
          <w:tab w:leader="none" w:pos="362"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Deliverables; License Fees. Licensee hereby acknowledges that it has (i) accepted all of the Deliverables, (ii) received or waived the training to which it was entitled pursuant to Section 5 of the License Agreement, and (iii) shall not be entitled to receive, and Gentner shall not be required to deliver additional Hardware Units under the License Agreement. The parties each agree that Licensee shall not be obligated to pay additional License Fees pursuant to Section 6.1 of the License Agreement.</w:t>
      </w:r>
    </w:p>
    <w:p>
      <w:pPr>
        <w:spacing w:after="0" w:line="176" w:lineRule="exact"/>
        <w:rPr>
          <w:rFonts w:ascii="Courier New" w:cs="Courier New" w:eastAsia="Courier New" w:hAnsi="Courier New"/>
          <w:sz w:val="15"/>
          <w:szCs w:val="15"/>
          <w:color w:val="auto"/>
        </w:rPr>
      </w:pPr>
    </w:p>
    <w:p>
      <w:pPr>
        <w:jc w:val="both"/>
        <w:ind w:left="10" w:right="3179" w:hanging="10"/>
        <w:spacing w:after="0" w:line="237" w:lineRule="auto"/>
        <w:tabs>
          <w:tab w:leader="none" w:pos="362"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 to Effectiveness. This Amendment shall not be binding upon the parties or modify the License Agreement unless and until the closing of Gentner's purchase of the Acquired Assets pursuant to the transaction contemplated between Gentner and ClearOne.</w:t>
      </w:r>
    </w:p>
    <w:p>
      <w:pPr>
        <w:spacing w:after="0" w:line="176" w:lineRule="exact"/>
        <w:rPr>
          <w:rFonts w:ascii="Courier New" w:cs="Courier New" w:eastAsia="Courier New" w:hAnsi="Courier New"/>
          <w:sz w:val="15"/>
          <w:szCs w:val="15"/>
          <w:color w:val="auto"/>
        </w:rPr>
      </w:pPr>
    </w:p>
    <w:p>
      <w:pPr>
        <w:jc w:val="both"/>
        <w:ind w:left="10" w:right="3179" w:hanging="10"/>
        <w:spacing w:after="0" w:line="237" w:lineRule="auto"/>
        <w:tabs>
          <w:tab w:leader="none" w:pos="362"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Affirmation of the Lease. Gentner and Licensee hereby affirm and ratify the License Agreement, and agree that the License Agreement, as amended hereby, shall remain in full force and effect.</w:t>
      </w:r>
    </w:p>
    <w:p>
      <w:pPr>
        <w:spacing w:after="0" w:line="344" w:lineRule="exact"/>
        <w:rPr>
          <w:sz w:val="20"/>
          <w:szCs w:val="20"/>
          <w:color w:val="auto"/>
        </w:rPr>
      </w:pPr>
    </w:p>
    <w:p>
      <w:pPr>
        <w:ind w:left="790" w:right="3179"/>
        <w:spacing w:after="0" w:line="235" w:lineRule="auto"/>
        <w:rPr>
          <w:sz w:val="20"/>
          <w:szCs w:val="20"/>
          <w:color w:val="auto"/>
        </w:rPr>
      </w:pPr>
      <w:r>
        <w:rPr>
          <w:rFonts w:ascii="Courier New" w:cs="Courier New" w:eastAsia="Courier New" w:hAnsi="Courier New"/>
          <w:sz w:val="15"/>
          <w:szCs w:val="15"/>
          <w:color w:val="auto"/>
        </w:rPr>
        <w:t>IN WITNESS WHEREOF, the parties have caused this Amendment to be duly executed as of the date of the first above written.</w:t>
      </w:r>
    </w:p>
    <w:p>
      <w:pPr>
        <w:sectPr>
          <w:pgSz w:w="11900" w:h="16838" w:orient="portrait"/>
          <w:cols w:equalWidth="0" w:num="1">
            <w:col w:w="10229"/>
          </w:cols>
          <w:pgMar w:left="230" w:top="627" w:right="1440" w:bottom="1440" w:gutter="0" w:footer="0" w:header="0"/>
        </w:sectPr>
      </w:pPr>
    </w:p>
    <w:p>
      <w:pPr>
        <w:spacing w:after="0" w:line="345" w:lineRule="exact"/>
        <w:rPr>
          <w:sz w:val="20"/>
          <w:szCs w:val="20"/>
          <w:color w:val="auto"/>
        </w:rPr>
      </w:pPr>
    </w:p>
    <w:p>
      <w:pPr>
        <w:ind w:left="10" w:right="1060"/>
        <w:spacing w:after="0" w:line="265" w:lineRule="auto"/>
        <w:rPr>
          <w:sz w:val="20"/>
          <w:szCs w:val="20"/>
          <w:color w:val="auto"/>
        </w:rPr>
      </w:pPr>
      <w:r>
        <w:rPr>
          <w:rFonts w:ascii="Courier New" w:cs="Courier New" w:eastAsia="Courier New" w:hAnsi="Courier New"/>
          <w:sz w:val="14"/>
          <w:szCs w:val="14"/>
          <w:color w:val="auto"/>
        </w:rPr>
        <w:t>GENTNER COMMUNICATIONS CORPORATION</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CLEARONE, INC.</w:t>
      </w:r>
    </w:p>
    <w:p>
      <w:pPr>
        <w:spacing w:after="0" w:line="391" w:lineRule="exact"/>
        <w:rPr>
          <w:sz w:val="20"/>
          <w:szCs w:val="20"/>
          <w:color w:val="auto"/>
        </w:rPr>
      </w:pPr>
    </w:p>
    <w:p>
      <w:pPr>
        <w:sectPr>
          <w:pgSz w:w="11900" w:h="16838" w:orient="portrait"/>
          <w:cols w:equalWidth="0" w:num="2">
            <w:col w:w="2990" w:space="720"/>
            <w:col w:w="6519"/>
          </w:cols>
          <w:pgMar w:left="230" w:top="627" w:right="1440" w:bottom="1440" w:gutter="0" w:footer="0" w:header="0"/>
          <w:type w:val="continuous"/>
        </w:sectPr>
      </w:pPr>
    </w:p>
    <w:p>
      <w:pPr>
        <w:spacing w:after="0" w:line="128" w:lineRule="exact"/>
        <w:rPr>
          <w:sz w:val="20"/>
          <w:szCs w:val="20"/>
          <w:color w:val="auto"/>
        </w:rPr>
      </w:pPr>
    </w:p>
    <w:p>
      <w:pPr>
        <w:ind w:left="10"/>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/s/Susie Strohm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/s/Andrew Chiang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4">
            <w:col w:w="170" w:space="0"/>
            <w:col w:w="3360" w:space="180"/>
            <w:col w:w="160" w:space="100"/>
            <w:col w:w="6259"/>
          </w:cols>
          <w:pgMar w:left="230" w:top="627" w:right="1440" w:bottom="1440" w:gutter="0" w:footer="0" w:header="0"/>
          <w:type w:val="continuous"/>
        </w:sectPr>
      </w:pP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Its</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5"/>
          <w:szCs w:val="15"/>
          <w:color w:val="auto"/>
        </w:rPr>
        <w:t>CFO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Its</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5"/>
          <w:szCs w:val="15"/>
          <w:color w:val="auto"/>
        </w:rPr>
        <w:t>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4">
            <w:col w:w="270" w:space="0"/>
            <w:col w:w="3260" w:space="180"/>
            <w:col w:w="260" w:space="0"/>
            <w:col w:w="6259"/>
          </w:cols>
          <w:pgMar w:left="230" w:top="627"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EZENIA, INC.</w:t>
      </w:r>
    </w:p>
    <w:p>
      <w:pPr>
        <w:sectPr>
          <w:pgSz w:w="11900" w:h="16838" w:orient="portrait"/>
          <w:cols w:equalWidth="0" w:num="1">
            <w:col w:w="10229"/>
          </w:cols>
          <w:pgMar w:left="230" w:top="627" w:right="1440" w:bottom="1440" w:gutter="0" w:footer="0" w:header="0"/>
          <w:type w:val="continuous"/>
        </w:sectPr>
      </w:pPr>
    </w:p>
    <w:p>
      <w:pPr>
        <w:spacing w:after="0" w:line="350" w:lineRule="exact"/>
        <w:rPr>
          <w:sz w:val="20"/>
          <w:szCs w:val="20"/>
          <w:color w:val="auto"/>
        </w:rPr>
      </w:pPr>
    </w:p>
    <w:p>
      <w:pPr>
        <w:ind w:left="10"/>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/s/Stephen P. Cummings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170" w:space="100"/>
            <w:col w:w="9959"/>
          </w:cols>
          <w:pgMar w:left="230" w:top="627" w:right="1440" w:bottom="1440" w:gutter="0" w:footer="0" w:header="0"/>
          <w:type w:val="continuous"/>
        </w:sectPr>
      </w:pP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Its</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5"/>
          <w:szCs w:val="15"/>
          <w:color w:val="auto"/>
        </w:rPr>
        <w:t>V.P. of Engineering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270" w:space="0"/>
            <w:col w:w="9959"/>
          </w:cols>
          <w:pgMar w:left="230" w:top="62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4"/>
          <w:szCs w:val="14"/>
          <w:color w:val="auto"/>
        </w:rPr>
        <w:t>E-34</w:t>
      </w:r>
    </w:p>
    <w:p>
      <w:pPr>
        <w:sectPr>
          <w:pgSz w:w="11900" w:h="16838" w:orient="portrait"/>
          <w:cols w:equalWidth="0" w:num="1">
            <w:col w:w="10229"/>
          </w:cols>
          <w:pgMar w:left="230" w:top="627" w:right="1440"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176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EXHIBIT C</w:t>
            </w:r>
          </w:p>
        </w:tc>
      </w:tr>
      <w:tr>
        <w:trPr>
          <w:trHeight w:val="339"/>
        </w:trPr>
        <w:tc>
          <w:tcPr>
            <w:tcW w:w="2640" w:type="dxa"/>
            <w:vAlign w:val="bottom"/>
          </w:tcPr>
          <w:p>
            <w:pPr>
              <w:spacing w:after="0"/>
              <w:rPr>
                <w:sz w:val="24"/>
                <w:szCs w:val="24"/>
                <w:color w:val="auto"/>
              </w:rPr>
            </w:pPr>
          </w:p>
        </w:tc>
        <w:tc>
          <w:tcPr>
            <w:tcW w:w="17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ALLOCATION SCHEDULE</w:t>
            </w:r>
          </w:p>
        </w:tc>
      </w:tr>
      <w:tr>
        <w:trPr>
          <w:trHeight w:val="509"/>
        </w:trPr>
        <w:tc>
          <w:tcPr>
            <w:tcW w:w="2640" w:type="dxa"/>
            <w:vAlign w:val="bottom"/>
          </w:tcPr>
          <w:p>
            <w:pPr>
              <w:spacing w:after="0"/>
              <w:rPr>
                <w:sz w:val="20"/>
                <w:szCs w:val="20"/>
                <w:color w:val="auto"/>
              </w:rPr>
            </w:pPr>
            <w:r>
              <w:rPr>
                <w:rFonts w:ascii="Courier New" w:cs="Courier New" w:eastAsia="Courier New" w:hAnsi="Courier New"/>
                <w:sz w:val="15"/>
                <w:szCs w:val="15"/>
                <w:color w:val="auto"/>
              </w:rPr>
              <w:t>ClearOne Purchase Allocation</w:t>
            </w: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Property &amp; Equipment - Net</w:t>
            </w:r>
          </w:p>
        </w:tc>
        <w:tc>
          <w:tcPr>
            <w:tcW w:w="70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319,284</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Deposits (Cummings Lease/UPS)</w:t>
            </w:r>
          </w:p>
        </w:tc>
        <w:tc>
          <w:tcPr>
            <w:tcW w:w="70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59,250</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Intangibles (Patent)</w:t>
            </w:r>
          </w:p>
        </w:tc>
        <w:tc>
          <w:tcPr>
            <w:tcW w:w="70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21,624</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176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$3,061,842</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Inventory</w:t>
            </w:r>
          </w:p>
        </w:tc>
        <w:tc>
          <w:tcPr>
            <w:tcW w:w="70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299,085</w:t>
            </w:r>
          </w:p>
        </w:tc>
      </w:tr>
      <w:tr>
        <w:trPr>
          <w:trHeight w:val="170"/>
        </w:trPr>
        <w:tc>
          <w:tcPr>
            <w:tcW w:w="2640" w:type="dxa"/>
            <w:vAlign w:val="bottom"/>
          </w:tcPr>
          <w:p>
            <w:pPr>
              <w:spacing w:after="0"/>
              <w:rPr>
                <w:sz w:val="14"/>
                <w:szCs w:val="14"/>
                <w:color w:val="auto"/>
              </w:rPr>
            </w:pPr>
          </w:p>
        </w:tc>
        <w:tc>
          <w:tcPr>
            <w:tcW w:w="176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Total Purchase Price</w:t>
            </w:r>
          </w:p>
        </w:tc>
        <w:tc>
          <w:tcPr>
            <w:tcW w:w="176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$3,758,085</w:t>
            </w:r>
          </w:p>
        </w:tc>
      </w:tr>
      <w:tr>
        <w:trPr>
          <w:trHeight w:val="170"/>
        </w:trPr>
        <w:tc>
          <w:tcPr>
            <w:tcW w:w="2640" w:type="dxa"/>
            <w:vAlign w:val="bottom"/>
          </w:tcPr>
          <w:p>
            <w:pPr>
              <w:spacing w:after="0"/>
              <w:rPr>
                <w:sz w:val="14"/>
                <w:szCs w:val="14"/>
                <w:color w:val="auto"/>
              </w:rPr>
            </w:pPr>
          </w:p>
        </w:tc>
        <w:tc>
          <w:tcPr>
            <w:tcW w:w="176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E-35</w:t>
      </w:r>
    </w:p>
    <w:p>
      <w:pPr>
        <w:sectPr>
          <w:pgSz w:w="11900" w:h="16838" w:orient="portrait"/>
          <w:cols w:equalWidth="0" w:num="1">
            <w:col w:w="10219"/>
          </w:cols>
          <w:pgMar w:left="240" w:top="791" w:right="1440" w:bottom="1440" w:gutter="0" w:footer="0" w:header="0"/>
        </w:sectPr>
      </w:pPr>
    </w:p>
    <w:bookmarkStart w:id="60" w:name="page61"/>
    <w:bookmarkEnd w:id="60"/>
    <w:p>
      <w:pPr>
        <w:ind w:left="1960"/>
        <w:spacing w:after="0"/>
        <w:rPr>
          <w:sz w:val="20"/>
          <w:szCs w:val="20"/>
          <w:color w:val="auto"/>
        </w:rPr>
      </w:pPr>
      <w:r>
        <w:rPr>
          <w:rFonts w:ascii="Courier New" w:cs="Courier New" w:eastAsia="Courier New" w:hAnsi="Courier New"/>
          <w:sz w:val="15"/>
          <w:szCs w:val="15"/>
          <w:color w:val="auto"/>
        </w:rPr>
        <w:t>EXHIBIT D</w:t>
      </w:r>
    </w:p>
    <w:p>
      <w:pPr>
        <w:spacing w:after="0" w:line="169"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5"/>
          <w:szCs w:val="15"/>
          <w:color w:val="auto"/>
        </w:rPr>
        <w:t>FINANCIAL STATEMENTS</w:t>
      </w:r>
    </w:p>
    <w:p>
      <w:pPr>
        <w:spacing w:after="0" w:line="169"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[see auditor's report for ClearOne in 8-K/A]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E-36</w:t>
      </w:r>
    </w:p>
    <w:p>
      <w:pPr>
        <w:sectPr>
          <w:pgSz w:w="11900" w:h="16838" w:orient="portrait"/>
          <w:cols w:equalWidth="0" w:num="1">
            <w:col w:w="9019"/>
          </w:cols>
          <w:pgMar w:left="1440" w:top="961" w:right="1440" w:bottom="1440" w:gutter="0" w:footer="0" w:header="0"/>
        </w:sectPr>
      </w:pPr>
    </w:p>
    <w:bookmarkStart w:id="61" w:name="page62"/>
    <w:bookmarkEnd w:id="61"/>
    <w:p>
      <w:pPr>
        <w:ind w:left="3160"/>
        <w:spacing w:after="0"/>
        <w:rPr>
          <w:sz w:val="20"/>
          <w:szCs w:val="20"/>
          <w:color w:val="auto"/>
        </w:rPr>
      </w:pPr>
      <w:r>
        <w:rPr>
          <w:rFonts w:ascii="Courier New" w:cs="Courier New" w:eastAsia="Courier New" w:hAnsi="Courier New"/>
          <w:sz w:val="15"/>
          <w:szCs w:val="15"/>
          <w:color w:val="auto"/>
        </w:rPr>
        <w:t>EXHIBIT E</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SELLERS OPINION OF COUNSEL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E-37</w:t>
      </w:r>
    </w:p>
    <w:p>
      <w:pPr>
        <w:sectPr>
          <w:pgSz w:w="11900" w:h="16838" w:orient="portrait"/>
          <w:cols w:equalWidth="0" w:num="1">
            <w:col w:w="10219"/>
          </w:cols>
          <w:pgMar w:left="240" w:top="791" w:right="1440" w:bottom="1440" w:gutter="0" w:footer="0" w:header="0"/>
        </w:sectPr>
      </w:pPr>
    </w:p>
    <w:bookmarkStart w:id="62" w:name="page63"/>
    <w:bookmarkEnd w:id="62"/>
    <w:p>
      <w:pPr>
        <w:ind w:left="3170"/>
        <w:spacing w:after="0"/>
        <w:rPr>
          <w:sz w:val="20"/>
          <w:szCs w:val="20"/>
          <w:color w:val="auto"/>
        </w:rPr>
      </w:pPr>
      <w:r>
        <w:rPr>
          <w:rFonts w:ascii="Courier New" w:cs="Courier New" w:eastAsia="Courier New" w:hAnsi="Courier New"/>
          <w:sz w:val="15"/>
          <w:szCs w:val="15"/>
          <w:color w:val="auto"/>
        </w:rPr>
        <w:t>EXHIBIT F</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REGISTRATION RIGHTS AGREEMENT</w:t>
      </w:r>
    </w:p>
    <w:p>
      <w:pPr>
        <w:spacing w:after="0" w:line="175" w:lineRule="exact"/>
        <w:rPr>
          <w:sz w:val="20"/>
          <w:szCs w:val="20"/>
          <w:color w:val="auto"/>
        </w:rPr>
      </w:pPr>
    </w:p>
    <w:p>
      <w:pPr>
        <w:jc w:val="both"/>
        <w:ind w:left="10" w:right="3179" w:firstLine="441"/>
        <w:spacing w:after="0" w:line="237" w:lineRule="auto"/>
        <w:rPr>
          <w:sz w:val="20"/>
          <w:szCs w:val="20"/>
          <w:color w:val="auto"/>
        </w:rPr>
      </w:pPr>
      <w:r>
        <w:rPr>
          <w:rFonts w:ascii="Courier New" w:cs="Courier New" w:eastAsia="Courier New" w:hAnsi="Courier New"/>
          <w:sz w:val="15"/>
          <w:szCs w:val="15"/>
          <w:color w:val="auto"/>
        </w:rPr>
        <w:t>This Registration Rights Agreement (the "Agreement") is entered into as of July 5, 2000, by and between Gentner Communications Corporation, a Utah corporation (the "Company"), and ClearOne, Inc., a Massachusetts corporation ("Purchaser" or "Purchasers").</w:t>
      </w:r>
    </w:p>
    <w:p>
      <w:pPr>
        <w:spacing w:after="0" w:line="176" w:lineRule="exact"/>
        <w:rPr>
          <w:sz w:val="20"/>
          <w:szCs w:val="20"/>
          <w:color w:val="auto"/>
        </w:rPr>
      </w:pPr>
    </w:p>
    <w:p>
      <w:pPr>
        <w:ind w:left="10" w:right="3179" w:hanging="10"/>
        <w:spacing w:after="0" w:line="235" w:lineRule="auto"/>
        <w:tabs>
          <w:tab w:leader="none" w:pos="803"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As used in this Agreement, the following terms shall have the following meanings:</w:t>
      </w:r>
    </w:p>
    <w:p>
      <w:pPr>
        <w:spacing w:after="0" w:line="176" w:lineRule="exact"/>
        <w:rPr>
          <w:sz w:val="20"/>
          <w:szCs w:val="20"/>
          <w:color w:val="auto"/>
        </w:rPr>
      </w:pPr>
    </w:p>
    <w:p>
      <w:pPr>
        <w:jc w:val="both"/>
        <w:ind w:left="10" w:right="3179" w:firstLine="793"/>
        <w:spacing w:after="0" w:line="235" w:lineRule="auto"/>
        <w:rPr>
          <w:sz w:val="20"/>
          <w:szCs w:val="20"/>
          <w:color w:val="auto"/>
        </w:rPr>
      </w:pPr>
      <w:r>
        <w:rPr>
          <w:rFonts w:ascii="Courier New" w:cs="Courier New" w:eastAsia="Courier New" w:hAnsi="Courier New"/>
          <w:sz w:val="15"/>
          <w:szCs w:val="15"/>
          <w:color w:val="auto"/>
        </w:rPr>
        <w:t>"Asset Purchase Agreement" shall mean the Asset Purchase Agreement between Company and Purchaser dated July 5, 2000.</w:t>
      </w:r>
    </w:p>
    <w:p>
      <w:pPr>
        <w:spacing w:after="0" w:line="170"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"Common Stock" shall mean the common stock of the Company.</w:t>
      </w:r>
    </w:p>
    <w:p>
      <w:pPr>
        <w:spacing w:after="0" w:line="175" w:lineRule="exact"/>
        <w:rPr>
          <w:sz w:val="20"/>
          <w:szCs w:val="20"/>
          <w:color w:val="auto"/>
        </w:rPr>
      </w:pPr>
    </w:p>
    <w:p>
      <w:pPr>
        <w:jc w:val="both"/>
        <w:ind w:left="10" w:right="3179" w:firstLine="793"/>
        <w:spacing w:after="0" w:line="237" w:lineRule="auto"/>
        <w:rPr>
          <w:sz w:val="20"/>
          <w:szCs w:val="20"/>
          <w:color w:val="auto"/>
        </w:rPr>
      </w:pPr>
      <w:r>
        <w:rPr>
          <w:rFonts w:ascii="Courier New" w:cs="Courier New" w:eastAsia="Courier New" w:hAnsi="Courier New"/>
          <w:sz w:val="15"/>
          <w:szCs w:val="15"/>
          <w:color w:val="auto"/>
        </w:rPr>
        <w:t>"Exchange Act" shall mean the Securities Exchange Act of 1934, as amended, or any similar federal statute, and the rules and regulations of the SEC thereunder.</w:t>
      </w:r>
    </w:p>
    <w:p>
      <w:pPr>
        <w:spacing w:after="0" w:line="175" w:lineRule="exact"/>
        <w:rPr>
          <w:sz w:val="20"/>
          <w:szCs w:val="20"/>
          <w:color w:val="auto"/>
        </w:rPr>
      </w:pPr>
    </w:p>
    <w:p>
      <w:pPr>
        <w:jc w:val="both"/>
        <w:ind w:left="10" w:right="3179" w:firstLine="793"/>
        <w:spacing w:after="0" w:line="235" w:lineRule="auto"/>
        <w:rPr>
          <w:sz w:val="20"/>
          <w:szCs w:val="20"/>
          <w:color w:val="auto"/>
        </w:rPr>
      </w:pPr>
      <w:r>
        <w:rPr>
          <w:rFonts w:ascii="Courier New" w:cs="Courier New" w:eastAsia="Courier New" w:hAnsi="Courier New"/>
          <w:sz w:val="15"/>
          <w:szCs w:val="15"/>
          <w:color w:val="auto"/>
        </w:rPr>
        <w:t>"Holder" or "Holders" shall mean any Purchaser or any assignee under this Agreement who holds any Registrable Securities (as defined below).</w:t>
      </w:r>
    </w:p>
    <w:p>
      <w:pPr>
        <w:spacing w:after="0" w:line="176" w:lineRule="exact"/>
        <w:rPr>
          <w:sz w:val="20"/>
          <w:szCs w:val="20"/>
          <w:color w:val="auto"/>
        </w:rPr>
      </w:pPr>
    </w:p>
    <w:p>
      <w:pPr>
        <w:jc w:val="both"/>
        <w:ind w:left="10" w:right="3179" w:firstLine="793"/>
        <w:spacing w:after="0" w:line="237" w:lineRule="auto"/>
        <w:rPr>
          <w:sz w:val="20"/>
          <w:szCs w:val="20"/>
          <w:color w:val="auto"/>
        </w:rPr>
      </w:pPr>
      <w:r>
        <w:rPr>
          <w:rFonts w:ascii="Courier New" w:cs="Courier New" w:eastAsia="Courier New" w:hAnsi="Courier New"/>
          <w:sz w:val="15"/>
          <w:szCs w:val="15"/>
          <w:color w:val="auto"/>
        </w:rPr>
        <w:t>The terms "register," "registered" and "registration" refer to a registration effected by preparing and filing a registration statement in compliance with the Securities Act (as defined below), including the declaration or ordering of the effectiveness of such registration statement.</w:t>
      </w:r>
    </w:p>
    <w:p>
      <w:pPr>
        <w:spacing w:after="0" w:line="176" w:lineRule="exact"/>
        <w:rPr>
          <w:sz w:val="20"/>
          <w:szCs w:val="20"/>
          <w:color w:val="auto"/>
        </w:rPr>
      </w:pPr>
    </w:p>
    <w:p>
      <w:pPr>
        <w:jc w:val="both"/>
        <w:ind w:left="10" w:right="3179" w:firstLine="793"/>
        <w:spacing w:after="0" w:line="235" w:lineRule="auto"/>
        <w:rPr>
          <w:sz w:val="20"/>
          <w:szCs w:val="20"/>
          <w:color w:val="auto"/>
        </w:rPr>
      </w:pPr>
      <w:r>
        <w:rPr>
          <w:rFonts w:ascii="Courier New" w:cs="Courier New" w:eastAsia="Courier New" w:hAnsi="Courier New"/>
          <w:sz w:val="15"/>
          <w:szCs w:val="15"/>
          <w:color w:val="auto"/>
        </w:rPr>
        <w:t>"Registrable Securities" means the Shares (as defined below) held by Purchasers which have not been registered pursuant to this Agreement.</w:t>
      </w:r>
    </w:p>
    <w:p>
      <w:pPr>
        <w:spacing w:after="0" w:line="176" w:lineRule="exact"/>
        <w:rPr>
          <w:sz w:val="20"/>
          <w:szCs w:val="20"/>
          <w:color w:val="auto"/>
        </w:rPr>
      </w:pPr>
    </w:p>
    <w:p>
      <w:pPr>
        <w:jc w:val="both"/>
        <w:ind w:left="10" w:right="3179" w:firstLine="793"/>
        <w:spacing w:after="0" w:line="237" w:lineRule="auto"/>
        <w:rPr>
          <w:sz w:val="20"/>
          <w:szCs w:val="20"/>
          <w:color w:val="auto"/>
        </w:rPr>
      </w:pPr>
      <w:r>
        <w:rPr>
          <w:rFonts w:ascii="Courier New" w:cs="Courier New" w:eastAsia="Courier New" w:hAnsi="Courier New"/>
          <w:sz w:val="15"/>
          <w:szCs w:val="15"/>
          <w:color w:val="auto"/>
        </w:rPr>
        <w:t>"Registration Expenses" shall mean all expenses incurred by the Company in connection with a registration hereunder, including, without limitation, all registration and filing fees, printing expenses, blue sky fees and expenses, the expense of any special audits incident to or required by any such registration, the fees and disbursements of counsel for the Company.</w:t>
      </w:r>
    </w:p>
    <w:p>
      <w:pPr>
        <w:spacing w:after="0" w:line="173"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"SEC" shall mean the U.S. Securities and Exchange Commission.</w:t>
      </w:r>
    </w:p>
    <w:p>
      <w:pPr>
        <w:spacing w:after="0" w:line="175" w:lineRule="exact"/>
        <w:rPr>
          <w:sz w:val="20"/>
          <w:szCs w:val="20"/>
          <w:color w:val="auto"/>
        </w:rPr>
      </w:pPr>
    </w:p>
    <w:p>
      <w:pPr>
        <w:jc w:val="both"/>
        <w:ind w:left="10" w:right="3179" w:firstLine="793"/>
        <w:spacing w:after="0" w:line="265" w:lineRule="auto"/>
        <w:rPr>
          <w:sz w:val="20"/>
          <w:szCs w:val="20"/>
          <w:color w:val="auto"/>
        </w:rPr>
      </w:pPr>
      <w:r>
        <w:rPr>
          <w:rFonts w:ascii="Courier New" w:cs="Courier New" w:eastAsia="Courier New" w:hAnsi="Courier New"/>
          <w:sz w:val="14"/>
          <w:szCs w:val="14"/>
          <w:color w:val="auto"/>
        </w:rPr>
        <w:t>"Securities Act" shall mean the Securities Act of 1933, as amended, or any similar federal statute and the rules and regulations of the SEC thereunder.</w:t>
      </w:r>
    </w:p>
    <w:p>
      <w:pPr>
        <w:spacing w:after="0" w:line="158" w:lineRule="exact"/>
        <w:rPr>
          <w:sz w:val="20"/>
          <w:szCs w:val="20"/>
          <w:color w:val="auto"/>
        </w:rPr>
      </w:pPr>
    </w:p>
    <w:p>
      <w:pPr>
        <w:jc w:val="both"/>
        <w:ind w:left="10" w:right="3179" w:firstLine="793"/>
        <w:spacing w:after="0" w:line="260" w:lineRule="auto"/>
        <w:rPr>
          <w:sz w:val="20"/>
          <w:szCs w:val="20"/>
          <w:color w:val="auto"/>
        </w:rPr>
      </w:pPr>
      <w:r>
        <w:rPr>
          <w:rFonts w:ascii="Courier New" w:cs="Courier New" w:eastAsia="Courier New" w:hAnsi="Courier New"/>
          <w:sz w:val="14"/>
          <w:szCs w:val="14"/>
          <w:color w:val="auto"/>
        </w:rPr>
        <w:t>"Selling Expenses" shall mean all underwriting discounts and selling commissions applicable to the sale of the Shares and all fees and disbursements of counsel for any Holder in connection with the sale of the Shares.</w:t>
      </w:r>
    </w:p>
    <w:p>
      <w:pPr>
        <w:spacing w:after="0" w:line="327"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E-38</w:t>
      </w:r>
    </w:p>
    <w:p>
      <w:pPr>
        <w:sectPr>
          <w:pgSz w:w="11900" w:h="16838" w:orient="portrait"/>
          <w:cols w:equalWidth="0" w:num="1">
            <w:col w:w="10229"/>
          </w:cols>
          <w:pgMar w:left="230" w:top="791" w:right="1440" w:bottom="1440" w:gutter="0" w:footer="0" w:header="0"/>
        </w:sectPr>
      </w:pPr>
    </w:p>
    <w:bookmarkStart w:id="63" w:name="page64"/>
    <w:bookmarkEnd w:id="63"/>
    <w:p>
      <w:pPr>
        <w:jc w:val="both"/>
        <w:ind w:left="10" w:right="3179" w:firstLine="793"/>
        <w:spacing w:after="0" w:line="237" w:lineRule="auto"/>
        <w:rPr>
          <w:sz w:val="20"/>
          <w:szCs w:val="20"/>
          <w:color w:val="auto"/>
        </w:rPr>
      </w:pPr>
      <w:r>
        <w:rPr>
          <w:rFonts w:ascii="Courier New" w:cs="Courier New" w:eastAsia="Courier New" w:hAnsi="Courier New"/>
          <w:sz w:val="15"/>
          <w:szCs w:val="15"/>
          <w:color w:val="auto"/>
        </w:rPr>
        <w:t>"Shares" means some or all of the 129,871 shares of the Company's common stock issued to the Purchaser pursuant to the Asset Purchase Agreement, including additional shares of common stock as a result of any stock split, stock dividend, recapitalization, or similar event applicable to such Shares.</w:t>
      </w:r>
    </w:p>
    <w:p>
      <w:pPr>
        <w:spacing w:after="0" w:line="171" w:lineRule="exact"/>
        <w:rPr>
          <w:sz w:val="20"/>
          <w:szCs w:val="20"/>
          <w:color w:val="auto"/>
        </w:rPr>
      </w:pPr>
    </w:p>
    <w:p>
      <w:pPr>
        <w:ind w:left="790" w:hanging="790"/>
        <w:spacing w:after="0"/>
        <w:tabs>
          <w:tab w:leader="none" w:pos="79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"Piggy-Back" Registration.</w:t>
      </w: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jc w:val="both"/>
        <w:ind w:left="10" w:right="3179" w:firstLine="784"/>
        <w:spacing w:after="0" w:line="257" w:lineRule="auto"/>
        <w:tabs>
          <w:tab w:leader="none" w:pos="1155"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shall determine at any time to register any of its Common Stock or securities which are convertible into or exercisable for Common Stock (other than a registration relating solely to employee benefit plans, a registration relating solely to an SEC Rule 145 transaction, a registration on Form S-4, or a registration on any registration form which does not permit secondary sales or does not include substantially the same information as would be required to be included in a registration statement covering the sale of Registrable Securities), the Company will: (i) promptly give to the Holders written notice thereof (which shall include a list of the jurisdictions in which the Company intends to attempt to qualify such securities under the applicable blue sky or other state securities laws), and (ii) cause to be included in such registration and in any underwriting involved therein all the Registrable Securities specified in a written request or requests made by the Holders within ten (10) days after receipt of such written notice from the Company; provided, however, that the number of Registrable Securities so registered may be limited by the underwriter's cut-back provision set forth in Subsection 2(c) below.</w:t>
      </w:r>
    </w:p>
    <w:p>
      <w:pPr>
        <w:spacing w:after="0" w:line="164" w:lineRule="exact"/>
        <w:rPr>
          <w:rFonts w:ascii="Courier New" w:cs="Courier New" w:eastAsia="Courier New" w:hAnsi="Courier New"/>
          <w:sz w:val="14"/>
          <w:szCs w:val="14"/>
          <w:color w:val="auto"/>
        </w:rPr>
      </w:pPr>
    </w:p>
    <w:p>
      <w:pPr>
        <w:jc w:val="both"/>
        <w:ind w:left="10" w:right="3179" w:firstLine="784"/>
        <w:spacing w:after="0" w:line="238" w:lineRule="auto"/>
        <w:tabs>
          <w:tab w:leader="none" w:pos="1155"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registration of which the Company gives notice is for a registered public offering involving an underwriting, the Company shall so advise the Holders as part of the written notice given pursuant to Subsection 2(a). In such event, the right of each Holder to register pursuant to Section 2 shall be conditioned upon such Holder's participation in such underwriting and the inclusion of such Holder's Registrable Securities in the underwriting to the extent provided herein.</w:t>
      </w:r>
    </w:p>
    <w:p>
      <w:pPr>
        <w:spacing w:after="0" w:line="176" w:lineRule="exact"/>
        <w:rPr>
          <w:rFonts w:ascii="Courier New" w:cs="Courier New" w:eastAsia="Courier New" w:hAnsi="Courier New"/>
          <w:sz w:val="15"/>
          <w:szCs w:val="15"/>
          <w:color w:val="auto"/>
        </w:rPr>
      </w:pPr>
    </w:p>
    <w:p>
      <w:pPr>
        <w:jc w:val="both"/>
        <w:ind w:left="10" w:right="3179" w:firstLine="784"/>
        <w:spacing w:after="0" w:line="257" w:lineRule="auto"/>
        <w:tabs>
          <w:tab w:leader="none" w:pos="1155"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Holders proposing to distribute their Registrable Securities through such underwriting shall (together with the Company) enter into an underwriting agreement in customary form with the representative of the underwriter or underwriters selected for underwriting by the Company. Notwithstanding any other provision of this Section 2, the Company shall not be required to include in the registration the Registrable Securities of any Holder unless the Holder accepts and agrees to the terms proposed by the underwriters selected by the Company, and then only in such quantity as will not, in the opinion of the underwriters and based on marketing factors identified by such underwriters, jeopardize the success of the offering by the Company. If the total number of Registrable Securities which the Holders request to be included in any offering exceeds the number of Shares which the underwriters reasonably believe is compatible with the success of the offering, then the number of shares to be registered shall be reduced as between the Holders and the Company pro rata based on the ratio of (i) the Registrable Shares to be registered to (ii) all shares of Common Stock of the Company to be registered, provided that the number of shares of Registrable Securities of the Holders to be included shall not be reduced by more than fifty percent (50%) of the total shares that the Holders have requested be included in the registration.</w:t>
      </w:r>
    </w:p>
    <w:p>
      <w:pPr>
        <w:spacing w:after="0" w:line="328"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E-39</w:t>
      </w:r>
    </w:p>
    <w:p>
      <w:pPr>
        <w:sectPr>
          <w:pgSz w:w="11900" w:h="16838" w:orient="portrait"/>
          <w:cols w:equalWidth="0" w:num="1">
            <w:col w:w="10229"/>
          </w:cols>
          <w:pgMar w:left="230" w:top="627" w:right="1440" w:bottom="1440" w:gutter="0" w:footer="0" w:header="0"/>
        </w:sectPr>
      </w:pPr>
    </w:p>
    <w:bookmarkStart w:id="64" w:name="page65"/>
    <w:bookmarkEnd w:id="64"/>
    <w:p>
      <w:pPr>
        <w:jc w:val="both"/>
        <w:ind w:left="10" w:right="3179" w:hanging="10"/>
        <w:spacing w:after="0" w:line="237" w:lineRule="auto"/>
        <w:tabs>
          <w:tab w:leader="none" w:pos="803"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of the Company. Whenever required under Section 2 to effect the registration of any Registrable Securities, the Company shall do the following as expeditiously as possible:</w:t>
      </w:r>
    </w:p>
    <w:p>
      <w:pPr>
        <w:spacing w:after="0" w:line="174" w:lineRule="exact"/>
        <w:rPr>
          <w:rFonts w:ascii="Courier New" w:cs="Courier New" w:eastAsia="Courier New" w:hAnsi="Courier New"/>
          <w:sz w:val="15"/>
          <w:szCs w:val="15"/>
          <w:color w:val="auto"/>
        </w:rPr>
      </w:pPr>
    </w:p>
    <w:p>
      <w:pPr>
        <w:jc w:val="both"/>
        <w:ind w:left="10" w:right="3179" w:firstLine="784"/>
        <w:spacing w:after="0" w:line="238" w:lineRule="auto"/>
        <w:tabs>
          <w:tab w:leader="none" w:pos="1155"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Prepare and file with the SEC a registration statement with respect to such Registrable Securities and use its reasonable best efforts to cause such registration statement to become and remain effective; provided, however, that, except as set forth in Subsection 3(b) below, the Company shall in no event be obligated to cause such registration statement to remain effective for more than one hundred twenty (120) days.</w:t>
      </w:r>
    </w:p>
    <w:p>
      <w:pPr>
        <w:spacing w:after="0" w:line="175" w:lineRule="exact"/>
        <w:rPr>
          <w:rFonts w:ascii="Courier New" w:cs="Courier New" w:eastAsia="Courier New" w:hAnsi="Courier New"/>
          <w:sz w:val="15"/>
          <w:szCs w:val="15"/>
          <w:color w:val="auto"/>
        </w:rPr>
      </w:pPr>
    </w:p>
    <w:p>
      <w:pPr>
        <w:jc w:val="both"/>
        <w:ind w:left="10" w:right="3179" w:firstLine="784"/>
        <w:spacing w:after="0" w:line="238" w:lineRule="auto"/>
        <w:tabs>
          <w:tab w:leader="none" w:pos="1155"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registration is effected pursuant to Rule 415 under the Securities Act, which rule allows for the registration of securities to be offered on a continuous or delayed basis, the Company shall promptly (i) take all actions that may be necessary or advisable to maintain the effectiveness of such registration, (ii) at Purchaser's request, file with the SEC a supplement or supplements to the previously filed prospectus as required by Rule 424 under the Securities Act, and (iii) maintain the effectiveness of such registration statement for at least one hundred twenty (120) days following the filing of any such supplements.</w:t>
      </w:r>
    </w:p>
    <w:p>
      <w:pPr>
        <w:spacing w:after="0" w:line="178" w:lineRule="exact"/>
        <w:rPr>
          <w:rFonts w:ascii="Courier New" w:cs="Courier New" w:eastAsia="Courier New" w:hAnsi="Courier New"/>
          <w:sz w:val="15"/>
          <w:szCs w:val="15"/>
          <w:color w:val="auto"/>
        </w:rPr>
      </w:pPr>
    </w:p>
    <w:p>
      <w:pPr>
        <w:jc w:val="both"/>
        <w:ind w:left="10" w:right="3179" w:firstLine="784"/>
        <w:spacing w:after="0" w:line="237" w:lineRule="auto"/>
        <w:tabs>
          <w:tab w:leader="none" w:pos="1155"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Prepare and file with the SEC such amendments and supplements to such registration statements and the prospectus used in connection therewith to comply with the requirements of the Securities Act.</w:t>
      </w:r>
    </w:p>
    <w:p>
      <w:pPr>
        <w:spacing w:after="0" w:line="174" w:lineRule="exact"/>
        <w:rPr>
          <w:rFonts w:ascii="Courier New" w:cs="Courier New" w:eastAsia="Courier New" w:hAnsi="Courier New"/>
          <w:sz w:val="15"/>
          <w:szCs w:val="15"/>
          <w:color w:val="auto"/>
        </w:rPr>
      </w:pPr>
    </w:p>
    <w:p>
      <w:pPr>
        <w:jc w:val="both"/>
        <w:ind w:left="10" w:right="3179" w:firstLine="784"/>
        <w:spacing w:after="0" w:line="237" w:lineRule="auto"/>
        <w:tabs>
          <w:tab w:leader="none" w:pos="1244"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 to the Holders such number of copies of a prospectus (including a preliminary prospectus), in conformity with the requirements of the Securities Act, and such other documents as such Holders may reasonably request in order to facilitate the disposition of the Registrable Securities to be sold under the registration statement.</w:t>
      </w:r>
    </w:p>
    <w:p>
      <w:pPr>
        <w:spacing w:after="0" w:line="178" w:lineRule="exact"/>
        <w:rPr>
          <w:rFonts w:ascii="Courier New" w:cs="Courier New" w:eastAsia="Courier New" w:hAnsi="Courier New"/>
          <w:sz w:val="15"/>
          <w:szCs w:val="15"/>
          <w:color w:val="auto"/>
        </w:rPr>
      </w:pPr>
    </w:p>
    <w:p>
      <w:pPr>
        <w:jc w:val="both"/>
        <w:ind w:left="10" w:right="3179" w:firstLine="784"/>
        <w:spacing w:after="0" w:line="237" w:lineRule="auto"/>
        <w:tabs>
          <w:tab w:leader="none" w:pos="1155"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its reasonable best efforts to register and qualify the securities covered by such registration statements under the securities laws of such states of the United States as shall be reasonably appropriate for the distribution of the securities covered by such registration statement.</w:t>
      </w:r>
    </w:p>
    <w:p>
      <w:pPr>
        <w:spacing w:after="0" w:line="176" w:lineRule="exact"/>
        <w:rPr>
          <w:rFonts w:ascii="Courier New" w:cs="Courier New" w:eastAsia="Courier New" w:hAnsi="Courier New"/>
          <w:sz w:val="15"/>
          <w:szCs w:val="15"/>
          <w:color w:val="auto"/>
        </w:rPr>
      </w:pPr>
    </w:p>
    <w:p>
      <w:pPr>
        <w:jc w:val="both"/>
        <w:ind w:left="10" w:right="3179" w:hanging="10"/>
        <w:spacing w:after="0" w:line="238" w:lineRule="auto"/>
        <w:tabs>
          <w:tab w:leader="none" w:pos="803"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by Holder. It shall be a condition precedent to the obligations of the Company to take any action pursuant to this Agreement that the Holders of Registrable Securities included in any registration shall cooperate with the Company and any underwriters to effect such registration, including providing to the Company any consents and furnishing to the Company such information regarding such Holders and the distribution proposed by such Holders as the Company may reasonably request in writing and as shall be required in connection with any registration, qualification, or compliance referred to in this Agreement.</w:t>
      </w:r>
    </w:p>
    <w:p>
      <w:pPr>
        <w:spacing w:after="0" w:line="178" w:lineRule="exact"/>
        <w:rPr>
          <w:rFonts w:ascii="Courier New" w:cs="Courier New" w:eastAsia="Courier New" w:hAnsi="Courier New"/>
          <w:sz w:val="15"/>
          <w:szCs w:val="15"/>
          <w:color w:val="auto"/>
        </w:rPr>
      </w:pPr>
    </w:p>
    <w:p>
      <w:pPr>
        <w:jc w:val="both"/>
        <w:ind w:left="10" w:right="3179" w:hanging="10"/>
        <w:spacing w:after="0" w:line="237" w:lineRule="auto"/>
        <w:tabs>
          <w:tab w:leader="none" w:pos="803"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of Registration. All Registration Expenses incurred in connection with any registration, qualification, or compliance pursuant to Section 2 of this Agreement shall be borne by the Company, and all Selling Expenses shall be borne by the Holders of the securities so registered pro rata on the basis of the number of their Shares so registered.</w:t>
      </w:r>
    </w:p>
    <w:p>
      <w:pPr>
        <w:spacing w:after="0" w:line="342"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E-40</w:t>
      </w:r>
    </w:p>
    <w:p>
      <w:pPr>
        <w:sectPr>
          <w:pgSz w:w="11900" w:h="16838" w:orient="portrait"/>
          <w:cols w:equalWidth="0" w:num="1">
            <w:col w:w="10229"/>
          </w:cols>
          <w:pgMar w:left="230" w:top="797" w:right="1440" w:bottom="1440" w:gutter="0" w:footer="0" w:header="0"/>
        </w:sectPr>
      </w:pPr>
    </w:p>
    <w:bookmarkStart w:id="65" w:name="page66"/>
    <w:bookmarkEnd w:id="65"/>
    <w:p>
      <w:pPr>
        <w:jc w:val="both"/>
        <w:ind w:left="10" w:right="3179" w:hanging="10"/>
        <w:spacing w:after="0" w:line="237" w:lineRule="auto"/>
        <w:tabs>
          <w:tab w:leader="none" w:pos="803"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Delay of Registration. No Holder shall have any right to take any action to restrain, enjoin, or otherwise delay any registration under this Agreement as a result of any controversy that might arise with respect to the interpretation or implementation hereof.</w:t>
      </w:r>
    </w:p>
    <w:p>
      <w:pPr>
        <w:spacing w:after="0" w:line="176" w:lineRule="exact"/>
        <w:rPr>
          <w:rFonts w:ascii="Courier New" w:cs="Courier New" w:eastAsia="Courier New" w:hAnsi="Courier New"/>
          <w:sz w:val="15"/>
          <w:szCs w:val="15"/>
          <w:color w:val="auto"/>
        </w:rPr>
      </w:pPr>
    </w:p>
    <w:p>
      <w:pPr>
        <w:ind w:left="10" w:right="3179" w:hanging="10"/>
        <w:spacing w:after="0" w:line="235" w:lineRule="auto"/>
        <w:tabs>
          <w:tab w:leader="none" w:pos="803"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In the event that the Registrable Securities of a Holder are included in a registration statement filed under this Agreement:</w:t>
      </w:r>
    </w:p>
    <w:p>
      <w:pPr>
        <w:spacing w:after="0" w:line="175" w:lineRule="exact"/>
        <w:rPr>
          <w:rFonts w:ascii="Courier New" w:cs="Courier New" w:eastAsia="Courier New" w:hAnsi="Courier New"/>
          <w:sz w:val="15"/>
          <w:szCs w:val="15"/>
          <w:color w:val="auto"/>
        </w:rPr>
      </w:pPr>
    </w:p>
    <w:p>
      <w:pPr>
        <w:jc w:val="both"/>
        <w:ind w:left="10" w:right="3179" w:firstLine="784"/>
        <w:spacing w:after="0" w:line="239" w:lineRule="auto"/>
        <w:tabs>
          <w:tab w:leader="none" w:pos="1155"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permitted by law, the Company will indemnify each such Holder, each of its officers, directors and partners, and each person controlling such Holder, with respect to which registration, qualification, or compliance of Registrable Securities of such Holder has been effected pursuant to this Agreement, and each underwriter, if any, and each person who controls any underwriter, against all claims, losses, damages and liabilities (or actions in respect thereof) arising out of or based on any untrue statement of a material fact contained in any registration statement, prospectus, offering circular or other document incident to any such registration, qualification, or compliance, or based on any omission to state therein a material fact required to be stated therein or necessary to make the statements therein not misleading, or any violation by the Company of the Securities Act or of any rule or regulation promulgated under the Securities Act applicable to the Company and relating to action or inaction required of the Company in connection with any such registration, qualification, or compliance, and will reimburse each such Holder, each of its officers, directors and partners, each person controlling such Holder, each such underwriter, and each person who controls any such underwriter, for any legal and other expenses reasonably incurred in connection with investigating and defending any such claim, loss, damage, liability, or action; provided that the Company will not be liable in any such case for amounts paid in settlement of any such claim, loss, damage, liability, or action if such settlement is effected without the reasonable consent of the Company (which consent shall not be unreasonably withheld), nor shall the Company be liable to the extent that any such claim, loss, damage, liability, or expense arises out of or is based on any untrue statement or omission in written information furnished to the Company by such Holder with the knowledge that it would be used in the registration statement.</w:t>
      </w:r>
    </w:p>
    <w:p>
      <w:pPr>
        <w:spacing w:after="0" w:line="177" w:lineRule="exact"/>
        <w:rPr>
          <w:rFonts w:ascii="Courier New" w:cs="Courier New" w:eastAsia="Courier New" w:hAnsi="Courier New"/>
          <w:sz w:val="15"/>
          <w:szCs w:val="15"/>
          <w:color w:val="auto"/>
        </w:rPr>
      </w:pPr>
    </w:p>
    <w:p>
      <w:pPr>
        <w:jc w:val="both"/>
        <w:ind w:left="10" w:right="3179" w:firstLine="784"/>
        <w:spacing w:after="0" w:line="257" w:lineRule="auto"/>
        <w:tabs>
          <w:tab w:leader="none" w:pos="1155"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permitted by law, each Holder will, if Registrable Securities held by such Holder are included in the securities as to which registration, qualification or compliance is being effected, indemnify the Company, each of its directors and officers, each legal counsel and independent accountant of the Company, each underwriter, if any, of the Company's securities covered by such a registration statement, each person who controls the Company or such underwriter within the meaning of the Securities Act, and each other Holder, each of such other Holder's officers, directors, and partners, and each person controlling such other Holder, against all claims, losses, damages, and liabilities (or actions in respect thereof) arising out of or based on any untrue statement (or alleged untrue statement) of a material fact contained in any such registration statement, prospectus, offering circular, or other document, or any omission (or alleged omission) to state therein a material fact required to be stated therein or necessary to make the statements therein not</w:t>
      </w:r>
    </w:p>
    <w:p>
      <w:pPr>
        <w:spacing w:after="0" w:line="32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E-41</w:t>
      </w:r>
    </w:p>
    <w:p>
      <w:pPr>
        <w:sectPr>
          <w:pgSz w:w="11900" w:h="16838" w:orient="portrait"/>
          <w:cols w:equalWidth="0" w:num="1">
            <w:col w:w="10229"/>
          </w:cols>
          <w:pgMar w:left="230" w:top="627" w:right="1440" w:bottom="1440" w:gutter="0" w:footer="0" w:header="0"/>
        </w:sectPr>
      </w:pPr>
    </w:p>
    <w:bookmarkStart w:id="66" w:name="page67"/>
    <w:bookmarkEnd w:id="66"/>
    <w:p>
      <w:pPr>
        <w:jc w:val="both"/>
        <w:ind w:left="10" w:right="3179"/>
        <w:spacing w:after="0" w:line="238" w:lineRule="auto"/>
        <w:rPr>
          <w:sz w:val="20"/>
          <w:szCs w:val="20"/>
          <w:color w:val="auto"/>
        </w:rPr>
      </w:pPr>
      <w:r>
        <w:rPr>
          <w:rFonts w:ascii="Courier New" w:cs="Courier New" w:eastAsia="Courier New" w:hAnsi="Courier New"/>
          <w:sz w:val="15"/>
          <w:szCs w:val="15"/>
          <w:color w:val="auto"/>
        </w:rPr>
        <w:t>misleading, and will reimburse the Company, such other Holders, such directors, officers, partners, persons, underwriters or control persons for any legal or any other expenses reasonably incurred in connection with investigating or defending any such claim, loss, damage, liability, or action, in each case to the extent, but only to the extent, that such untrue statement (or alleged untrue statement) or omission (or alleged omission) is made in such registration statement, prospectus, offering circular, or other document in reliance upon and in conformity with written information furnished to the Company by such Holder with the knowledge that it would be used therein, provided that the Holder will not be liable in any case for amounts paid in settlement of any such claim, loss, damage, liability, or action if such settlement is effected without the reasonable consent of the Holder (which consent shall not be unreasonably withheld).</w:t>
      </w:r>
    </w:p>
    <w:p>
      <w:pPr>
        <w:spacing w:after="0" w:line="183" w:lineRule="exact"/>
        <w:rPr>
          <w:sz w:val="20"/>
          <w:szCs w:val="20"/>
          <w:color w:val="auto"/>
        </w:rPr>
      </w:pPr>
    </w:p>
    <w:p>
      <w:pPr>
        <w:jc w:val="both"/>
        <w:ind w:left="10" w:right="3179" w:firstLine="784"/>
        <w:spacing w:after="0" w:line="239" w:lineRule="auto"/>
        <w:tabs>
          <w:tab w:leader="none" w:pos="1155"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entitled to indemnification under this Section (the "Indemnified Party") shall give notice to the party required to provide indemnification (the "Indemnifying Party") promptly after such Indemnified Party has actual knowledge of any claim as to which indemnity may be sought, and shall permit the Indemnifying Party to assume the defense of any such claim or any litigation resulting therefrom, provided that counsel for the Indemnifying Party, who shall conduct the defense of such claim or any litigation resulting therefrom, shall be approved by the Indemnified Party (whose approval shall not unreasonably be withheld), and the Indemnified Party may participate in such defense at such party's expense, and provided further that the failure of any Indemnified Party to give notice as provided herein, if substantially prejudicial to the ability of the Indemnifying Party to defend against such claim or any litigation resulting therefrom, shall relieve such Indemnifying Party of any obligations under this Agreement to the extent such Indemnifying Party is damaged solely as a result of such failure to give notice, but such failure shall not relieve such Indemnifying Party of any of its obligations otherwise than under this Agreement. No Indemnifying Party, in the defense of any such claim or litigation, shall, except with the consent of each Indemnified Party, consent to entry of any judgment or enter into any settlement which does not include as an unconditional term thereof the giving by the claimant or plaintiff to such Indemnified Party of a release from all liability in respect to such claim or litigation.</w:t>
      </w:r>
    </w:p>
    <w:p>
      <w:pPr>
        <w:spacing w:after="0" w:line="176" w:lineRule="exact"/>
        <w:rPr>
          <w:rFonts w:ascii="Courier New" w:cs="Courier New" w:eastAsia="Courier New" w:hAnsi="Courier New"/>
          <w:sz w:val="15"/>
          <w:szCs w:val="15"/>
          <w:color w:val="auto"/>
        </w:rPr>
      </w:pPr>
    </w:p>
    <w:p>
      <w:pPr>
        <w:jc w:val="both"/>
        <w:ind w:left="10" w:right="3179" w:hanging="10"/>
        <w:spacing w:after="0" w:line="258" w:lineRule="auto"/>
        <w:tabs>
          <w:tab w:leader="none" w:pos="803"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 144 Reporting. With a view to making available the benefits of certain rules and regulations of the SEC which may permit the sale of any outstanding Shares to the public without registration, the Company agrees after any registration to use its best efforts to file with the SEC in a timely manner all reports and other documents required of the Company under the Securities Act and the Exchange Act, as long as it is subject to such reporting requirements.</w:t>
      </w:r>
    </w:p>
    <w:p>
      <w:pPr>
        <w:spacing w:after="0" w:line="163" w:lineRule="exact"/>
        <w:rPr>
          <w:rFonts w:ascii="Courier New" w:cs="Courier New" w:eastAsia="Courier New" w:hAnsi="Courier New"/>
          <w:sz w:val="14"/>
          <w:szCs w:val="14"/>
          <w:color w:val="auto"/>
        </w:rPr>
      </w:pPr>
    </w:p>
    <w:p>
      <w:pPr>
        <w:jc w:val="both"/>
        <w:ind w:left="10" w:right="3179" w:hanging="10"/>
        <w:spacing w:after="0" w:line="257" w:lineRule="auto"/>
        <w:tabs>
          <w:tab w:leader="none" w:pos="803"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of Registration Rights. Subject to the limitations and restrictions on transferability of the Shares set forth in the Asset Purchase Agreement, the rights to cause the Company to register a Holder's Shares under this Agreement may be assigned by such Holder (or its assignee) to a transferee that acquires from a Holder (or its assignee) at least fifty percent (50%) or more of the Registrable Securities originally acquired by the transferring Holder, provided that the Company is given notice by the Holder at the time of such transfer stating the name and address of the transferee and identifying the securities with respect to which these rights are being assigned.</w:t>
      </w:r>
    </w:p>
    <w:p>
      <w:pPr>
        <w:spacing w:after="0" w:line="166" w:lineRule="exact"/>
        <w:rPr>
          <w:rFonts w:ascii="Courier New" w:cs="Courier New" w:eastAsia="Courier New" w:hAnsi="Courier New"/>
          <w:sz w:val="14"/>
          <w:szCs w:val="14"/>
          <w:color w:val="auto"/>
        </w:rPr>
      </w:pPr>
    </w:p>
    <w:p>
      <w:pPr>
        <w:jc w:val="both"/>
        <w:ind w:left="10" w:right="3179" w:hanging="10"/>
        <w:spacing w:after="0" w:line="238" w:lineRule="auto"/>
        <w:tabs>
          <w:tab w:leader="none" w:pos="803"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Stand-Off" Agreement. Holder agrees, if requested by the Company or an underwriter of Common Stock (or other securities) of the Company, not to sell or otherwise transfer or dispose of any Shares of the Company held by the Holder (other than those included in the registration) during the 120-day period following the effective date of a registration statement of the Company filed under the Securities Act.</w:t>
      </w:r>
    </w:p>
    <w:p>
      <w:pPr>
        <w:spacing w:after="0" w:line="3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E-42</w:t>
      </w:r>
    </w:p>
    <w:p>
      <w:pPr>
        <w:sectPr>
          <w:pgSz w:w="11900" w:h="16838" w:orient="portrait"/>
          <w:cols w:equalWidth="0" w:num="1">
            <w:col w:w="10229"/>
          </w:cols>
          <w:pgMar w:left="230" w:top="627" w:right="1440" w:bottom="1440" w:gutter="0" w:footer="0" w:header="0"/>
        </w:sectPr>
      </w:pPr>
    </w:p>
    <w:bookmarkStart w:id="67" w:name="page68"/>
    <w:bookmarkEnd w:id="67"/>
    <w:tbl>
      <w:tblPr>
        <w:tblLayout w:type="fixed"/>
        <w:tblInd w:w="10" w:type="dxa"/>
        <w:tblCellMar>
          <w:top w:w="0" w:type="dxa"/>
          <w:left w:w="0" w:type="dxa"/>
          <w:bottom w:w="0" w:type="dxa"/>
          <w:right w:w="0" w:type="dxa"/>
        </w:tblCellMar>
      </w:tblP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1460" w:type="dxa"/>
            <w:vAlign w:val="bottom"/>
            <w:gridSpan w:val="3"/>
          </w:tcPr>
          <w:p>
            <w:pPr>
              <w:spacing w:after="0"/>
              <w:rPr>
                <w:sz w:val="20"/>
                <w:szCs w:val="20"/>
                <w:color w:val="auto"/>
              </w:rPr>
            </w:pPr>
            <w:r>
              <w:rPr>
                <w:rFonts w:ascii="Courier New" w:cs="Courier New" w:eastAsia="Courier New" w:hAnsi="Courier New"/>
                <w:sz w:val="15"/>
                <w:szCs w:val="15"/>
                <w:color w:val="auto"/>
              </w:rPr>
              <w:t>Termination  of</w:t>
            </w: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Registration</w:t>
            </w:r>
          </w:p>
        </w:tc>
        <w:tc>
          <w:tcPr>
            <w:tcW w:w="6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5"/>
              </w:rPr>
              <w:t>Rights.</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The</w:t>
            </w:r>
          </w:p>
        </w:tc>
        <w:tc>
          <w:tcPr>
            <w:tcW w:w="23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obligations of the Company</w:t>
            </w:r>
          </w:p>
        </w:tc>
      </w:tr>
      <w:tr>
        <w:trPr>
          <w:trHeight w:val="170"/>
        </w:trPr>
        <w:tc>
          <w:tcPr>
            <w:tcW w:w="1180" w:type="dxa"/>
            <w:vAlign w:val="bottom"/>
            <w:gridSpan w:val="2"/>
          </w:tcPr>
          <w:p>
            <w:pPr>
              <w:spacing w:after="0"/>
              <w:rPr>
                <w:sz w:val="20"/>
                <w:szCs w:val="20"/>
                <w:color w:val="auto"/>
              </w:rPr>
            </w:pPr>
            <w:r>
              <w:rPr>
                <w:rFonts w:ascii="Courier New" w:cs="Courier New" w:eastAsia="Courier New" w:hAnsi="Courier New"/>
                <w:sz w:val="15"/>
                <w:szCs w:val="15"/>
                <w:color w:val="auto"/>
              </w:rPr>
              <w:t>to  register</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10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Registrable</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Securities</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pursuant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w w:val="94"/>
              </w:rPr>
              <w:t>to  this</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Agreement  shall</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terminate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at</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1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earlier of</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6"/>
              </w:rPr>
              <w:t>seven (7)</w:t>
            </w:r>
          </w:p>
        </w:tc>
        <w:tc>
          <w:tcPr>
            <w:tcW w:w="6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years</w:t>
            </w:r>
          </w:p>
        </w:tc>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from the date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w w:val="95"/>
              </w:rPr>
              <w:t>hereof or, for</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any</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Holder,</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when</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that</w:t>
            </w:r>
          </w:p>
        </w:tc>
        <w:tc>
          <w:tcPr>
            <w:tcW w:w="10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Holder is</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able to sell</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the Shares</w:t>
            </w: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pursuant  to SEC Rule</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144</w:t>
            </w:r>
          </w:p>
        </w:tc>
      </w:tr>
      <w:tr>
        <w:trPr>
          <w:trHeight w:val="170"/>
        </w:trPr>
        <w:tc>
          <w:tcPr>
            <w:tcW w:w="1620" w:type="dxa"/>
            <w:vAlign w:val="bottom"/>
            <w:gridSpan w:val="3"/>
          </w:tcPr>
          <w:p>
            <w:pPr>
              <w:spacing w:after="0"/>
              <w:rPr>
                <w:sz w:val="20"/>
                <w:szCs w:val="20"/>
                <w:color w:val="auto"/>
              </w:rPr>
            </w:pPr>
            <w:r>
              <w:rPr>
                <w:rFonts w:ascii="Courier New" w:cs="Courier New" w:eastAsia="Courier New" w:hAnsi="Courier New"/>
                <w:sz w:val="15"/>
                <w:szCs w:val="15"/>
                <w:color w:val="auto"/>
                <w:w w:val="98"/>
              </w:rPr>
              <w:t>within a period of</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twelve</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(12)</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8"/>
              </w:rPr>
              <w:t>months.</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r>
    </w:tbl>
    <w:p>
      <w:pPr>
        <w:spacing w:after="0" w:line="175" w:lineRule="exact"/>
        <w:rPr>
          <w:sz w:val="20"/>
          <w:szCs w:val="20"/>
          <w:color w:val="auto"/>
        </w:rPr>
      </w:pPr>
    </w:p>
    <w:p>
      <w:pPr>
        <w:jc w:val="both"/>
        <w:ind w:left="10" w:right="3179" w:hanging="10"/>
        <w:spacing w:after="0" w:line="238" w:lineRule="auto"/>
        <w:tabs>
          <w:tab w:leader="none" w:pos="803"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Modifications and Waivers. This Agreement may not be amended or modified, nor may the rights of any party hereunder be waived, except by a written document that is executed by the Purchasers holding a majority of the Registrable Securities. No waiver of any provision of this Agreement shall be deemed or shall constitute a waiver of any other provision hereof, nor shall any waiver constitute a continuing waiver.</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rPr>
              <w:t>13.</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8"/>
              </w:rPr>
              <w:t>Successors.</w:t>
            </w:r>
          </w:p>
        </w:tc>
        <w:tc>
          <w:tcPr>
            <w:tcW w:w="520" w:type="dxa"/>
            <w:vAlign w:val="bottom"/>
          </w:tcPr>
          <w:p>
            <w:pPr>
              <w:jc w:val="center"/>
              <w:ind w:left="7"/>
              <w:spacing w:after="0"/>
              <w:rPr>
                <w:sz w:val="20"/>
                <w:szCs w:val="20"/>
                <w:color w:val="auto"/>
              </w:rPr>
            </w:pPr>
            <w:r>
              <w:rPr>
                <w:rFonts w:ascii="Courier New" w:cs="Courier New" w:eastAsia="Courier New" w:hAnsi="Courier New"/>
                <w:sz w:val="15"/>
                <w:szCs w:val="15"/>
                <w:color w:val="auto"/>
                <w:w w:val="99"/>
              </w:rPr>
              <w:t>This</w:t>
            </w:r>
          </w:p>
        </w:tc>
        <w:tc>
          <w:tcPr>
            <w:tcW w:w="13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Agreement  is</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and</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shall</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be binding</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upon and inure</w:t>
            </w:r>
          </w:p>
        </w:tc>
      </w:tr>
      <w:tr>
        <w:trPr>
          <w:trHeight w:val="170"/>
        </w:trPr>
        <w:tc>
          <w:tcPr>
            <w:tcW w:w="22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3000" w:type="dxa"/>
            <w:vAlign w:val="bottom"/>
            <w:gridSpan w:val="4"/>
          </w:tcPr>
          <w:p>
            <w:pPr>
              <w:jc w:val="center"/>
              <w:ind w:right="107"/>
              <w:spacing w:after="0"/>
              <w:rPr>
                <w:sz w:val="20"/>
                <w:szCs w:val="20"/>
                <w:color w:val="auto"/>
              </w:rPr>
            </w:pPr>
            <w:r>
              <w:rPr>
                <w:rFonts w:ascii="Courier New" w:cs="Courier New" w:eastAsia="Courier New" w:hAnsi="Courier New"/>
                <w:sz w:val="15"/>
                <w:szCs w:val="15"/>
                <w:color w:val="auto"/>
                <w:w w:val="97"/>
              </w:rPr>
              <w:t>benefit  of the  parties  hereto</w:t>
            </w:r>
          </w:p>
        </w:tc>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and their</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respective</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w w:val="96"/>
              </w:rPr>
              <w:t>successors  and</w:t>
            </w:r>
          </w:p>
        </w:tc>
      </w:tr>
      <w:tr>
        <w:trPr>
          <w:trHeight w:val="170"/>
        </w:trPr>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w w:val="94"/>
              </w:rPr>
              <w:t>assigns;</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6"/>
              </w:rPr>
              <w:t>provided,</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however,  that</w:t>
            </w:r>
          </w:p>
        </w:tc>
        <w:tc>
          <w:tcPr>
            <w:tcW w:w="1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neither the</w:t>
            </w:r>
          </w:p>
        </w:tc>
        <w:tc>
          <w:tcPr>
            <w:tcW w:w="28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Company nor the Purchasers shall</w:t>
            </w:r>
          </w:p>
        </w:tc>
      </w:tr>
      <w:tr>
        <w:trPr>
          <w:trHeight w:val="170"/>
        </w:trPr>
        <w:tc>
          <w:tcPr>
            <w:tcW w:w="3120" w:type="dxa"/>
            <w:vAlign w:val="bottom"/>
            <w:gridSpan w:val="5"/>
          </w:tcPr>
          <w:p>
            <w:pPr>
              <w:spacing w:after="0"/>
              <w:rPr>
                <w:sz w:val="20"/>
                <w:szCs w:val="20"/>
                <w:color w:val="auto"/>
              </w:rPr>
            </w:pPr>
            <w:r>
              <w:rPr>
                <w:rFonts w:ascii="Courier New" w:cs="Courier New" w:eastAsia="Courier New" w:hAnsi="Courier New"/>
                <w:sz w:val="15"/>
                <w:szCs w:val="15"/>
                <w:color w:val="auto"/>
                <w:w w:val="98"/>
              </w:rPr>
              <w:t>assign this  Agreement to any third</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party,</w:t>
            </w:r>
          </w:p>
        </w:tc>
        <w:tc>
          <w:tcPr>
            <w:tcW w:w="20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except in the case of</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the Purchasers</w:t>
            </w:r>
          </w:p>
        </w:tc>
      </w:tr>
      <w:tr>
        <w:trPr>
          <w:trHeight w:val="170"/>
        </w:trPr>
        <w:tc>
          <w:tcPr>
            <w:tcW w:w="220" w:type="dxa"/>
            <w:vAlign w:val="bottom"/>
          </w:tcPr>
          <w:p>
            <w:pPr>
              <w:spacing w:after="0"/>
              <w:rPr>
                <w:sz w:val="20"/>
                <w:szCs w:val="20"/>
                <w:color w:val="auto"/>
              </w:rPr>
            </w:pPr>
            <w:r>
              <w:rPr>
                <w:rFonts w:ascii="Courier New" w:cs="Courier New" w:eastAsia="Courier New" w:hAnsi="Courier New"/>
                <w:sz w:val="15"/>
                <w:szCs w:val="15"/>
                <w:color w:val="auto"/>
              </w:rPr>
              <w:t>in</w:t>
            </w:r>
          </w:p>
        </w:tc>
        <w:tc>
          <w:tcPr>
            <w:tcW w:w="210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7"/>
              </w:rPr>
              <w:t>accordance with Section</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 above.</w:t>
            </w: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r>
    </w:tbl>
    <w:p>
      <w:pPr>
        <w:spacing w:after="0" w:line="175" w:lineRule="exact"/>
        <w:rPr>
          <w:sz w:val="20"/>
          <w:szCs w:val="20"/>
          <w:color w:val="auto"/>
        </w:rPr>
      </w:pPr>
    </w:p>
    <w:p>
      <w:pPr>
        <w:jc w:val="both"/>
        <w:ind w:left="10" w:right="3179" w:hanging="10"/>
        <w:spacing w:after="0" w:line="238" w:lineRule="auto"/>
        <w:tabs>
          <w:tab w:leader="none" w:pos="803"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and Obligations of Third Parties. Nothing in this Agreement, whether express or implied, is intended to confer any rights or remedies under or by reason of this Agreement on any persons other than the parties to it and their respective successors and permitted assigns, nor is anything in this Agreement intended to relieve or discharge the obligation or liability of any third parties to any party to this Agreement, nor shall any provision give any third party any right of subrogation or action against any party to this Agreement.</w:t>
      </w:r>
    </w:p>
    <w:p>
      <w:pPr>
        <w:spacing w:after="0" w:line="177" w:lineRule="exact"/>
        <w:rPr>
          <w:rFonts w:ascii="Courier New" w:cs="Courier New" w:eastAsia="Courier New" w:hAnsi="Courier New"/>
          <w:sz w:val="15"/>
          <w:szCs w:val="15"/>
          <w:color w:val="auto"/>
        </w:rPr>
      </w:pPr>
    </w:p>
    <w:p>
      <w:pPr>
        <w:jc w:val="both"/>
        <w:ind w:left="10" w:right="3179" w:hanging="10"/>
        <w:spacing w:after="0" w:line="235" w:lineRule="auto"/>
        <w:tabs>
          <w:tab w:leader="none" w:pos="803"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 request, consent, or other communication hereunder shall be in writing and shall be sent by one of the following means:</w:t>
      </w:r>
    </w:p>
    <w:p>
      <w:pPr>
        <w:spacing w:after="0" w:line="6" w:lineRule="exact"/>
        <w:rPr>
          <w:rFonts w:ascii="Courier New" w:cs="Courier New" w:eastAsia="Courier New" w:hAnsi="Courier New"/>
          <w:sz w:val="15"/>
          <w:szCs w:val="15"/>
          <w:color w:val="auto"/>
        </w:rPr>
      </w:pPr>
    </w:p>
    <w:p>
      <w:pPr>
        <w:jc w:val="both"/>
        <w:ind w:left="1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 mailed by registered or certified first class air mail, postage prepaid; (ii) by facsimile transmission; (iii) by reputable overnight courier; or (iv) by personal delivery, and shall be properly addressed to the Company at its principal office, and to the Purchasers at their addresses as shown in the records of the Company, or to such other address or addresses as the Company or Purchasers shall hereafter designate to the other parties in writing. Notices shall be effective when sent.</w:t>
      </w:r>
    </w:p>
    <w:p>
      <w:pPr>
        <w:spacing w:after="0" w:line="176" w:lineRule="exact"/>
        <w:rPr>
          <w:rFonts w:ascii="Courier New" w:cs="Courier New" w:eastAsia="Courier New" w:hAnsi="Courier New"/>
          <w:sz w:val="15"/>
          <w:szCs w:val="15"/>
          <w:color w:val="auto"/>
        </w:rPr>
      </w:pPr>
    </w:p>
    <w:p>
      <w:pPr>
        <w:jc w:val="both"/>
        <w:ind w:left="10" w:right="3179" w:hanging="10"/>
        <w:spacing w:after="0" w:line="237" w:lineRule="auto"/>
        <w:tabs>
          <w:tab w:leader="none" w:pos="803"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and the exhibits hereto constitute the entire agreement between the parties hereto in relation to the subject matter hereof. Any prior written or oral negotiations, correspondence, or understandings relating to the subject matter hereof shall be superseded by this Agreement and shall have no force or effect.</w:t>
      </w:r>
    </w:p>
    <w:p>
      <w:pPr>
        <w:spacing w:after="0" w:line="178" w:lineRule="exact"/>
        <w:rPr>
          <w:rFonts w:ascii="Courier New" w:cs="Courier New" w:eastAsia="Courier New" w:hAnsi="Courier New"/>
          <w:sz w:val="15"/>
          <w:szCs w:val="15"/>
          <w:color w:val="auto"/>
        </w:rPr>
      </w:pPr>
    </w:p>
    <w:p>
      <w:pPr>
        <w:jc w:val="both"/>
        <w:ind w:left="10" w:right="3179" w:hanging="10"/>
        <w:spacing w:after="0" w:line="237" w:lineRule="auto"/>
        <w:tabs>
          <w:tab w:leader="none" w:pos="803"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provision which is not essential to the effectuation of the basic purpose of this Agreement is determined by a court of competent jurisdiction to be invalid and contrary to any existing or future law, such invalidity shall not impair the operation of the remaining provisions of this Agreement.</w:t>
      </w:r>
    </w:p>
    <w:p>
      <w:pPr>
        <w:spacing w:after="0" w:line="178" w:lineRule="exact"/>
        <w:rPr>
          <w:rFonts w:ascii="Courier New" w:cs="Courier New" w:eastAsia="Courier New" w:hAnsi="Courier New"/>
          <w:sz w:val="15"/>
          <w:szCs w:val="15"/>
          <w:color w:val="auto"/>
        </w:rPr>
      </w:pPr>
    </w:p>
    <w:p>
      <w:pPr>
        <w:jc w:val="both"/>
        <w:ind w:left="10" w:right="3179" w:hanging="10"/>
        <w:spacing w:after="0" w:line="237" w:lineRule="auto"/>
        <w:tabs>
          <w:tab w:leader="none" w:pos="803"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headings of the Sections of this Agreement and in the exhibits to this Agreement are inserted for convenience of reference only and shall not affect the construction or interpretation of any provisions hereof.</w:t>
      </w:r>
    </w:p>
    <w:p>
      <w:pPr>
        <w:spacing w:after="0" w:line="3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E-43</w:t>
      </w:r>
    </w:p>
    <w:p>
      <w:pPr>
        <w:sectPr>
          <w:pgSz w:w="11900" w:h="16838" w:orient="portrait"/>
          <w:cols w:equalWidth="0" w:num="1">
            <w:col w:w="10229"/>
          </w:cols>
          <w:pgMar w:left="230" w:top="622" w:right="1440" w:bottom="1440" w:gutter="0" w:footer="0" w:header="0"/>
        </w:sectPr>
      </w:pPr>
    </w:p>
    <w:bookmarkStart w:id="68" w:name="page69"/>
    <w:bookmarkEnd w:id="68"/>
    <w:p>
      <w:pPr>
        <w:jc w:val="both"/>
        <w:ind w:left="10" w:right="3179" w:hanging="10"/>
        <w:spacing w:after="0" w:line="237" w:lineRule="auto"/>
        <w:tabs>
          <w:tab w:leader="none" w:pos="803"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any number of counterparts, each of which when executed and delivered shall be an original, but all of which together shall constitute one and the same instrument.</w:t>
      </w:r>
    </w:p>
    <w:p>
      <w:pPr>
        <w:sectPr>
          <w:pgSz w:w="11900" w:h="16838" w:orient="portrait"/>
          <w:cols w:equalWidth="0" w:num="1">
            <w:col w:w="10229"/>
          </w:cols>
          <w:pgMar w:left="230" w:top="627" w:right="1440" w:bottom="1440" w:gutter="0" w:footer="0" w:header="0"/>
        </w:sectPr>
      </w:pPr>
    </w:p>
    <w:p>
      <w:pPr>
        <w:spacing w:after="0" w:line="175" w:lineRule="exact"/>
        <w:rPr>
          <w:sz w:val="20"/>
          <w:szCs w:val="20"/>
          <w:color w:val="auto"/>
        </w:rPr>
      </w:pPr>
    </w:p>
    <w:p>
      <w:pPr>
        <w:ind w:left="10" w:hanging="10"/>
        <w:spacing w:after="0" w:line="237" w:lineRule="auto"/>
        <w:tabs>
          <w:tab w:leader="none" w:pos="803"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and governed by the laws of the State of Utah, conflicts of laws provisions thereof.</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4"/>
          <w:szCs w:val="14"/>
          <w:color w:val="auto"/>
        </w:rPr>
        <w:t>be construed in accordance with</w:t>
      </w:r>
    </w:p>
    <w:p>
      <w:pPr>
        <w:spacing w:after="0" w:line="5" w:lineRule="exact"/>
        <w:rPr>
          <w:sz w:val="20"/>
          <w:szCs w:val="20"/>
          <w:color w:val="auto"/>
        </w:rPr>
      </w:pPr>
    </w:p>
    <w:p>
      <w:pPr>
        <w:jc w:val="right"/>
        <w:ind w:right="3179"/>
        <w:spacing w:after="0"/>
        <w:tabs>
          <w:tab w:leader="none" w:pos="1820" w:val="left"/>
          <w:tab w:leader="none" w:pos="1120" w:val="left"/>
        </w:tabs>
        <w:rPr>
          <w:sz w:val="20"/>
          <w:szCs w:val="20"/>
          <w:color w:val="auto"/>
        </w:rPr>
      </w:pPr>
      <w:r>
        <w:rPr>
          <w:rFonts w:ascii="Courier New" w:cs="Courier New" w:eastAsia="Courier New" w:hAnsi="Courier New"/>
          <w:sz w:val="15"/>
          <w:szCs w:val="15"/>
          <w:color w:val="auto"/>
        </w:rPr>
        <w:t>without</w:t>
        <w:tab/>
        <w:t>giving</w:t>
      </w:r>
      <w:r>
        <w:rPr>
          <w:sz w:val="20"/>
          <w:szCs w:val="20"/>
          <w:color w:val="auto"/>
        </w:rPr>
        <w:tab/>
      </w:r>
      <w:r>
        <w:rPr>
          <w:rFonts w:ascii="Courier New" w:cs="Courier New" w:eastAsia="Courier New" w:hAnsi="Courier New"/>
          <w:sz w:val="14"/>
          <w:szCs w:val="14"/>
          <w:color w:val="auto"/>
        </w:rPr>
        <w:t>effect to the</w:t>
      </w:r>
    </w:p>
    <w:p>
      <w:pPr>
        <w:spacing w:after="0" w:line="338" w:lineRule="exact"/>
        <w:rPr>
          <w:sz w:val="20"/>
          <w:szCs w:val="20"/>
          <w:color w:val="auto"/>
        </w:rPr>
      </w:pPr>
    </w:p>
    <w:p>
      <w:pPr>
        <w:sectPr>
          <w:pgSz w:w="11900" w:h="16838" w:orient="portrait"/>
          <w:cols w:equalWidth="0" w:num="2">
            <w:col w:w="4230" w:space="80"/>
            <w:col w:w="5919"/>
          </w:cols>
          <w:pgMar w:left="230" w:top="627" w:right="1440" w:bottom="1440" w:gutter="0" w:footer="0" w:header="0"/>
          <w:type w:val="continuous"/>
        </w:sectPr>
      </w:pPr>
    </w:p>
    <w:tbl>
      <w:tblPr>
        <w:tblLayout w:type="fixed"/>
        <w:tblInd w:w="10" w:type="dxa"/>
        <w:tblCellMar>
          <w:top w:w="0" w:type="dxa"/>
          <w:left w:w="0" w:type="dxa"/>
          <w:bottom w:w="0" w:type="dxa"/>
          <w:right w:w="0" w:type="dxa"/>
        </w:tblCellMar>
      </w:tblP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198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7"/>
              </w:rPr>
              <w:t>Jurisdiction,  Service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39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Process,  and Venue.  Any  dispute  arising</w:t>
            </w:r>
          </w:p>
        </w:tc>
      </w:tr>
      <w:tr>
        <w:trPr>
          <w:trHeight w:val="170"/>
        </w:trPr>
        <w:tc>
          <w:tcPr>
            <w:tcW w:w="2200" w:type="dxa"/>
            <w:vAlign w:val="bottom"/>
            <w:gridSpan w:val="3"/>
          </w:tcPr>
          <w:p>
            <w:pPr>
              <w:spacing w:after="0"/>
              <w:rPr>
                <w:sz w:val="20"/>
                <w:szCs w:val="20"/>
                <w:color w:val="auto"/>
              </w:rPr>
            </w:pPr>
            <w:r>
              <w:rPr>
                <w:rFonts w:ascii="Courier New" w:cs="Courier New" w:eastAsia="Courier New" w:hAnsi="Courier New"/>
                <w:sz w:val="15"/>
                <w:szCs w:val="15"/>
                <w:color w:val="auto"/>
              </w:rPr>
              <w:t>out of or in connection</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3"/>
              </w:rPr>
              <w:t>with this</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Agreement,</w:t>
            </w:r>
          </w:p>
        </w:tc>
        <w:tc>
          <w:tcPr>
            <w:tcW w:w="2160" w:type="dxa"/>
            <w:vAlign w:val="bottom"/>
            <w:gridSpan w:val="3"/>
          </w:tcPr>
          <w:p>
            <w:pPr>
              <w:jc w:val="right"/>
              <w:ind w:right="47"/>
              <w:spacing w:after="0"/>
              <w:rPr>
                <w:sz w:val="20"/>
                <w:szCs w:val="20"/>
                <w:color w:val="auto"/>
              </w:rPr>
            </w:pPr>
            <w:r>
              <w:rPr>
                <w:rFonts w:ascii="Courier New" w:cs="Courier New" w:eastAsia="Courier New" w:hAnsi="Courier New"/>
                <w:sz w:val="15"/>
                <w:szCs w:val="15"/>
                <w:color w:val="auto"/>
              </w:rPr>
              <w:t>including any question</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regarding</w:t>
            </w:r>
          </w:p>
        </w:tc>
      </w:tr>
      <w:tr>
        <w:trPr>
          <w:trHeight w:val="170"/>
        </w:trPr>
        <w:tc>
          <w:tcPr>
            <w:tcW w:w="5860" w:type="dxa"/>
            <w:vAlign w:val="bottom"/>
            <w:gridSpan w:val="8"/>
          </w:tcPr>
          <w:p>
            <w:pPr>
              <w:spacing w:after="0"/>
              <w:rPr>
                <w:sz w:val="20"/>
                <w:szCs w:val="20"/>
                <w:color w:val="auto"/>
              </w:rPr>
            </w:pPr>
            <w:r>
              <w:rPr>
                <w:rFonts w:ascii="Courier New" w:cs="Courier New" w:eastAsia="Courier New" w:hAnsi="Courier New"/>
                <w:sz w:val="15"/>
                <w:szCs w:val="15"/>
                <w:color w:val="auto"/>
                <w:w w:val="98"/>
              </w:rPr>
              <w:t>its existence,  validity or termination,  shall be settled: first,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by good faith</w:t>
            </w:r>
          </w:p>
        </w:tc>
      </w:tr>
      <w:tr>
        <w:trPr>
          <w:trHeight w:val="170"/>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w w:val="96"/>
              </w:rPr>
              <w:t>negotiation  between</w:t>
            </w:r>
          </w:p>
        </w:tc>
        <w:tc>
          <w:tcPr>
            <w:tcW w:w="440" w:type="dxa"/>
            <w:vAlign w:val="bottom"/>
          </w:tcPr>
          <w:p>
            <w:pPr>
              <w:ind w:left="160"/>
              <w:spacing w:after="0"/>
              <w:rPr>
                <w:sz w:val="20"/>
                <w:szCs w:val="20"/>
                <w:color w:val="auto"/>
              </w:rPr>
            </w:pPr>
            <w:r>
              <w:rPr>
                <w:rFonts w:ascii="Courier New" w:cs="Courier New" w:eastAsia="Courier New" w:hAnsi="Courier New"/>
                <w:sz w:val="15"/>
                <w:szCs w:val="15"/>
                <w:color w:val="auto"/>
                <w:w w:val="96"/>
              </w:rPr>
              <w:t>the</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parties</w:t>
            </w:r>
          </w:p>
        </w:tc>
        <w:tc>
          <w:tcPr>
            <w:tcW w:w="22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for a period  of no more</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than</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ten</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 days</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following</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written</w:t>
            </w:r>
          </w:p>
        </w:tc>
        <w:tc>
          <w:tcPr>
            <w:tcW w:w="132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w w:val="95"/>
              </w:rPr>
              <w:t>notice by the</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disputing</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party to the</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Party of such</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dispute;</w:t>
            </w:r>
          </w:p>
        </w:tc>
        <w:tc>
          <w:tcPr>
            <w:tcW w:w="198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7"/>
              </w:rPr>
              <w:t>then, if unresolved,</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by</w:t>
            </w:r>
          </w:p>
        </w:tc>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non-binding</w:t>
            </w:r>
          </w:p>
        </w:tc>
        <w:tc>
          <w:tcPr>
            <w:tcW w:w="21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mediation for a period</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of thirty</w:t>
            </w:r>
          </w:p>
        </w:tc>
      </w:tr>
    </w:tbl>
    <w:p>
      <w:pPr>
        <w:spacing w:after="0" w:line="5" w:lineRule="exact"/>
        <w:rPr>
          <w:sz w:val="20"/>
          <w:szCs w:val="20"/>
          <w:color w:val="auto"/>
        </w:rPr>
      </w:pPr>
    </w:p>
    <w:p>
      <w:pPr>
        <w:jc w:val="both"/>
        <w:ind w:left="10" w:right="3179" w:hanging="10"/>
        <w:spacing w:after="0" w:line="238" w:lineRule="auto"/>
        <w:tabs>
          <w:tab w:leader="none" w:pos="53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before a mutually satisfactory mediator. Any dispute remaining unresolved following mediation shall be settled by binding arbitration in Salt Lake City, UT before a single arbitrator under the Rules of the American Arbitration Association for Commercial Disputes (as modified by this section). Judgment upon the award rendered by the arbitrator or arbitrators may be entered in any court having jurisdiction thereof, and shall be binding on the parties hereto. The costs of arbitration, including reasonable legal fees and costs, shall be borne by either or both of the Parties in whatever proportion as the arbitrator or arbitrators may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E-44</w:t>
      </w:r>
    </w:p>
    <w:p>
      <w:pPr>
        <w:sectPr>
          <w:pgSz w:w="11900" w:h="16838" w:orient="portrait"/>
          <w:cols w:equalWidth="0" w:num="1">
            <w:col w:w="10229"/>
          </w:cols>
          <w:pgMar w:left="230" w:top="627" w:right="1440" w:bottom="1440" w:gutter="0" w:footer="0" w:header="0"/>
          <w:type w:val="continuous"/>
        </w:sectPr>
      </w:pPr>
    </w:p>
    <w:bookmarkStart w:id="69" w:name="page70"/>
    <w:bookmarkEnd w:id="69"/>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IN WITNESS WHEREOF, the Company and each Purchaser listed on Exhibit A has caused this Agreement to be executed by his or its duly authorized representative.</w:t>
      </w:r>
    </w:p>
    <w:p>
      <w:pPr>
        <w:sectPr>
          <w:pgSz w:w="11900" w:h="16838" w:orient="portrait"/>
          <w:cols w:equalWidth="0" w:num="1">
            <w:col w:w="10219"/>
          </w:cols>
          <w:pgMar w:left="240" w:top="966" w:right="1440" w:bottom="1440" w:gutter="0" w:footer="0" w:header="0"/>
        </w:sectPr>
      </w:pPr>
    </w:p>
    <w:p>
      <w:pPr>
        <w:spacing w:after="0" w:line="344" w:lineRule="exact"/>
        <w:rPr>
          <w:sz w:val="20"/>
          <w:szCs w:val="20"/>
          <w:color w:val="auto"/>
        </w:rPr>
      </w:pPr>
    </w:p>
    <w:p>
      <w:pPr>
        <w:ind w:right="880"/>
        <w:spacing w:after="0" w:line="265" w:lineRule="auto"/>
        <w:rPr>
          <w:sz w:val="20"/>
          <w:szCs w:val="20"/>
          <w:color w:val="auto"/>
        </w:rPr>
      </w:pPr>
      <w:r>
        <w:rPr>
          <w:rFonts w:ascii="Courier New" w:cs="Courier New" w:eastAsia="Courier New" w:hAnsi="Courier New"/>
          <w:sz w:val="14"/>
          <w:szCs w:val="14"/>
          <w:color w:val="auto"/>
        </w:rPr>
        <w:t>GENTNER COMMUNICATIONS CORPORATION</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CLEARONE, INC.</w:t>
      </w:r>
    </w:p>
    <w:p>
      <w:pPr>
        <w:spacing w:after="0" w:line="391" w:lineRule="exact"/>
        <w:rPr>
          <w:sz w:val="20"/>
          <w:szCs w:val="20"/>
          <w:color w:val="auto"/>
        </w:rPr>
      </w:pPr>
    </w:p>
    <w:p>
      <w:pPr>
        <w:sectPr>
          <w:pgSz w:w="11900" w:h="16838" w:orient="portrait"/>
          <w:cols w:equalWidth="0" w:num="2">
            <w:col w:w="2800" w:space="720"/>
            <w:col w:w="6699"/>
          </w:cols>
          <w:pgMar w:left="240" w:top="966" w:right="1440" w:bottom="1440" w:gutter="0" w:footer="0" w:header="0"/>
          <w:type w:val="continuous"/>
        </w:sectPr>
      </w:pP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/s/Susie Strohm</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/s/Andrew Chiang</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160" w:space="440"/>
            <w:col w:w="6619"/>
          </w:cols>
          <w:pgMar w:left="240" w:top="966" w:right="1440"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Chief Financial Officer</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President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160" w:space="440"/>
            <w:col w:w="6619"/>
          </w:cols>
          <w:pgMar w:left="240" w:top="96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4"/>
          <w:szCs w:val="14"/>
          <w:color w:val="auto"/>
        </w:rPr>
        <w:t>E-45</w:t>
      </w:r>
    </w:p>
    <w:p>
      <w:pPr>
        <w:sectPr>
          <w:pgSz w:w="11900" w:h="16838" w:orient="portrait"/>
          <w:cols w:equalWidth="0" w:num="1">
            <w:col w:w="10219"/>
          </w:cols>
          <w:pgMar w:left="240" w:top="966" w:right="1440" w:bottom="1440" w:gutter="0" w:footer="0" w:header="0"/>
          <w:type w:val="continuous"/>
        </w:sectPr>
      </w:pPr>
    </w:p>
    <w:bookmarkStart w:id="70" w:name="page71"/>
    <w:bookmarkEnd w:id="70"/>
    <w:p>
      <w:pPr>
        <w:jc w:val="center"/>
        <w:ind w:right="3170"/>
        <w:spacing w:after="0"/>
        <w:rPr>
          <w:sz w:val="20"/>
          <w:szCs w:val="20"/>
          <w:color w:val="auto"/>
        </w:rPr>
      </w:pPr>
      <w:r>
        <w:rPr>
          <w:rFonts w:ascii="Courier New" w:cs="Courier New" w:eastAsia="Courier New" w:hAnsi="Courier New"/>
          <w:sz w:val="15"/>
          <w:szCs w:val="15"/>
          <w:color w:val="auto"/>
        </w:rPr>
        <w:t>EXHIBIT 23.1</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5" w:lineRule="exact"/>
        <w:rPr>
          <w:sz w:val="20"/>
          <w:szCs w:val="20"/>
          <w:color w:val="auto"/>
        </w:rPr>
      </w:pPr>
    </w:p>
    <w:p>
      <w:pPr>
        <w:jc w:val="both"/>
        <w:ind w:left="10" w:right="3179"/>
        <w:spacing w:after="0" w:line="260" w:lineRule="auto"/>
        <w:rPr>
          <w:sz w:val="20"/>
          <w:szCs w:val="20"/>
          <w:color w:val="auto"/>
        </w:rPr>
      </w:pPr>
      <w:r>
        <w:rPr>
          <w:rFonts w:ascii="Courier New" w:cs="Courier New" w:eastAsia="Courier New" w:hAnsi="Courier New"/>
          <w:sz w:val="14"/>
          <w:szCs w:val="14"/>
          <w:color w:val="auto"/>
        </w:rPr>
        <w:t>We consent to the inclusion in this Current Report of Gentner Communications Corporation on Form 8-K/A of our report on ClearOne Inc. dated July 15, 2000 on our audits of the financial statements of ClearOne Inc. as of April 30,2000.</w:t>
      </w:r>
    </w:p>
    <w:p>
      <w:pPr>
        <w:spacing w:after="0" w:line="157" w:lineRule="exact"/>
        <w:rPr>
          <w:sz w:val="20"/>
          <w:szCs w:val="20"/>
          <w:color w:val="auto"/>
        </w:rPr>
      </w:pPr>
    </w:p>
    <w:p>
      <w:pPr>
        <w:ind w:left="10"/>
        <w:spacing w:after="0"/>
        <w:tabs>
          <w:tab w:leader="none" w:pos="2189" w:val="left"/>
          <w:tab w:leader="none" w:pos="5969" w:val="left"/>
        </w:tabs>
        <w:rPr>
          <w:sz w:val="20"/>
          <w:szCs w:val="20"/>
          <w:color w:val="auto"/>
        </w:rPr>
      </w:pPr>
      <w:r>
        <w:rPr>
          <w:rFonts w:ascii="Courier New" w:cs="Courier New" w:eastAsia="Courier New" w:hAnsi="Courier New"/>
          <w:sz w:val="15"/>
          <w:szCs w:val="15"/>
          <w:color w:val="auto"/>
        </w:rPr>
        <w:t>Wellesley, MA</w:t>
      </w:r>
      <w:r>
        <w:rPr>
          <w:sz w:val="20"/>
          <w:szCs w:val="20"/>
          <w:color w:val="auto"/>
        </w:rPr>
        <w:tab/>
      </w:r>
      <w:r>
        <w:rPr>
          <w:rFonts w:ascii="Courier New" w:cs="Courier New" w:eastAsia="Courier New" w:hAnsi="Courier New"/>
          <w:sz w:val="15"/>
          <w:szCs w:val="15"/>
          <w:color w:val="auto"/>
        </w:rPr>
        <w:t>/s/ Edward C. Scribner</w:t>
      </w:r>
      <w:r>
        <w:rPr>
          <w:sz w:val="20"/>
          <w:szCs w:val="20"/>
          <w:color w:val="auto"/>
        </w:rPr>
        <w:tab/>
      </w:r>
      <w:r>
        <w:rPr>
          <w:rFonts w:ascii="Courier New" w:cs="Courier New" w:eastAsia="Courier New" w:hAnsi="Courier New"/>
          <w:sz w:val="14"/>
          <w:szCs w:val="14"/>
          <w:color w:val="auto"/>
        </w:rPr>
        <w:t>Signature</w:t>
      </w:r>
    </w:p>
    <w:p>
      <w:pPr>
        <w:spacing w:after="0" w:line="5" w:lineRule="exact"/>
        <w:rPr>
          <w:sz w:val="20"/>
          <w:szCs w:val="20"/>
          <w:color w:val="auto"/>
        </w:rPr>
      </w:pPr>
    </w:p>
    <w:p>
      <w:pPr>
        <w:ind w:left="170" w:hanging="170"/>
        <w:spacing w:after="0"/>
        <w:tabs>
          <w:tab w:leader="none" w:pos="17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52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September 18,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E-46</w:t>
      </w:r>
    </w:p>
    <w:sectPr>
      <w:pgSz w:w="11900" w:h="16838" w:orient="portrait"/>
      <w:cols w:equalWidth="0" w:num="1">
        <w:col w:w="10229"/>
      </w:cols>
      <w:pgMar w:left="230" w:top="4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decimal"/>
      <w:start w:val="801"/>
    </w:lvl>
  </w:abstractNum>
  <w:abstractNum w:abstractNumId="1">
    <w:nsid w:val="2901D82"/>
    <w:multiLevelType w:val="hybridMultilevel"/>
    <w:lvl w:ilvl="0">
      <w:lvlJc w:val="left"/>
      <w:lvlText w:val="(%1)"/>
      <w:numFmt w:val="lowerLetter"/>
      <w:start w:val="1"/>
    </w:lvl>
  </w:abstractNum>
  <w:abstractNum w:abstractNumId="2">
    <w:nsid w:val="3A95F874"/>
    <w:multiLevelType w:val="hybridMultilevel"/>
    <w:lvl w:ilvl="0">
      <w:lvlJc w:val="left"/>
      <w:lvlText w:val="(%1)"/>
      <w:numFmt w:val="lowerLetter"/>
      <w:start w:val="2"/>
    </w:lvl>
  </w:abstractNum>
  <w:abstractNum w:abstractNumId="3">
    <w:nsid w:val="8138641"/>
    <w:multiLevelType w:val="hybridMultilevel"/>
    <w:lvl w:ilvl="0">
      <w:lvlJc w:val="left"/>
      <w:lvlText w:val="(%1)"/>
      <w:numFmt w:val="decimal"/>
      <w:start w:val="2"/>
    </w:lvl>
  </w:abstractNum>
  <w:abstractNum w:abstractNumId="4">
    <w:nsid w:val="1E7FF521"/>
    <w:multiLevelType w:val="hybridMultilevel"/>
    <w:lvl w:ilvl="0">
      <w:lvlJc w:val="left"/>
      <w:lvlText w:val="(%1)"/>
      <w:numFmt w:val="decimal"/>
      <w:start w:val="2"/>
    </w:lvl>
  </w:abstractNum>
  <w:abstractNum w:abstractNumId="5">
    <w:nsid w:val="7C3DBD3D"/>
    <w:multiLevelType w:val="hybridMultilevel"/>
    <w:lvl w:ilvl="0">
      <w:lvlJc w:val="left"/>
      <w:lvlText w:val="(%1)"/>
      <w:numFmt w:val="decimal"/>
      <w:start w:val="1"/>
    </w:lvl>
    <w:lvl w:ilvl="1">
      <w:lvlJc w:val="left"/>
      <w:lvlText w:val="(%2)"/>
      <w:numFmt w:val="decimal"/>
      <w:start w:val="10"/>
    </w:lvl>
  </w:abstractNum>
  <w:abstractNum w:abstractNumId="6">
    <w:nsid w:val="737B8DDC"/>
    <w:multiLevelType w:val="hybridMultilevel"/>
    <w:lvl w:ilvl="0">
      <w:lvlJc w:val="left"/>
      <w:lvlText w:val="(%1)"/>
      <w:numFmt w:val="upperLetter"/>
      <w:start w:val="1"/>
    </w:lvl>
  </w:abstractNum>
  <w:abstractNum w:abstractNumId="7">
    <w:nsid w:val="6CEAF087"/>
    <w:multiLevelType w:val="hybridMultilevel"/>
    <w:lvl w:ilvl="0">
      <w:lvlJc w:val="left"/>
      <w:lvlText w:val="(%1)"/>
      <w:numFmt w:val="lowerLetter"/>
      <w:start w:val="6"/>
    </w:lvl>
  </w:abstractNum>
  <w:abstractNum w:abstractNumId="8">
    <w:nsid w:val="22221A70"/>
    <w:multiLevelType w:val="hybridMultilevel"/>
    <w:lvl w:ilvl="0">
      <w:lvlJc w:val="left"/>
      <w:lvlText w:val="(%1)"/>
      <w:numFmt w:val="lowerLetter"/>
      <w:start w:val="9"/>
    </w:lvl>
  </w:abstractNum>
  <w:abstractNum w:abstractNumId="9">
    <w:nsid w:val="4516DDE9"/>
    <w:multiLevelType w:val="hybridMultilevel"/>
    <w:lvl w:ilvl="0">
      <w:lvlJc w:val="left"/>
      <w:lvlText w:val="%1"/>
      <w:numFmt w:val="decimal"/>
      <w:start w:val="1"/>
    </w:lvl>
    <w:lvl w:ilvl="1">
      <w:lvlJc w:val="left"/>
      <w:lvlText w:val="(%2)"/>
      <w:numFmt w:val="lowerLetter"/>
      <w:start w:val="1"/>
    </w:lvl>
  </w:abstractNum>
  <w:abstractNum w:abstractNumId="10">
    <w:nsid w:val="3006C83E"/>
    <w:multiLevelType w:val="hybridMultilevel"/>
    <w:lvl w:ilvl="0">
      <w:lvlJc w:val="left"/>
      <w:lvlText w:val="(%1)"/>
      <w:numFmt w:val="decimal"/>
      <w:start w:val="10"/>
    </w:lvl>
    <w:lvl w:ilvl="1">
      <w:lvlJc w:val="left"/>
      <w:lvlText w:val="(%2)"/>
      <w:numFmt w:val="lowerLetter"/>
      <w:start w:val="2"/>
    </w:lvl>
  </w:abstractNum>
  <w:abstractNum w:abstractNumId="11">
    <w:nsid w:val="614FD4A1"/>
    <w:multiLevelType w:val="hybridMultilevel"/>
    <w:lvl w:ilvl="0">
      <w:lvlJc w:val="left"/>
      <w:lvlText w:val="(%1)"/>
      <w:numFmt w:val="lowerRoman"/>
      <w:start w:val="1"/>
    </w:lvl>
  </w:abstractNum>
  <w:abstractNum w:abstractNumId="12">
    <w:nsid w:val="419AC241"/>
    <w:multiLevelType w:val="hybridMultilevel"/>
    <w:lvl w:ilvl="0">
      <w:lvlJc w:val="left"/>
      <w:lvlText w:val="(%1)"/>
      <w:numFmt w:val="lowerRoman"/>
      <w:start w:val="2"/>
    </w:lvl>
  </w:abstractNum>
  <w:abstractNum w:abstractNumId="13">
    <w:nsid w:val="5577F8E1"/>
    <w:multiLevelType w:val="hybridMultilevel"/>
    <w:lvl w:ilvl="0">
      <w:lvlJc w:val="left"/>
      <w:lvlText w:val="(%1)"/>
      <w:numFmt w:val="lowerRoman"/>
      <w:start w:val="1"/>
    </w:lvl>
  </w:abstractNum>
  <w:abstractNum w:abstractNumId="14">
    <w:nsid w:val="440BADFC"/>
    <w:multiLevelType w:val="hybridMultilevel"/>
    <w:lvl w:ilvl="0">
      <w:lvlJc w:val="left"/>
      <w:lvlText w:val="(%1)"/>
      <w:numFmt w:val="lowerLetter"/>
      <w:start w:val="1"/>
    </w:lvl>
  </w:abstractNum>
  <w:abstractNum w:abstractNumId="15">
    <w:nsid w:val="5072367"/>
    <w:multiLevelType w:val="hybridMultilevel"/>
    <w:lvl w:ilvl="0">
      <w:lvlJc w:val="left"/>
      <w:lvlText w:val="(%1)"/>
      <w:numFmt w:val="lowerLetter"/>
      <w:start w:val="2"/>
    </w:lvl>
  </w:abstractNum>
  <w:abstractNum w:abstractNumId="16">
    <w:nsid w:val="3804823E"/>
    <w:multiLevelType w:val="hybridMultilevel"/>
    <w:lvl w:ilvl="0">
      <w:lvlJc w:val="left"/>
      <w:lvlText w:val="(%1)"/>
      <w:numFmt w:val="lowerLetter"/>
      <w:start w:val="12"/>
    </w:lvl>
  </w:abstractNum>
  <w:abstractNum w:abstractNumId="17">
    <w:nsid w:val="77465F01"/>
    <w:multiLevelType w:val="hybridMultilevel"/>
    <w:lvl w:ilvl="0">
      <w:lvlJc w:val="left"/>
      <w:lvlText w:val="(%1)"/>
      <w:numFmt w:val="lowerLetter"/>
      <w:start w:val="15"/>
    </w:lvl>
  </w:abstractNum>
  <w:abstractNum w:abstractNumId="18">
    <w:nsid w:val="7724C67E"/>
    <w:multiLevelType w:val="hybridMultilevel"/>
    <w:lvl w:ilvl="0">
      <w:lvlJc w:val="left"/>
      <w:lvlText w:val="(%1)"/>
      <w:numFmt w:val="lowerLetter"/>
      <w:start w:val="16"/>
    </w:lvl>
  </w:abstractNum>
  <w:abstractNum w:abstractNumId="19">
    <w:nsid w:val="5C482A97"/>
    <w:multiLevelType w:val="hybridMultilevel"/>
    <w:lvl w:ilvl="0">
      <w:lvlJc w:val="left"/>
      <w:lvlText w:val="(%1)"/>
      <w:numFmt w:val="lowerLetter"/>
      <w:start w:val="1"/>
    </w:lvl>
  </w:abstractNum>
  <w:abstractNum w:abstractNumId="20">
    <w:nsid w:val="2463B9EA"/>
    <w:multiLevelType w:val="hybridMultilevel"/>
    <w:lvl w:ilvl="0">
      <w:lvlJc w:val="left"/>
      <w:lvlText w:val="(%1)"/>
      <w:numFmt w:val="lowerLetter"/>
      <w:start w:val="1"/>
    </w:lvl>
  </w:abstractNum>
  <w:abstractNum w:abstractNumId="21">
    <w:nsid w:val="5E884ADC"/>
    <w:multiLevelType w:val="hybridMultilevel"/>
    <w:lvl w:ilvl="0">
      <w:lvlJc w:val="left"/>
      <w:lvlText w:val="(%1)"/>
      <w:numFmt w:val="lowerLetter"/>
      <w:start w:val="1"/>
    </w:lvl>
  </w:abstractNum>
  <w:abstractNum w:abstractNumId="22">
    <w:nsid w:val="51EAD36B"/>
    <w:multiLevelType w:val="hybridMultilevel"/>
    <w:lvl w:ilvl="0">
      <w:lvlJc w:val="left"/>
      <w:lvlText w:val="(%1)"/>
      <w:numFmt w:val="lowerLetter"/>
      <w:start w:val="2"/>
    </w:lvl>
  </w:abstractNum>
  <w:abstractNum w:abstractNumId="23">
    <w:nsid w:val="2D517796"/>
    <w:multiLevelType w:val="hybridMultilevel"/>
    <w:lvl w:ilvl="0">
      <w:lvlJc w:val="left"/>
      <w:lvlText w:val="(%1)"/>
      <w:numFmt w:val="lowerLetter"/>
      <w:start w:val="4"/>
    </w:lvl>
  </w:abstractNum>
  <w:abstractNum w:abstractNumId="24">
    <w:nsid w:val="580BD78F"/>
    <w:multiLevelType w:val="hybridMultilevel"/>
    <w:lvl w:ilvl="0">
      <w:lvlJc w:val="left"/>
      <w:lvlText w:val="(%1)"/>
      <w:numFmt w:val="lowerLetter"/>
      <w:start w:val="1"/>
    </w:lvl>
  </w:abstractNum>
  <w:abstractNum w:abstractNumId="25">
    <w:nsid w:val="153EA438"/>
    <w:multiLevelType w:val="hybridMultilevel"/>
    <w:lvl w:ilvl="0">
      <w:lvlJc w:val="left"/>
      <w:lvlText w:val="(%1)"/>
      <w:numFmt w:val="lowerLetter"/>
      <w:start w:val="4"/>
    </w:lvl>
  </w:abstractNum>
  <w:abstractNum w:abstractNumId="26">
    <w:nsid w:val="3855585C"/>
    <w:multiLevelType w:val="hybridMultilevel"/>
    <w:lvl w:ilvl="0">
      <w:lvlJc w:val="left"/>
      <w:lvlText w:val="(%1)"/>
      <w:numFmt w:val="lowerLetter"/>
      <w:start w:val="1"/>
    </w:lvl>
  </w:abstractNum>
  <w:abstractNum w:abstractNumId="27">
    <w:nsid w:val="70A64E2A"/>
    <w:multiLevelType w:val="hybridMultilevel"/>
    <w:lvl w:ilvl="0">
      <w:lvlJc w:val="left"/>
      <w:lvlText w:val="(%1)"/>
      <w:numFmt w:val="lowerRoman"/>
      <w:start w:val="2"/>
    </w:lvl>
  </w:abstractNum>
  <w:abstractNum w:abstractNumId="28">
    <w:nsid w:val="6A2342EC"/>
    <w:multiLevelType w:val="hybridMultilevel"/>
    <w:lvl w:ilvl="0">
      <w:lvlJc w:val="left"/>
      <w:lvlText w:val="(%1)"/>
      <w:numFmt w:val="lowerRoman"/>
      <w:start w:val="1"/>
    </w:lvl>
  </w:abstractNum>
  <w:abstractNum w:abstractNumId="29">
    <w:nsid w:val="2A487CB0"/>
    <w:multiLevelType w:val="hybridMultilevel"/>
    <w:lvl w:ilvl="0">
      <w:lvlJc w:val="left"/>
      <w:lvlText w:val="(%1)"/>
      <w:numFmt w:val="lowerRoman"/>
      <w:start w:val="2"/>
    </w:lvl>
  </w:abstractNum>
  <w:abstractNum w:abstractNumId="30">
    <w:nsid w:val="1D4ED43B"/>
    <w:multiLevelType w:val="hybridMultilevel"/>
    <w:lvl w:ilvl="0">
      <w:lvlJc w:val="left"/>
      <w:lvlText w:val="(%1)"/>
      <w:numFmt w:val="lowerLetter"/>
      <w:start w:val="1"/>
    </w:lvl>
  </w:abstractNum>
  <w:abstractNum w:abstractNumId="31">
    <w:nsid w:val="725A06FB"/>
    <w:multiLevelType w:val="hybridMultilevel"/>
    <w:lvl w:ilvl="0">
      <w:lvlJc w:val="left"/>
      <w:lvlText w:val="(%1)"/>
      <w:numFmt w:val="upperLetter"/>
      <w:start w:val="2"/>
    </w:lvl>
  </w:abstractNum>
  <w:abstractNum w:abstractNumId="32">
    <w:nsid w:val="2CD89A32"/>
    <w:multiLevelType w:val="hybridMultilevel"/>
    <w:lvl w:ilvl="0">
      <w:lvlJc w:val="left"/>
      <w:lvlText w:val="(%1)"/>
      <w:numFmt w:val="lowerLetter"/>
      <w:start w:val="5"/>
    </w:lvl>
  </w:abstractNum>
  <w:abstractNum w:abstractNumId="33">
    <w:nsid w:val="57E4CCAF"/>
    <w:multiLevelType w:val="hybridMultilevel"/>
    <w:lvl w:ilvl="0">
      <w:lvlJc w:val="left"/>
      <w:lvlText w:val="(%1)"/>
      <w:numFmt w:val="lowerLetter"/>
      <w:start w:val="6"/>
    </w:lvl>
  </w:abstractNum>
  <w:abstractNum w:abstractNumId="34">
    <w:nsid w:val="7A6D8D3C"/>
    <w:multiLevelType w:val="hybridMultilevel"/>
    <w:lvl w:ilvl="0">
      <w:lvlJc w:val="left"/>
      <w:lvlText w:val="(%1)"/>
      <w:numFmt w:val="lowerLetter"/>
      <w:start w:val="1"/>
    </w:lvl>
  </w:abstractNum>
  <w:abstractNum w:abstractNumId="35">
    <w:nsid w:val="4B588F54"/>
    <w:multiLevelType w:val="hybridMultilevel"/>
    <w:lvl w:ilvl="0">
      <w:lvlJc w:val="left"/>
      <w:lvlText w:val="(%1)"/>
      <w:numFmt w:val="lowerLetter"/>
      <w:start w:val="3"/>
    </w:lvl>
  </w:abstractNum>
  <w:abstractNum w:abstractNumId="36">
    <w:nsid w:val="542289EC"/>
    <w:multiLevelType w:val="hybridMultilevel"/>
    <w:lvl w:ilvl="0">
      <w:lvlJc w:val="left"/>
      <w:lvlText w:val="(%1)"/>
      <w:numFmt w:val="lowerLetter"/>
      <w:start w:val="4"/>
    </w:lvl>
  </w:abstractNum>
  <w:abstractNum w:abstractNumId="37">
    <w:nsid w:val="6DE91B18"/>
    <w:multiLevelType w:val="hybridMultilevel"/>
    <w:lvl w:ilvl="0">
      <w:lvlJc w:val="left"/>
      <w:lvlText w:val="(%1)"/>
      <w:numFmt w:val="lowerLetter"/>
      <w:start w:val="5"/>
    </w:lvl>
  </w:abstractNum>
  <w:abstractNum w:abstractNumId="38">
    <w:nsid w:val="38437FDB"/>
    <w:multiLevelType w:val="hybridMultilevel"/>
    <w:lvl w:ilvl="0">
      <w:lvlJc w:val="left"/>
      <w:lvlText w:val="(%1)"/>
      <w:numFmt w:val="lowerLetter"/>
      <w:start w:val="1"/>
    </w:lvl>
  </w:abstractNum>
  <w:abstractNum w:abstractNumId="39">
    <w:nsid w:val="7644A45C"/>
    <w:multiLevelType w:val="hybridMultilevel"/>
    <w:lvl w:ilvl="0">
      <w:lvlJc w:val="left"/>
      <w:lvlText w:val="(%1)"/>
      <w:numFmt w:val="lowerLetter"/>
      <w:start w:val="4"/>
    </w:lvl>
  </w:abstractNum>
  <w:abstractNum w:abstractNumId="40">
    <w:nsid w:val="32FFF902"/>
    <w:multiLevelType w:val="hybridMultilevel"/>
    <w:lvl w:ilvl="0">
      <w:lvlJc w:val="left"/>
      <w:lvlText w:val="(%1)"/>
      <w:numFmt w:val="lowerLetter"/>
      <w:start w:val="1"/>
    </w:lvl>
  </w:abstractNum>
  <w:abstractNum w:abstractNumId="41">
    <w:nsid w:val="684A481A"/>
    <w:multiLevelType w:val="hybridMultilevel"/>
    <w:lvl w:ilvl="0">
      <w:lvlJc w:val="left"/>
      <w:lvlText w:val="%1."/>
      <w:numFmt w:val="upperLetter"/>
      <w:start w:val="1"/>
    </w:lvl>
  </w:abstractNum>
  <w:abstractNum w:abstractNumId="42">
    <w:nsid w:val="579478FE"/>
    <w:multiLevelType w:val="hybridMultilevel"/>
    <w:lvl w:ilvl="0">
      <w:lvlJc w:val="left"/>
      <w:lvlText w:val="%1."/>
      <w:numFmt w:val="decimal"/>
      <w:start w:val="1"/>
    </w:lvl>
  </w:abstractNum>
  <w:abstractNum w:abstractNumId="43">
    <w:nsid w:val="749ABB43"/>
    <w:multiLevelType w:val="hybridMultilevel"/>
    <w:lvl w:ilvl="0">
      <w:lvlJc w:val="left"/>
      <w:lvlText w:val="%1."/>
      <w:numFmt w:val="decimal"/>
      <w:start w:val="4"/>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1."/>
      <w:numFmt w:val="decimal"/>
      <w:start w:val="2"/>
    </w:lvl>
    <w:lvl w:ilvl="1">
      <w:lvlJc w:val="left"/>
      <w:lvlText w:val="(%2)"/>
      <w:numFmt w:val="lowerLetter"/>
      <w:start w:val="1"/>
    </w:lvl>
  </w:abstractNum>
  <w:abstractNum w:abstractNumId="46">
    <w:nsid w:val="79A1DEAA"/>
    <w:multiLevelType w:val="hybridMultilevel"/>
    <w:lvl w:ilvl="0">
      <w:lvlJc w:val="left"/>
      <w:lvlText w:val="%1."/>
      <w:numFmt w:val="decimal"/>
      <w:start w:val="3"/>
    </w:lvl>
    <w:lvl w:ilvl="1">
      <w:lvlJc w:val="left"/>
      <w:lvlText w:val="(%2)"/>
      <w:numFmt w:val="lowerLetter"/>
      <w:start w:val="1"/>
    </w:lvl>
  </w:abstractNum>
  <w:abstractNum w:abstractNumId="47">
    <w:nsid w:val="75C6C33A"/>
    <w:multiLevelType w:val="hybridMultilevel"/>
    <w:lvl w:ilvl="0">
      <w:lvlJc w:val="left"/>
      <w:lvlText w:val="%1."/>
      <w:numFmt w:val="decimal"/>
      <w:start w:val="6"/>
    </w:lvl>
    <w:lvl w:ilvl="1">
      <w:lvlJc w:val="left"/>
      <w:lvlText w:val="(%2)"/>
      <w:numFmt w:val="lowerLetter"/>
      <w:start w:val="1"/>
    </w:lvl>
  </w:abstractNum>
  <w:abstractNum w:abstractNumId="48">
    <w:nsid w:val="12E685FB"/>
    <w:multiLevelType w:val="hybridMultilevel"/>
    <w:lvl w:ilvl="0">
      <w:lvlJc w:val="left"/>
      <w:lvlText w:val="%1"/>
      <w:numFmt w:val="decimal"/>
      <w:start w:val="1"/>
    </w:lvl>
    <w:lvl w:ilvl="1">
      <w:lvlJc w:val="left"/>
      <w:lvlText w:val="(%2)"/>
      <w:numFmt w:val="lowerLetter"/>
      <w:start w:val="3"/>
    </w:lvl>
  </w:abstractNum>
  <w:abstractNum w:abstractNumId="49">
    <w:nsid w:val="70C6A529"/>
    <w:multiLevelType w:val="hybridMultilevel"/>
    <w:lvl w:ilvl="0">
      <w:lvlJc w:val="left"/>
      <w:lvlText w:val="%1."/>
      <w:numFmt w:val="decimal"/>
      <w:start w:val="8"/>
    </w:lvl>
    <w:lvl w:ilvl="1">
      <w:lvlJc w:val="left"/>
      <w:lvlText w:val="%2"/>
      <w:numFmt w:val="lowerLetter"/>
      <w:start w:val="1"/>
    </w:lvl>
  </w:abstractNum>
  <w:abstractNum w:abstractNumId="50">
    <w:nsid w:val="520EEDD1"/>
    <w:multiLevelType w:val="hybridMultilevel"/>
    <w:lvl w:ilvl="0">
      <w:lvlJc w:val="left"/>
      <w:lvlText w:val="%1."/>
      <w:numFmt w:val="decimal"/>
      <w:start w:val="12"/>
    </w:lvl>
  </w:abstractNum>
  <w:abstractNum w:abstractNumId="51">
    <w:nsid w:val="374A3FE6"/>
    <w:multiLevelType w:val="hybridMultilevel"/>
    <w:lvl w:ilvl="0">
      <w:lvlJc w:val="left"/>
      <w:lvlText w:val="%1."/>
      <w:numFmt w:val="decimal"/>
      <w:start w:val="14"/>
    </w:lvl>
  </w:abstractNum>
  <w:abstractNum w:abstractNumId="52">
    <w:nsid w:val="4F4EF005"/>
    <w:multiLevelType w:val="hybridMultilevel"/>
    <w:lvl w:ilvl="0">
      <w:lvlJc w:val="left"/>
      <w:lvlText w:val="%1."/>
      <w:numFmt w:val="decimal"/>
      <w:start w:val="19"/>
    </w:lvl>
  </w:abstractNum>
  <w:abstractNum w:abstractNumId="53">
    <w:nsid w:val="23F9C13C"/>
    <w:multiLevelType w:val="hybridMultilevel"/>
    <w:lvl w:ilvl="0">
      <w:lvlJc w:val="left"/>
      <w:lvlText w:val="%1."/>
      <w:numFmt w:val="decimal"/>
      <w:start w:val="20"/>
    </w:lvl>
  </w:abstractNum>
  <w:abstractNum w:abstractNumId="54">
    <w:nsid w:val="649BB77C"/>
    <w:multiLevelType w:val="hybridMultilevel"/>
    <w:lvl w:ilvl="0">
      <w:lvlJc w:val="left"/>
      <w:lvlText w:val="(%1)"/>
      <w:numFmt w:val="decimal"/>
      <w:start w:val="30"/>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2019-12-13T17:40:08Z</dcterms:created>
  <dcterms:modified xsi:type="dcterms:W3CDTF">2019-12-13T17:40:08Z</dcterms:modified>
</cp:coreProperties>
</file>