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2"/>
          <w:szCs w:val="22"/>
          <w:b w:val="1"/>
          <w:bCs w:val="1"/>
          <w:color w:val="auto"/>
        </w:rPr>
        <w:t>UNITED STATES</w:t>
      </w:r>
    </w:p>
    <w:p>
      <w:pPr>
        <w:spacing w:after="0" w:line="28"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SECURITIES AND EXCHANGE COMMISSION</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18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3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 PURSUANT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TO SECTION 13 OR 15(D) OF</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THE SECURITIES EXCHANGE ACT OF 1934</w:t>
      </w:r>
    </w:p>
    <w:p>
      <w:pPr>
        <w:spacing w:after="0" w:line="21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report (Date of earliest event reported): November 24, 2015</w:t>
      </w:r>
    </w:p>
    <w:p>
      <w:pPr>
        <w:spacing w:after="0" w:line="200" w:lineRule="exact"/>
        <w:rPr>
          <w:sz w:val="24"/>
          <w:szCs w:val="24"/>
          <w:color w:val="auto"/>
        </w:rPr>
      </w:pPr>
    </w:p>
    <w:p>
      <w:pPr>
        <w:spacing w:after="0" w:line="224" w:lineRule="exact"/>
        <w:rPr>
          <w:sz w:val="24"/>
          <w:szCs w:val="24"/>
          <w:color w:val="auto"/>
        </w:rPr>
      </w:pPr>
    </w:p>
    <w:p>
      <w:pPr>
        <w:jc w:val="center"/>
        <w:spacing w:after="0"/>
        <w:rPr>
          <w:sz w:val="20"/>
          <w:szCs w:val="20"/>
          <w:color w:val="auto"/>
        </w:rPr>
      </w:pPr>
      <w:r>
        <w:rPr>
          <w:rFonts w:ascii="Arial" w:cs="Arial" w:eastAsia="Arial" w:hAnsi="Arial"/>
          <w:sz w:val="29"/>
          <w:szCs w:val="29"/>
          <w:b w:val="1"/>
          <w:bCs w:val="1"/>
          <w:u w:val="single" w:color="auto"/>
          <w:color w:val="auto"/>
        </w:rPr>
        <w:t>ClearOne, Inc.</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5" w:lineRule="exact"/>
        <w:rPr>
          <w:sz w:val="24"/>
          <w:szCs w:val="24"/>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Utah</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(State or Other Jurisdiction of Incorporation)</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20"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3900" w:type="dxa"/>
            <w:vAlign w:val="bottom"/>
            <w:gridSpan w:val="2"/>
          </w:tcPr>
          <w:p>
            <w:pPr>
              <w:ind w:left="1640"/>
              <w:spacing w:after="0"/>
              <w:rPr>
                <w:sz w:val="20"/>
                <w:szCs w:val="20"/>
                <w:color w:val="auto"/>
              </w:rPr>
            </w:pPr>
            <w:r>
              <w:rPr>
                <w:rFonts w:ascii="Arial" w:cs="Arial" w:eastAsia="Arial" w:hAnsi="Arial"/>
                <w:sz w:val="18"/>
                <w:szCs w:val="18"/>
                <w:b w:val="1"/>
                <w:bCs w:val="1"/>
                <w:color w:val="auto"/>
              </w:rPr>
              <w:t>Utah</w:t>
            </w:r>
          </w:p>
        </w:tc>
        <w:tc>
          <w:tcPr>
            <w:tcW w:w="3880" w:type="dxa"/>
            <w:vAlign w:val="bottom"/>
          </w:tcPr>
          <w:p>
            <w:pPr>
              <w:jc w:val="right"/>
              <w:ind w:right="1450"/>
              <w:spacing w:after="0"/>
              <w:rPr>
                <w:sz w:val="20"/>
                <w:szCs w:val="20"/>
                <w:color w:val="auto"/>
              </w:rPr>
            </w:pPr>
            <w:r>
              <w:rPr>
                <w:rFonts w:ascii="Arial" w:cs="Arial" w:eastAsia="Arial" w:hAnsi="Arial"/>
                <w:sz w:val="18"/>
                <w:szCs w:val="18"/>
                <w:b w:val="1"/>
                <w:bCs w:val="1"/>
                <w:color w:val="auto"/>
              </w:rPr>
              <w:t>001-33660</w:t>
            </w:r>
          </w:p>
        </w:tc>
        <w:tc>
          <w:tcPr>
            <w:tcW w:w="220" w:type="dxa"/>
            <w:vAlign w:val="bottom"/>
          </w:tcPr>
          <w:p>
            <w:pPr>
              <w:spacing w:after="0"/>
              <w:rPr>
                <w:sz w:val="20"/>
                <w:szCs w:val="20"/>
                <w:color w:val="auto"/>
              </w:rPr>
            </w:pPr>
          </w:p>
        </w:tc>
        <w:tc>
          <w:tcPr>
            <w:tcW w:w="3420" w:type="dxa"/>
            <w:vAlign w:val="bottom"/>
          </w:tcPr>
          <w:p>
            <w:pPr>
              <w:jc w:val="right"/>
              <w:ind w:right="1190"/>
              <w:spacing w:after="0"/>
              <w:rPr>
                <w:sz w:val="20"/>
                <w:szCs w:val="20"/>
                <w:color w:val="auto"/>
              </w:rPr>
            </w:pPr>
            <w:r>
              <w:rPr>
                <w:rFonts w:ascii="Arial" w:cs="Arial" w:eastAsia="Arial" w:hAnsi="Arial"/>
                <w:sz w:val="18"/>
                <w:szCs w:val="18"/>
                <w:b w:val="1"/>
                <w:bCs w:val="1"/>
                <w:color w:val="auto"/>
              </w:rPr>
              <w:t>87-0398877</w:t>
            </w:r>
          </w:p>
        </w:tc>
      </w:tr>
      <w:tr>
        <w:trPr>
          <w:trHeight w:val="27"/>
        </w:trPr>
        <w:tc>
          <w:tcPr>
            <w:tcW w:w="366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388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3420" w:type="dxa"/>
            <w:vAlign w:val="bottom"/>
            <w:tcBorders>
              <w:bottom w:val="single" w:sz="8" w:color="auto"/>
            </w:tcBorders>
          </w:tcPr>
          <w:p>
            <w:pPr>
              <w:spacing w:after="0"/>
              <w:rPr>
                <w:sz w:val="2"/>
                <w:szCs w:val="2"/>
                <w:color w:val="auto"/>
              </w:rPr>
            </w:pPr>
          </w:p>
        </w:tc>
      </w:tr>
      <w:tr>
        <w:trPr>
          <w:trHeight w:val="222"/>
        </w:trPr>
        <w:tc>
          <w:tcPr>
            <w:tcW w:w="3900" w:type="dxa"/>
            <w:vAlign w:val="bottom"/>
            <w:gridSpan w:val="2"/>
          </w:tcPr>
          <w:p>
            <w:pPr>
              <w:jc w:val="center"/>
              <w:ind w:right="160"/>
              <w:spacing w:after="0"/>
              <w:rPr>
                <w:sz w:val="20"/>
                <w:szCs w:val="20"/>
                <w:color w:val="auto"/>
              </w:rPr>
            </w:pPr>
            <w:r>
              <w:rPr>
                <w:rFonts w:ascii="Arial" w:cs="Arial" w:eastAsia="Arial" w:hAnsi="Arial"/>
                <w:sz w:val="18"/>
                <w:szCs w:val="18"/>
                <w:color w:val="auto"/>
                <w:w w:val="92"/>
              </w:rPr>
              <w:t>(State or other jurisdiction</w:t>
            </w:r>
          </w:p>
        </w:tc>
        <w:tc>
          <w:tcPr>
            <w:tcW w:w="3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420" w:type="dxa"/>
            <w:vAlign w:val="bottom"/>
          </w:tcPr>
          <w:p>
            <w:pPr>
              <w:jc w:val="center"/>
              <w:spacing w:after="0"/>
              <w:rPr>
                <w:sz w:val="20"/>
                <w:szCs w:val="20"/>
                <w:color w:val="auto"/>
              </w:rPr>
            </w:pPr>
            <w:r>
              <w:rPr>
                <w:rFonts w:ascii="Arial" w:cs="Arial" w:eastAsia="Arial" w:hAnsi="Arial"/>
                <w:sz w:val="18"/>
                <w:szCs w:val="18"/>
                <w:color w:val="auto"/>
                <w:w w:val="93"/>
              </w:rPr>
              <w:t>(I.R.S. Employer</w:t>
            </w:r>
          </w:p>
        </w:tc>
      </w:tr>
      <w:tr>
        <w:trPr>
          <w:trHeight w:val="230"/>
        </w:trPr>
        <w:tc>
          <w:tcPr>
            <w:tcW w:w="3900" w:type="dxa"/>
            <w:vAlign w:val="bottom"/>
            <w:gridSpan w:val="2"/>
          </w:tcPr>
          <w:p>
            <w:pPr>
              <w:jc w:val="center"/>
              <w:ind w:right="160"/>
              <w:spacing w:after="0"/>
              <w:rPr>
                <w:sz w:val="20"/>
                <w:szCs w:val="20"/>
                <w:color w:val="auto"/>
              </w:rPr>
            </w:pPr>
            <w:r>
              <w:rPr>
                <w:rFonts w:ascii="Arial" w:cs="Arial" w:eastAsia="Arial" w:hAnsi="Arial"/>
                <w:sz w:val="18"/>
                <w:szCs w:val="18"/>
                <w:color w:val="auto"/>
                <w:w w:val="93"/>
              </w:rPr>
              <w:t>of incorporation)</w:t>
            </w:r>
          </w:p>
        </w:tc>
        <w:tc>
          <w:tcPr>
            <w:tcW w:w="4100" w:type="dxa"/>
            <w:vAlign w:val="bottom"/>
            <w:gridSpan w:val="2"/>
          </w:tcPr>
          <w:p>
            <w:pPr>
              <w:jc w:val="center"/>
              <w:ind w:right="220"/>
              <w:spacing w:after="0"/>
              <w:rPr>
                <w:sz w:val="20"/>
                <w:szCs w:val="20"/>
                <w:color w:val="auto"/>
              </w:rPr>
            </w:pPr>
            <w:r>
              <w:rPr>
                <w:rFonts w:ascii="Arial" w:cs="Arial" w:eastAsia="Arial" w:hAnsi="Arial"/>
                <w:sz w:val="18"/>
                <w:szCs w:val="18"/>
                <w:color w:val="auto"/>
                <w:w w:val="93"/>
              </w:rPr>
              <w:t>(Commission File Number)</w:t>
            </w:r>
          </w:p>
        </w:tc>
        <w:tc>
          <w:tcPr>
            <w:tcW w:w="3420" w:type="dxa"/>
            <w:vAlign w:val="bottom"/>
          </w:tcPr>
          <w:p>
            <w:pPr>
              <w:jc w:val="center"/>
              <w:spacing w:after="0"/>
              <w:rPr>
                <w:sz w:val="20"/>
                <w:szCs w:val="20"/>
                <w:color w:val="auto"/>
              </w:rPr>
            </w:pPr>
            <w:r>
              <w:rPr>
                <w:rFonts w:ascii="Arial" w:cs="Arial" w:eastAsia="Arial" w:hAnsi="Arial"/>
                <w:sz w:val="18"/>
                <w:szCs w:val="18"/>
                <w:color w:val="auto"/>
                <w:w w:val="95"/>
              </w:rPr>
              <w:t>Identification No.)</w:t>
            </w:r>
          </w:p>
        </w:tc>
      </w:tr>
    </w:tbl>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0"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9020" w:type="dxa"/>
            <w:vAlign w:val="bottom"/>
            <w:gridSpan w:val="6"/>
          </w:tcPr>
          <w:p>
            <w:pPr>
              <w:jc w:val="center"/>
              <w:ind w:right="160"/>
              <w:spacing w:after="0"/>
              <w:rPr>
                <w:sz w:val="20"/>
                <w:szCs w:val="20"/>
                <w:color w:val="auto"/>
              </w:rPr>
            </w:pPr>
            <w:r>
              <w:rPr>
                <w:rFonts w:ascii="Arial" w:cs="Arial" w:eastAsia="Arial" w:hAnsi="Arial"/>
                <w:sz w:val="18"/>
                <w:szCs w:val="18"/>
                <w:b w:val="1"/>
                <w:bCs w:val="1"/>
                <w:color w:val="auto"/>
                <w:w w:val="90"/>
              </w:rPr>
              <w:t>5225 Wiley Post Way, Suite 500</w:t>
            </w:r>
          </w:p>
        </w:tc>
        <w:tc>
          <w:tcPr>
            <w:tcW w:w="2400" w:type="dxa"/>
            <w:vAlign w:val="bottom"/>
          </w:tcPr>
          <w:p>
            <w:pPr>
              <w:spacing w:after="0"/>
              <w:rPr>
                <w:sz w:val="18"/>
                <w:szCs w:val="18"/>
                <w:color w:val="auto"/>
              </w:rPr>
            </w:pPr>
          </w:p>
        </w:tc>
      </w:tr>
      <w:tr>
        <w:trPr>
          <w:trHeight w:val="234"/>
        </w:trPr>
        <w:tc>
          <w:tcPr>
            <w:tcW w:w="9020" w:type="dxa"/>
            <w:vAlign w:val="bottom"/>
            <w:gridSpan w:val="6"/>
          </w:tcPr>
          <w:p>
            <w:pPr>
              <w:jc w:val="center"/>
              <w:ind w:right="160"/>
              <w:spacing w:after="0"/>
              <w:rPr>
                <w:sz w:val="20"/>
                <w:szCs w:val="20"/>
                <w:color w:val="auto"/>
              </w:rPr>
            </w:pPr>
            <w:r>
              <w:rPr>
                <w:rFonts w:ascii="Arial" w:cs="Arial" w:eastAsia="Arial" w:hAnsi="Arial"/>
                <w:sz w:val="18"/>
                <w:szCs w:val="18"/>
                <w:b w:val="1"/>
                <w:bCs w:val="1"/>
                <w:color w:val="auto"/>
                <w:w w:val="93"/>
              </w:rPr>
              <w:t>Salt Lake City, Utah</w:t>
            </w:r>
          </w:p>
        </w:tc>
        <w:tc>
          <w:tcPr>
            <w:tcW w:w="2400" w:type="dxa"/>
            <w:vAlign w:val="bottom"/>
          </w:tcPr>
          <w:p>
            <w:pPr>
              <w:jc w:val="right"/>
              <w:ind w:right="850"/>
              <w:spacing w:after="0"/>
              <w:rPr>
                <w:sz w:val="20"/>
                <w:szCs w:val="20"/>
                <w:color w:val="auto"/>
              </w:rPr>
            </w:pPr>
            <w:r>
              <w:rPr>
                <w:rFonts w:ascii="Arial" w:cs="Arial" w:eastAsia="Arial" w:hAnsi="Arial"/>
                <w:sz w:val="18"/>
                <w:szCs w:val="18"/>
                <w:b w:val="1"/>
                <w:bCs w:val="1"/>
                <w:color w:val="auto"/>
              </w:rPr>
              <w:t>84116</w:t>
            </w:r>
          </w:p>
        </w:tc>
      </w:tr>
      <w:tr>
        <w:trPr>
          <w:trHeight w:val="27"/>
        </w:trPr>
        <w:tc>
          <w:tcPr>
            <w:tcW w:w="5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400" w:type="dxa"/>
            <w:vAlign w:val="bottom"/>
            <w:tcBorders>
              <w:bottom w:val="single" w:sz="8" w:color="auto"/>
            </w:tcBorders>
          </w:tcPr>
          <w:p>
            <w:pPr>
              <w:spacing w:after="0"/>
              <w:rPr>
                <w:sz w:val="2"/>
                <w:szCs w:val="2"/>
                <w:color w:val="auto"/>
              </w:rPr>
            </w:pPr>
          </w:p>
        </w:tc>
      </w:tr>
      <w:tr>
        <w:trPr>
          <w:trHeight w:val="237"/>
        </w:trPr>
        <w:tc>
          <w:tcPr>
            <w:tcW w:w="9020" w:type="dxa"/>
            <w:vAlign w:val="bottom"/>
            <w:gridSpan w:val="6"/>
          </w:tcPr>
          <w:p>
            <w:pPr>
              <w:ind w:left="2980"/>
              <w:spacing w:after="0"/>
              <w:rPr>
                <w:sz w:val="20"/>
                <w:szCs w:val="20"/>
                <w:color w:val="auto"/>
              </w:rPr>
            </w:pPr>
            <w:r>
              <w:rPr>
                <w:rFonts w:ascii="Arial" w:cs="Arial" w:eastAsia="Arial" w:hAnsi="Arial"/>
                <w:sz w:val="18"/>
                <w:szCs w:val="18"/>
                <w:color w:val="auto"/>
              </w:rPr>
              <w:t>(Address of principal executive offices)</w:t>
            </w:r>
          </w:p>
        </w:tc>
        <w:tc>
          <w:tcPr>
            <w:tcW w:w="2400" w:type="dxa"/>
            <w:vAlign w:val="bottom"/>
          </w:tcPr>
          <w:p>
            <w:pPr>
              <w:jc w:val="right"/>
              <w:ind w:right="710"/>
              <w:spacing w:after="0"/>
              <w:rPr>
                <w:sz w:val="20"/>
                <w:szCs w:val="20"/>
                <w:color w:val="auto"/>
              </w:rPr>
            </w:pPr>
            <w:r>
              <w:rPr>
                <w:rFonts w:ascii="Arial" w:cs="Arial" w:eastAsia="Arial" w:hAnsi="Arial"/>
                <w:sz w:val="18"/>
                <w:szCs w:val="18"/>
                <w:color w:val="auto"/>
              </w:rPr>
              <w:t>(Zip Code)</w:t>
            </w:r>
          </w:p>
        </w:tc>
      </w:tr>
      <w:tr>
        <w:trPr>
          <w:trHeight w:val="635"/>
        </w:trPr>
        <w:tc>
          <w:tcPr>
            <w:tcW w:w="6400" w:type="dxa"/>
            <w:vAlign w:val="bottom"/>
            <w:gridSpan w:val="4"/>
          </w:tcPr>
          <w:p>
            <w:pPr>
              <w:jc w:val="center"/>
              <w:ind w:left="4950"/>
              <w:spacing w:after="0"/>
              <w:rPr>
                <w:sz w:val="20"/>
                <w:szCs w:val="20"/>
                <w:color w:val="auto"/>
              </w:rPr>
            </w:pPr>
            <w:r>
              <w:rPr>
                <w:rFonts w:ascii="Arial" w:cs="Arial" w:eastAsia="Arial" w:hAnsi="Arial"/>
                <w:sz w:val="18"/>
                <w:szCs w:val="18"/>
                <w:b w:val="1"/>
                <w:bCs w:val="1"/>
                <w:color w:val="auto"/>
                <w:w w:val="91"/>
              </w:rPr>
              <w:t>+1 (801) 975-7200</w:t>
            </w:r>
          </w:p>
        </w:tc>
        <w:tc>
          <w:tcPr>
            <w:tcW w:w="2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0" w:type="dxa"/>
            <w:vAlign w:val="bottom"/>
          </w:tcPr>
          <w:p>
            <w:pPr>
              <w:spacing w:after="0"/>
              <w:rPr>
                <w:sz w:val="24"/>
                <w:szCs w:val="24"/>
                <w:color w:val="auto"/>
              </w:rPr>
            </w:pPr>
          </w:p>
        </w:tc>
      </w:tr>
      <w:tr>
        <w:trPr>
          <w:trHeight w:val="20"/>
        </w:trPr>
        <w:tc>
          <w:tcPr>
            <w:tcW w:w="50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620" w:type="dxa"/>
            <w:vAlign w:val="bottom"/>
            <w:gridSpan w:val="2"/>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r>
      <w:tr>
        <w:trPr>
          <w:trHeight w:val="237"/>
        </w:trPr>
        <w:tc>
          <w:tcPr>
            <w:tcW w:w="9020" w:type="dxa"/>
            <w:vAlign w:val="bottom"/>
            <w:gridSpan w:val="6"/>
          </w:tcPr>
          <w:p>
            <w:pPr>
              <w:jc w:val="center"/>
              <w:ind w:left="2310"/>
              <w:spacing w:after="0"/>
              <w:rPr>
                <w:sz w:val="20"/>
                <w:szCs w:val="20"/>
                <w:color w:val="auto"/>
              </w:rPr>
            </w:pPr>
            <w:r>
              <w:rPr>
                <w:rFonts w:ascii="Arial" w:cs="Arial" w:eastAsia="Arial" w:hAnsi="Arial"/>
                <w:sz w:val="18"/>
                <w:szCs w:val="18"/>
                <w:color w:val="auto"/>
                <w:w w:val="90"/>
              </w:rPr>
              <w:t>(Registrant's Telephone Number, Including Area Code)</w:t>
            </w:r>
          </w:p>
        </w:tc>
        <w:tc>
          <w:tcPr>
            <w:tcW w:w="2400" w:type="dxa"/>
            <w:vAlign w:val="bottom"/>
          </w:tcPr>
          <w:p>
            <w:pPr>
              <w:spacing w:after="0"/>
              <w:rPr>
                <w:sz w:val="20"/>
                <w:szCs w:val="20"/>
                <w:color w:val="auto"/>
              </w:rPr>
            </w:pPr>
          </w:p>
        </w:tc>
      </w:tr>
      <w:tr>
        <w:trPr>
          <w:trHeight w:val="392"/>
        </w:trPr>
        <w:tc>
          <w:tcPr>
            <w:tcW w:w="5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Not applicable</w:t>
            </w:r>
          </w:p>
        </w:tc>
        <w:tc>
          <w:tcPr>
            <w:tcW w:w="2740" w:type="dxa"/>
            <w:vAlign w:val="bottom"/>
            <w:gridSpan w:val="3"/>
          </w:tcPr>
          <w:p>
            <w:pPr>
              <w:spacing w:after="0"/>
              <w:rPr>
                <w:sz w:val="24"/>
                <w:szCs w:val="24"/>
                <w:color w:val="auto"/>
              </w:rPr>
            </w:pPr>
          </w:p>
        </w:tc>
        <w:tc>
          <w:tcPr>
            <w:tcW w:w="2400" w:type="dxa"/>
            <w:vAlign w:val="bottom"/>
          </w:tcPr>
          <w:p>
            <w:pPr>
              <w:spacing w:after="0"/>
              <w:rPr>
                <w:sz w:val="24"/>
                <w:szCs w:val="24"/>
                <w:color w:val="auto"/>
              </w:rPr>
            </w:pPr>
          </w:p>
        </w:tc>
      </w:tr>
      <w:tr>
        <w:trPr>
          <w:trHeight w:val="237"/>
        </w:trPr>
        <w:tc>
          <w:tcPr>
            <w:tcW w:w="9020" w:type="dxa"/>
            <w:vAlign w:val="bottom"/>
            <w:gridSpan w:val="6"/>
          </w:tcPr>
          <w:p>
            <w:pPr>
              <w:jc w:val="center"/>
              <w:ind w:left="2310"/>
              <w:spacing w:after="0"/>
              <w:rPr>
                <w:sz w:val="20"/>
                <w:szCs w:val="20"/>
                <w:color w:val="auto"/>
              </w:rPr>
            </w:pPr>
            <w:r>
              <w:rPr>
                <w:rFonts w:ascii="Arial" w:cs="Arial" w:eastAsia="Arial" w:hAnsi="Arial"/>
                <w:sz w:val="18"/>
                <w:szCs w:val="18"/>
                <w:color w:val="auto"/>
                <w:w w:val="90"/>
              </w:rPr>
              <w:t>(Former Name or Former Address, if Changed Since Last Report)</w:t>
            </w:r>
          </w:p>
        </w:tc>
        <w:tc>
          <w:tcPr>
            <w:tcW w:w="2400" w:type="dxa"/>
            <w:vAlign w:val="bottom"/>
          </w:tcPr>
          <w:p>
            <w:pPr>
              <w:spacing w:after="0"/>
              <w:rPr>
                <w:sz w:val="20"/>
                <w:szCs w:val="20"/>
                <w:color w:val="auto"/>
              </w:rPr>
            </w:pPr>
          </w:p>
        </w:tc>
      </w:tr>
    </w:tbl>
    <w:p>
      <w:pPr>
        <w:spacing w:after="0" w:line="202" w:lineRule="exact"/>
        <w:rPr>
          <w:sz w:val="24"/>
          <w:szCs w:val="24"/>
          <w:color w:val="auto"/>
        </w:rPr>
      </w:pPr>
    </w:p>
    <w:p>
      <w:pPr>
        <w:ind w:right="1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140" w:type="dxa"/>
            <w:vAlign w:val="bottom"/>
          </w:tcPr>
          <w:p>
            <w:pPr>
              <w:jc w:val="right"/>
              <w:spacing w:after="0"/>
              <w:rPr>
                <w:sz w:val="20"/>
                <w:szCs w:val="20"/>
                <w:color w:val="auto"/>
              </w:rPr>
            </w:pPr>
            <w:r>
              <w:rPr>
                <w:rFonts w:ascii="Arial" w:cs="Arial" w:eastAsia="Arial" w:hAnsi="Arial"/>
                <w:sz w:val="18"/>
                <w:szCs w:val="18"/>
                <w:color w:val="auto"/>
                <w:w w:val="78"/>
              </w:rPr>
              <w:t>[</w:t>
            </w:r>
          </w:p>
        </w:tc>
        <w:tc>
          <w:tcPr>
            <w:tcW w:w="8300" w:type="dxa"/>
            <w:vAlign w:val="bottom"/>
            <w:gridSpan w:val="2"/>
          </w:tcPr>
          <w:p>
            <w:pPr>
              <w:ind w:left="60"/>
              <w:spacing w:after="0"/>
              <w:rPr>
                <w:sz w:val="20"/>
                <w:szCs w:val="20"/>
                <w:color w:val="auto"/>
              </w:rPr>
            </w:pPr>
            <w:r>
              <w:rPr>
                <w:rFonts w:ascii="Arial" w:cs="Arial" w:eastAsia="Arial" w:hAnsi="Arial"/>
                <w:sz w:val="18"/>
                <w:szCs w:val="18"/>
                <w:color w:val="auto"/>
              </w:rPr>
              <w:t>] Written communications pursuant to Rule 425 under the Securities Act (17 CFR 230.425)</w:t>
            </w:r>
          </w:p>
        </w:tc>
      </w:tr>
      <w:tr>
        <w:trPr>
          <w:trHeight w:val="216"/>
        </w:trPr>
        <w:tc>
          <w:tcPr>
            <w:tcW w:w="140" w:type="dxa"/>
            <w:vAlign w:val="bottom"/>
          </w:tcPr>
          <w:p>
            <w:pPr>
              <w:jc w:val="right"/>
              <w:spacing w:after="0"/>
              <w:rPr>
                <w:sz w:val="20"/>
                <w:szCs w:val="20"/>
                <w:color w:val="auto"/>
              </w:rPr>
            </w:pPr>
            <w:r>
              <w:rPr>
                <w:rFonts w:ascii="Arial" w:cs="Arial" w:eastAsia="Arial" w:hAnsi="Arial"/>
                <w:sz w:val="18"/>
                <w:szCs w:val="18"/>
                <w:color w:val="auto"/>
                <w:w w:val="78"/>
              </w:rPr>
              <w:t>[</w:t>
            </w:r>
          </w:p>
        </w:tc>
        <w:tc>
          <w:tcPr>
            <w:tcW w:w="160" w:type="dxa"/>
            <w:vAlign w:val="bottom"/>
          </w:tcPr>
          <w:p>
            <w:pPr>
              <w:ind w:left="60"/>
              <w:spacing w:after="0"/>
              <w:rPr>
                <w:sz w:val="20"/>
                <w:szCs w:val="20"/>
                <w:color w:val="auto"/>
              </w:rPr>
            </w:pPr>
            <w:r>
              <w:rPr>
                <w:rFonts w:ascii="Arial" w:cs="Arial" w:eastAsia="Arial" w:hAnsi="Arial"/>
                <w:sz w:val="18"/>
                <w:szCs w:val="18"/>
                <w:color w:val="auto"/>
              </w:rPr>
              <w:t>]</w:t>
            </w:r>
          </w:p>
        </w:tc>
        <w:tc>
          <w:tcPr>
            <w:tcW w:w="8140" w:type="dxa"/>
            <w:vAlign w:val="bottom"/>
          </w:tcPr>
          <w:p>
            <w:pPr>
              <w:ind w:left="60"/>
              <w:spacing w:after="0"/>
              <w:rPr>
                <w:sz w:val="20"/>
                <w:szCs w:val="20"/>
                <w:color w:val="auto"/>
              </w:rPr>
            </w:pPr>
            <w:r>
              <w:rPr>
                <w:rFonts w:ascii="Arial" w:cs="Arial" w:eastAsia="Arial" w:hAnsi="Arial"/>
                <w:sz w:val="18"/>
                <w:szCs w:val="18"/>
                <w:color w:val="auto"/>
              </w:rPr>
              <w:t>Soliciting material pursuant to Rule 14a-12 under the Exchange Act (17 CFR 240.14a-12)</w:t>
            </w:r>
          </w:p>
        </w:tc>
      </w:tr>
      <w:tr>
        <w:trPr>
          <w:trHeight w:val="216"/>
        </w:trPr>
        <w:tc>
          <w:tcPr>
            <w:tcW w:w="140" w:type="dxa"/>
            <w:vAlign w:val="bottom"/>
          </w:tcPr>
          <w:p>
            <w:pPr>
              <w:jc w:val="right"/>
              <w:spacing w:after="0"/>
              <w:rPr>
                <w:sz w:val="20"/>
                <w:szCs w:val="20"/>
                <w:color w:val="auto"/>
              </w:rPr>
            </w:pPr>
            <w:r>
              <w:rPr>
                <w:rFonts w:ascii="Arial" w:cs="Arial" w:eastAsia="Arial" w:hAnsi="Arial"/>
                <w:sz w:val="18"/>
                <w:szCs w:val="18"/>
                <w:color w:val="auto"/>
                <w:w w:val="78"/>
              </w:rPr>
              <w:t>[</w:t>
            </w:r>
          </w:p>
        </w:tc>
        <w:tc>
          <w:tcPr>
            <w:tcW w:w="8300" w:type="dxa"/>
            <w:vAlign w:val="bottom"/>
            <w:gridSpan w:val="2"/>
          </w:tcPr>
          <w:p>
            <w:pPr>
              <w:ind w:left="60"/>
              <w:spacing w:after="0"/>
              <w:rPr>
                <w:sz w:val="20"/>
                <w:szCs w:val="20"/>
                <w:color w:val="auto"/>
              </w:rPr>
            </w:pPr>
            <w:r>
              <w:rPr>
                <w:rFonts w:ascii="Arial" w:cs="Arial" w:eastAsia="Arial" w:hAnsi="Arial"/>
                <w:sz w:val="18"/>
                <w:szCs w:val="18"/>
                <w:color w:val="auto"/>
                <w:w w:val="91"/>
              </w:rPr>
              <w:t>] Pre-commencement communications pursuant to Rule 14d-2(b) under the Exchange Act (17 CFR 240.14d-2(b))</w:t>
            </w:r>
          </w:p>
        </w:tc>
      </w:tr>
      <w:tr>
        <w:trPr>
          <w:trHeight w:val="230"/>
        </w:trPr>
        <w:tc>
          <w:tcPr>
            <w:tcW w:w="140" w:type="dxa"/>
            <w:vAlign w:val="bottom"/>
          </w:tcPr>
          <w:p>
            <w:pPr>
              <w:jc w:val="right"/>
              <w:spacing w:after="0"/>
              <w:rPr>
                <w:sz w:val="20"/>
                <w:szCs w:val="20"/>
                <w:color w:val="auto"/>
              </w:rPr>
            </w:pPr>
            <w:r>
              <w:rPr>
                <w:rFonts w:ascii="Arial" w:cs="Arial" w:eastAsia="Arial" w:hAnsi="Arial"/>
                <w:sz w:val="18"/>
                <w:szCs w:val="18"/>
                <w:color w:val="auto"/>
                <w:w w:val="78"/>
              </w:rPr>
              <w:t>[</w:t>
            </w:r>
          </w:p>
        </w:tc>
        <w:tc>
          <w:tcPr>
            <w:tcW w:w="160" w:type="dxa"/>
            <w:vAlign w:val="bottom"/>
          </w:tcPr>
          <w:p>
            <w:pPr>
              <w:ind w:left="60"/>
              <w:spacing w:after="0"/>
              <w:rPr>
                <w:sz w:val="20"/>
                <w:szCs w:val="20"/>
                <w:color w:val="auto"/>
              </w:rPr>
            </w:pPr>
            <w:r>
              <w:rPr>
                <w:rFonts w:ascii="Arial" w:cs="Arial" w:eastAsia="Arial" w:hAnsi="Arial"/>
                <w:sz w:val="18"/>
                <w:szCs w:val="18"/>
                <w:color w:val="auto"/>
              </w:rPr>
              <w:t>]</w:t>
            </w:r>
          </w:p>
        </w:tc>
        <w:tc>
          <w:tcPr>
            <w:tcW w:w="8140" w:type="dxa"/>
            <w:vAlign w:val="bottom"/>
          </w:tcPr>
          <w:p>
            <w:pPr>
              <w:ind w:left="60"/>
              <w:spacing w:after="0"/>
              <w:rPr>
                <w:sz w:val="20"/>
                <w:szCs w:val="20"/>
                <w:color w:val="auto"/>
              </w:rPr>
            </w:pPr>
            <w:r>
              <w:rPr>
                <w:rFonts w:ascii="Arial" w:cs="Arial" w:eastAsia="Arial" w:hAnsi="Arial"/>
                <w:sz w:val="18"/>
                <w:szCs w:val="18"/>
                <w:color w:val="auto"/>
                <w:w w:val="91"/>
              </w:rPr>
              <w:t>Pre-commencement communication pursuant to Rule 13e-4(c) under the Exchange Act (17 CFR 240.13e-4(c))</w:t>
            </w:r>
          </w:p>
        </w:tc>
      </w:tr>
    </w:tbl>
    <w:p>
      <w:pPr>
        <w:sectPr>
          <w:pgSz w:w="11900" w:h="16838" w:orient="portrait"/>
          <w:cols w:equalWidth="0" w:num="1">
            <w:col w:w="11420"/>
          </w:cols>
          <w:pgMar w:left="240" w:top="949" w:right="2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3.01. Notice of Delisting or Failure to Satisfy a Continued Listing Rule or Standard; Transfer of Listing.</w:t>
      </w:r>
    </w:p>
    <w:p>
      <w:pPr>
        <w:spacing w:after="0" w:line="200" w:lineRule="exact"/>
        <w:rPr>
          <w:sz w:val="20"/>
          <w:szCs w:val="20"/>
          <w:color w:val="auto"/>
        </w:rPr>
      </w:pPr>
    </w:p>
    <w:p>
      <w:pPr>
        <w:spacing w:after="0" w:line="245" w:lineRule="exact"/>
        <w:rPr>
          <w:sz w:val="20"/>
          <w:szCs w:val="20"/>
          <w:color w:val="auto"/>
        </w:rPr>
      </w:pPr>
    </w:p>
    <w:p>
      <w:pPr>
        <w:ind w:right="120" w:firstLine="8"/>
        <w:spacing w:after="0" w:line="273" w:lineRule="auto"/>
        <w:tabs>
          <w:tab w:leader="none" w:pos="245" w:val="left"/>
        </w:tabs>
        <w:numPr>
          <w:ilvl w:val="0"/>
          <w:numId w:val="1"/>
        </w:numPr>
        <w:rPr>
          <w:rFonts w:ascii="Arial" w:cs="Arial" w:eastAsia="Arial" w:hAnsi="Arial"/>
          <w:sz w:val="17"/>
          <w:szCs w:val="17"/>
          <w:color w:val="auto"/>
        </w:rPr>
      </w:pPr>
      <w:r>
        <w:rPr>
          <w:rFonts w:ascii="Arial" w:cs="Arial" w:eastAsia="Arial" w:hAnsi="Arial"/>
          <w:sz w:val="17"/>
          <w:szCs w:val="17"/>
          <w:color w:val="auto"/>
        </w:rPr>
        <w:t>On November 24, 2015, ClearOne, Inc. (the “Company”) received a letter from NASDAQ Stock Market stating that the Company no longer complies with NASDAQ Listing Rule 5250(c)(1) as a result of its former auditor McGladrey LLP’s resignation and withdrawal of its audit report on the Company’s financial statements for the year ended December 31, 2014 solely as a result of its determination that it was not independent of the Company for such period and subsequent interim periods and the Company’s delay in filing its Form 10-Q for the period ended September 30, 2015. McGladrey's resignation was not due to any reason related to the Company's financial reporting or accounting operations, policies or practices. Prior to such determination, the Company did not believe there were any issues relating to McGladrey’s independence.</w:t>
      </w:r>
    </w:p>
    <w:p>
      <w:pPr>
        <w:spacing w:after="0" w:line="39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letter was issued by NASDAQ under NASDAQ Listing Rule 5810(c)(2) for the Company’s failure to comply with NASDAQ Listing Rule 5250(c)(1). The Company has 60 calendar days, or until January 25, 2016, to submit to NASDAQ a plan (the “Plan”) to regain compliance with the NASDAQ Listing Rules. The Company intends to (i) complete the re-audit of the Company's consolidated financial statements for the year ended December 31, 2014 with its new auditors and file the new report of Independent Registered Public Accounting Firm relating to the Company's consolidated financial statements for the year ended December 31, 2014, (ii) complete the re-review of the Company’s financial statements for the interim periods ended March 31, 2015 and June 30, 2015 with its new auditors, and (iii) file the Company’s Form 10-Q for the period ended September 30, 2015 as soon as possible and before the Plan has to be submitted to regain compliance.</w:t>
      </w:r>
    </w:p>
    <w:p>
      <w:pPr>
        <w:spacing w:after="0" w:line="200" w:lineRule="exact"/>
        <w:rPr>
          <w:sz w:val="20"/>
          <w:szCs w:val="20"/>
          <w:color w:val="auto"/>
        </w:rPr>
      </w:pPr>
    </w:p>
    <w:p>
      <w:pPr>
        <w:spacing w:after="0" w:line="20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308"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ClearOne, Inc.,</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(Registrant)</w:t>
      </w:r>
    </w:p>
    <w:p>
      <w:pPr>
        <w:spacing w:after="0" w:line="184" w:lineRule="exact"/>
        <w:rPr>
          <w:sz w:val="20"/>
          <w:szCs w:val="20"/>
          <w:color w:val="auto"/>
        </w:rPr>
      </w:pPr>
    </w:p>
    <w:p>
      <w:pPr>
        <w:ind w:left="40"/>
        <w:spacing w:after="0"/>
        <w:tabs>
          <w:tab w:leader="none" w:pos="5500" w:val="left"/>
          <w:tab w:leader="none" w:pos="5960" w:val="left"/>
        </w:tabs>
        <w:rPr>
          <w:sz w:val="20"/>
          <w:szCs w:val="20"/>
          <w:color w:val="auto"/>
        </w:rPr>
      </w:pPr>
      <w:r>
        <w:rPr>
          <w:rFonts w:ascii="Arial" w:cs="Arial" w:eastAsia="Arial" w:hAnsi="Arial"/>
          <w:sz w:val="18"/>
          <w:szCs w:val="18"/>
          <w:color w:val="auto"/>
        </w:rPr>
        <w:t>December 1, 2015</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Zeynep Hakimoglu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3778250</wp:posOffset>
            </wp:positionH>
            <wp:positionV relativeFrom="paragraph">
              <wp:posOffset>31750</wp:posOffset>
            </wp:positionV>
            <wp:extent cx="347345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57"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Zeynep Hakimoglu</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ind w:left="5980"/>
        <w:spacing w:after="0"/>
        <w:rPr>
          <w:sz w:val="20"/>
          <w:szCs w:val="20"/>
          <w:color w:val="auto"/>
        </w:rPr>
      </w:pPr>
      <w:r>
        <w:rPr>
          <w:rFonts w:ascii="Arial" w:cs="Arial" w:eastAsia="Arial" w:hAnsi="Arial"/>
          <w:sz w:val="18"/>
          <w:szCs w:val="18"/>
          <w:i w:val="1"/>
          <w:iCs w:val="1"/>
          <w:color w:val="auto"/>
        </w:rPr>
        <w:t>(Principal Executive Officer)</w:t>
      </w:r>
    </w:p>
    <w:sectPr>
      <w:pgSz w:w="11900" w:h="16838" w:orient="portrait"/>
      <w:cols w:equalWidth="0" w:num="1">
        <w:col w:w="11380"/>
      </w:cols>
      <w:pgMar w:left="240" w:top="796" w:right="2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lowerLetter"/>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2019-12-06T04:16:05Z</dcterms:created>
  <dcterms:modified xsi:type="dcterms:W3CDTF">2019-12-06T04:16:05Z</dcterms:modified>
</cp:coreProperties>
</file>