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217805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u w:val="single" w:color="auto"/>
          <w:color w:val="auto"/>
        </w:rPr>
        <w:t>March 30, 2021 (March 30, 2021)</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u w:val="single" w:color="auto"/>
          <w:color w:val="auto"/>
        </w:rPr>
        <w:t>ClearOne, Inc.</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620" w:type="dxa"/>
            <w:vAlign w:val="bottom"/>
          </w:tcPr>
          <w:p>
            <w:pPr>
              <w:jc w:val="center"/>
              <w:spacing w:after="0"/>
              <w:rPr>
                <w:sz w:val="20"/>
                <w:szCs w:val="20"/>
                <w:color w:val="auto"/>
              </w:rPr>
            </w:pPr>
            <w:r>
              <w:rPr>
                <w:rFonts w:ascii="Arial" w:cs="Arial" w:eastAsia="Arial" w:hAnsi="Arial"/>
                <w:sz w:val="18"/>
                <w:szCs w:val="18"/>
                <w:b w:val="1"/>
                <w:bCs w:val="1"/>
                <w:color w:val="auto"/>
                <w:w w:val="93"/>
              </w:rPr>
              <w:t>Delaware</w:t>
            </w:r>
          </w:p>
        </w:tc>
        <w:tc>
          <w:tcPr>
            <w:tcW w:w="2680" w:type="dxa"/>
            <w:vAlign w:val="bottom"/>
            <w:gridSpan w:val="3"/>
          </w:tcPr>
          <w:p>
            <w:pPr>
              <w:jc w:val="center"/>
              <w:ind w:left="1250"/>
              <w:spacing w:after="0"/>
              <w:rPr>
                <w:sz w:val="20"/>
                <w:szCs w:val="20"/>
                <w:color w:val="auto"/>
              </w:rPr>
            </w:pPr>
            <w:r>
              <w:rPr>
                <w:rFonts w:ascii="Arial" w:cs="Arial" w:eastAsia="Arial" w:hAnsi="Arial"/>
                <w:sz w:val="18"/>
                <w:szCs w:val="18"/>
                <w:b w:val="1"/>
                <w:bCs w:val="1"/>
                <w:color w:val="auto"/>
                <w:w w:val="90"/>
              </w:rPr>
              <w:t>001-33660</w:t>
            </w: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right"/>
              <w:ind w:right="1270"/>
              <w:spacing w:after="0"/>
              <w:rPr>
                <w:sz w:val="20"/>
                <w:szCs w:val="20"/>
                <w:color w:val="auto"/>
              </w:rPr>
            </w:pPr>
            <w:r>
              <w:rPr>
                <w:rFonts w:ascii="Arial" w:cs="Arial" w:eastAsia="Arial" w:hAnsi="Arial"/>
                <w:sz w:val="18"/>
                <w:szCs w:val="18"/>
                <w:b w:val="1"/>
                <w:bCs w:val="1"/>
                <w:color w:val="auto"/>
              </w:rPr>
              <w:t>87-0398877</w:t>
            </w:r>
          </w:p>
        </w:tc>
      </w:tr>
      <w:tr>
        <w:trPr>
          <w:trHeight w:val="195"/>
        </w:trPr>
        <w:tc>
          <w:tcPr>
            <w:tcW w:w="36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(State or Other Jurisdiction</w:t>
            </w:r>
          </w:p>
        </w:tc>
        <w:tc>
          <w:tcPr>
            <w:tcW w:w="220" w:type="dxa"/>
            <w:vAlign w:val="bottom"/>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2500" w:type="dxa"/>
            <w:vAlign w:val="bottom"/>
            <w:tcBorders>
              <w:top w:val="single" w:sz="8" w:color="auto"/>
            </w:tcBorders>
            <w:gridSpan w:val="2"/>
          </w:tcPr>
          <w:p>
            <w:pPr>
              <w:ind w:left="240"/>
              <w:spacing w:after="0" w:line="195" w:lineRule="exact"/>
              <w:rPr>
                <w:sz w:val="20"/>
                <w:szCs w:val="20"/>
                <w:color w:val="auto"/>
              </w:rPr>
            </w:pPr>
            <w:r>
              <w:rPr>
                <w:rFonts w:ascii="Arial" w:cs="Arial" w:eastAsia="Arial" w:hAnsi="Arial"/>
                <w:sz w:val="18"/>
                <w:szCs w:val="18"/>
                <w:color w:val="auto"/>
              </w:rPr>
              <w:t>(Commission</w:t>
            </w:r>
          </w:p>
        </w:tc>
        <w:tc>
          <w:tcPr>
            <w:tcW w:w="200" w:type="dxa"/>
            <w:vAlign w:val="bottom"/>
          </w:tcPr>
          <w:p>
            <w:pPr>
              <w:spacing w:after="0"/>
              <w:rPr>
                <w:sz w:val="16"/>
                <w:szCs w:val="16"/>
                <w:color w:val="auto"/>
              </w:rPr>
            </w:pPr>
          </w:p>
        </w:tc>
        <w:tc>
          <w:tcPr>
            <w:tcW w:w="36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3"/>
              </w:rPr>
              <w:t>(I.R.S. Employer</w:t>
            </w:r>
          </w:p>
        </w:tc>
      </w:tr>
      <w:tr>
        <w:trPr>
          <w:trHeight w:val="230"/>
        </w:trPr>
        <w:tc>
          <w:tcPr>
            <w:tcW w:w="3620" w:type="dxa"/>
            <w:vAlign w:val="bottom"/>
          </w:tcPr>
          <w:p>
            <w:pPr>
              <w:jc w:val="center"/>
              <w:spacing w:after="0"/>
              <w:rPr>
                <w:sz w:val="20"/>
                <w:szCs w:val="20"/>
                <w:color w:val="auto"/>
              </w:rPr>
            </w:pPr>
            <w:r>
              <w:rPr>
                <w:rFonts w:ascii="Arial" w:cs="Arial" w:eastAsia="Arial" w:hAnsi="Arial"/>
                <w:sz w:val="18"/>
                <w:szCs w:val="18"/>
                <w:color w:val="auto"/>
                <w:w w:val="93"/>
              </w:rPr>
              <w:t>of Incorporation)</w:t>
            </w: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700" w:type="dxa"/>
            <w:vAlign w:val="bottom"/>
            <w:gridSpan w:val="3"/>
          </w:tcPr>
          <w:p>
            <w:pPr>
              <w:ind w:left="240"/>
              <w:spacing w:after="0"/>
              <w:rPr>
                <w:sz w:val="20"/>
                <w:szCs w:val="20"/>
                <w:color w:val="auto"/>
              </w:rPr>
            </w:pPr>
            <w:r>
              <w:rPr>
                <w:rFonts w:ascii="Arial" w:cs="Arial" w:eastAsia="Arial" w:hAnsi="Arial"/>
                <w:sz w:val="18"/>
                <w:szCs w:val="18"/>
                <w:color w:val="auto"/>
              </w:rPr>
              <w:t>File Number)</w:t>
            </w:r>
          </w:p>
        </w:tc>
        <w:tc>
          <w:tcPr>
            <w:tcW w:w="3600" w:type="dxa"/>
            <w:vAlign w:val="bottom"/>
          </w:tcPr>
          <w:p>
            <w:pPr>
              <w:jc w:val="center"/>
              <w:spacing w:after="0"/>
              <w:rPr>
                <w:sz w:val="20"/>
                <w:szCs w:val="20"/>
                <w:color w:val="auto"/>
              </w:rPr>
            </w:pPr>
            <w:r>
              <w:rPr>
                <w:rFonts w:ascii="Arial" w:cs="Arial" w:eastAsia="Arial" w:hAnsi="Arial"/>
                <w:sz w:val="18"/>
                <w:szCs w:val="18"/>
                <w:color w:val="auto"/>
                <w:w w:val="95"/>
              </w:rPr>
              <w:t>Identification No.)</w:t>
            </w:r>
          </w:p>
        </w:tc>
      </w:tr>
      <w:tr>
        <w:trPr>
          <w:trHeight w:val="432"/>
        </w:trPr>
        <w:tc>
          <w:tcPr>
            <w:tcW w:w="7640" w:type="dxa"/>
            <w:vAlign w:val="bottom"/>
            <w:gridSpan w:val="6"/>
          </w:tcPr>
          <w:p>
            <w:pPr>
              <w:jc w:val="center"/>
              <w:ind w:right="200"/>
              <w:spacing w:after="0"/>
              <w:rPr>
                <w:sz w:val="20"/>
                <w:szCs w:val="20"/>
                <w:color w:val="auto"/>
              </w:rPr>
            </w:pPr>
            <w:r>
              <w:rPr>
                <w:rFonts w:ascii="Arial" w:cs="Arial" w:eastAsia="Arial" w:hAnsi="Arial"/>
                <w:sz w:val="18"/>
                <w:szCs w:val="18"/>
                <w:b w:val="1"/>
                <w:bCs w:val="1"/>
                <w:color w:val="auto"/>
                <w:w w:val="91"/>
              </w:rPr>
              <w:t>5225 Wiley Post Way, Suite 500, Salt Lake City, Utah</w:t>
            </w:r>
          </w:p>
        </w:tc>
        <w:tc>
          <w:tcPr>
            <w:tcW w:w="3600" w:type="dxa"/>
            <w:vAlign w:val="bottom"/>
          </w:tcPr>
          <w:p>
            <w:pPr>
              <w:jc w:val="right"/>
              <w:ind w:right="1490"/>
              <w:spacing w:after="0"/>
              <w:rPr>
                <w:sz w:val="20"/>
                <w:szCs w:val="20"/>
                <w:color w:val="auto"/>
              </w:rPr>
            </w:pPr>
            <w:r>
              <w:rPr>
                <w:rFonts w:ascii="Arial" w:cs="Arial" w:eastAsia="Arial" w:hAnsi="Arial"/>
                <w:sz w:val="18"/>
                <w:szCs w:val="18"/>
                <w:b w:val="1"/>
                <w:bCs w:val="1"/>
                <w:color w:val="auto"/>
              </w:rPr>
              <w:t>84116</w:t>
            </w:r>
          </w:p>
        </w:tc>
      </w:tr>
      <w:tr>
        <w:trPr>
          <w:trHeight w:val="224"/>
        </w:trPr>
        <w:tc>
          <w:tcPr>
            <w:tcW w:w="7440" w:type="dxa"/>
            <w:vAlign w:val="bottom"/>
            <w:tcBorders>
              <w:top w:val="single" w:sz="8" w:color="auto"/>
            </w:tcBorders>
            <w:gridSpan w:val="5"/>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20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(Zip Code)</w:t>
            </w:r>
          </w:p>
        </w:tc>
      </w:tr>
      <w:tr>
        <w:trPr>
          <w:trHeight w:val="377"/>
        </w:trPr>
        <w:tc>
          <w:tcPr>
            <w:tcW w:w="3620" w:type="dxa"/>
            <w:vAlign w:val="bottom"/>
          </w:tcPr>
          <w:p>
            <w:pPr>
              <w:spacing w:after="0"/>
              <w:rPr>
                <w:sz w:val="24"/>
                <w:szCs w:val="24"/>
                <w:color w:val="auto"/>
              </w:rPr>
            </w:pPr>
          </w:p>
        </w:tc>
        <w:tc>
          <w:tcPr>
            <w:tcW w:w="1320" w:type="dxa"/>
            <w:vAlign w:val="bottom"/>
            <w:gridSpan w:val="2"/>
          </w:tcPr>
          <w:p>
            <w:pPr>
              <w:spacing w:after="0"/>
              <w:rPr>
                <w:sz w:val="24"/>
                <w:szCs w:val="24"/>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+1 (801) 975-7200</w:t>
            </w: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37"/>
        </w:trPr>
        <w:tc>
          <w:tcPr>
            <w:tcW w:w="3620" w:type="dxa"/>
            <w:vAlign w:val="bottom"/>
          </w:tcPr>
          <w:p>
            <w:pPr>
              <w:spacing w:after="0"/>
              <w:rPr>
                <w:sz w:val="20"/>
                <w:szCs w:val="20"/>
                <w:color w:val="auto"/>
              </w:rPr>
            </w:pPr>
          </w:p>
        </w:tc>
        <w:tc>
          <w:tcPr>
            <w:tcW w:w="4020" w:type="dxa"/>
            <w:vAlign w:val="bottom"/>
            <w:gridSpan w:val="5"/>
          </w:tcPr>
          <w:p>
            <w:pPr>
              <w:jc w:val="center"/>
              <w:ind w:right="20"/>
              <w:spacing w:after="0"/>
              <w:rPr>
                <w:sz w:val="20"/>
                <w:szCs w:val="20"/>
                <w:color w:val="auto"/>
              </w:rPr>
            </w:pPr>
            <w:r>
              <w:rPr>
                <w:rFonts w:ascii="Arial" w:cs="Arial" w:eastAsia="Arial" w:hAnsi="Arial"/>
                <w:sz w:val="18"/>
                <w:szCs w:val="18"/>
                <w:color w:val="auto"/>
                <w:w w:val="89"/>
              </w:rPr>
              <w:t>(Registrant’s telephone number, including area code)</w:t>
            </w:r>
          </w:p>
        </w:tc>
        <w:tc>
          <w:tcPr>
            <w:tcW w:w="3600" w:type="dxa"/>
            <w:vAlign w:val="bottom"/>
          </w:tcPr>
          <w:p>
            <w:pPr>
              <w:spacing w:after="0"/>
              <w:rPr>
                <w:sz w:val="20"/>
                <w:szCs w:val="20"/>
                <w:color w:val="auto"/>
              </w:rPr>
            </w:pP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 applicable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40" w:firstLine="8"/>
        <w:spacing w:after="0" w:line="507" w:lineRule="auto"/>
        <w:tabs>
          <w:tab w:leader="none" w:pos="418"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186"/>
        </w:trPr>
        <w:tc>
          <w:tcPr>
            <w:tcW w:w="1200" w:type="dxa"/>
            <w:vAlign w:val="bottom"/>
            <w:tcBorders>
              <w:top w:val="single" w:sz="8" w:color="auto"/>
              <w:left w:val="single" w:sz="8" w:color="auto"/>
            </w:tcBorders>
          </w:tcPr>
          <w:p>
            <w:pPr>
              <w:spacing w:after="0"/>
              <w:rPr>
                <w:sz w:val="16"/>
                <w:szCs w:val="16"/>
                <w:color w:val="auto"/>
              </w:rPr>
            </w:pPr>
          </w:p>
        </w:tc>
        <w:tc>
          <w:tcPr>
            <w:tcW w:w="2500" w:type="dxa"/>
            <w:vAlign w:val="bottom"/>
            <w:tcBorders>
              <w:top w:val="single" w:sz="8" w:color="auto"/>
              <w:right w:val="single" w:sz="8" w:color="auto"/>
            </w:tcBorders>
            <w:gridSpan w:val="2"/>
          </w:tcPr>
          <w:p>
            <w:pPr>
              <w:jc w:val="center"/>
              <w:ind w:right="1200"/>
              <w:spacing w:after="0" w:line="187" w:lineRule="exact"/>
              <w:rPr>
                <w:sz w:val="20"/>
                <w:szCs w:val="20"/>
                <w:color w:val="auto"/>
              </w:rPr>
            </w:pPr>
            <w:r>
              <w:rPr>
                <w:rFonts w:ascii="Arial" w:cs="Arial" w:eastAsia="Arial" w:hAnsi="Arial"/>
                <w:sz w:val="18"/>
                <w:szCs w:val="18"/>
                <w:color w:val="auto"/>
                <w:w w:val="90"/>
              </w:rPr>
              <w:t>Title of each class</w:t>
            </w:r>
          </w:p>
        </w:tc>
        <w:tc>
          <w:tcPr>
            <w:tcW w:w="1220" w:type="dxa"/>
            <w:vAlign w:val="bottom"/>
            <w:tcBorders>
              <w:top w:val="single" w:sz="8" w:color="auto"/>
            </w:tcBorders>
          </w:tcPr>
          <w:p>
            <w:pPr>
              <w:spacing w:after="0"/>
              <w:rPr>
                <w:sz w:val="16"/>
                <w:szCs w:val="16"/>
                <w:color w:val="auto"/>
              </w:rPr>
            </w:pPr>
          </w:p>
        </w:tc>
        <w:tc>
          <w:tcPr>
            <w:tcW w:w="2620" w:type="dxa"/>
            <w:vAlign w:val="bottom"/>
            <w:tcBorders>
              <w:top w:val="single" w:sz="8" w:color="auto"/>
              <w:right w:val="single" w:sz="8" w:color="auto"/>
            </w:tcBorders>
            <w:gridSpan w:val="2"/>
          </w:tcPr>
          <w:p>
            <w:pPr>
              <w:jc w:val="center"/>
              <w:ind w:right="1260"/>
              <w:spacing w:after="0" w:line="187" w:lineRule="exact"/>
              <w:rPr>
                <w:sz w:val="20"/>
                <w:szCs w:val="20"/>
                <w:color w:val="auto"/>
              </w:rPr>
            </w:pPr>
            <w:r>
              <w:rPr>
                <w:rFonts w:ascii="Arial" w:cs="Arial" w:eastAsia="Arial" w:hAnsi="Arial"/>
                <w:sz w:val="18"/>
                <w:szCs w:val="18"/>
                <w:color w:val="auto"/>
                <w:w w:val="92"/>
              </w:rPr>
              <w:t>Trading Symbol(s)</w:t>
            </w:r>
          </w:p>
        </w:tc>
        <w:tc>
          <w:tcPr>
            <w:tcW w:w="240" w:type="dxa"/>
            <w:vAlign w:val="bottom"/>
            <w:tcBorders>
              <w:top w:val="single" w:sz="8" w:color="auto"/>
            </w:tcBorders>
          </w:tcPr>
          <w:p>
            <w:pPr>
              <w:spacing w:after="0"/>
              <w:rPr>
                <w:sz w:val="16"/>
                <w:szCs w:val="16"/>
                <w:color w:val="auto"/>
              </w:rPr>
            </w:pPr>
          </w:p>
        </w:tc>
        <w:tc>
          <w:tcPr>
            <w:tcW w:w="3460" w:type="dxa"/>
            <w:vAlign w:val="bottom"/>
            <w:tcBorders>
              <w:top w:val="single" w:sz="8" w:color="auto"/>
              <w:right w:val="single" w:sz="8" w:color="auto"/>
            </w:tcBorders>
            <w:gridSpan w:val="2"/>
          </w:tcPr>
          <w:p>
            <w:pPr>
              <w:jc w:val="center"/>
              <w:ind w:right="260"/>
              <w:spacing w:after="0" w:line="187" w:lineRule="exact"/>
              <w:rPr>
                <w:sz w:val="20"/>
                <w:szCs w:val="20"/>
                <w:color w:val="auto"/>
              </w:rPr>
            </w:pPr>
            <w:r>
              <w:rPr>
                <w:rFonts w:ascii="Arial" w:cs="Arial" w:eastAsia="Arial" w:hAnsi="Arial"/>
                <w:sz w:val="18"/>
                <w:szCs w:val="18"/>
                <w:color w:val="auto"/>
                <w:w w:val="89"/>
              </w:rPr>
              <w:t>Name of each exchange on which registered</w:t>
            </w:r>
          </w:p>
        </w:tc>
      </w:tr>
      <w:tr>
        <w:trPr>
          <w:trHeight w:val="51"/>
        </w:trPr>
        <w:tc>
          <w:tcPr>
            <w:tcW w:w="1200" w:type="dxa"/>
            <w:vAlign w:val="bottom"/>
            <w:tcBorders>
              <w:left w:val="single" w:sz="8" w:color="auto"/>
              <w:bottom w:val="single" w:sz="8" w:color="auto"/>
            </w:tcBorders>
          </w:tcPr>
          <w:p>
            <w:pPr>
              <w:spacing w:after="0"/>
              <w:rPr>
                <w:sz w:val="4"/>
                <w:szCs w:val="4"/>
                <w:color w:val="auto"/>
              </w:rPr>
            </w:pPr>
          </w:p>
        </w:tc>
        <w:tc>
          <w:tcPr>
            <w:tcW w:w="1300" w:type="dxa"/>
            <w:vAlign w:val="bottom"/>
            <w:tcBorders>
              <w:top w:val="single" w:sz="8" w:color="auto"/>
              <w:bottom w:val="single" w:sz="8" w:color="auto"/>
            </w:tcBorders>
          </w:tcPr>
          <w:p>
            <w:pPr>
              <w:spacing w:after="0"/>
              <w:rPr>
                <w:sz w:val="4"/>
                <w:szCs w:val="4"/>
                <w:color w:val="auto"/>
              </w:rPr>
            </w:pPr>
          </w:p>
        </w:tc>
        <w:tc>
          <w:tcPr>
            <w:tcW w:w="1200" w:type="dxa"/>
            <w:vAlign w:val="bottom"/>
            <w:tcBorders>
              <w:bottom w:val="single" w:sz="8" w:color="auto"/>
              <w:right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1360" w:type="dxa"/>
            <w:vAlign w:val="bottom"/>
            <w:tcBorders>
              <w:top w:val="single" w:sz="8" w:color="auto"/>
              <w:bottom w:val="single" w:sz="8" w:color="auto"/>
            </w:tcBorders>
          </w:tcPr>
          <w:p>
            <w:pPr>
              <w:spacing w:after="0"/>
              <w:rPr>
                <w:sz w:val="4"/>
                <w:szCs w:val="4"/>
                <w:color w:val="auto"/>
              </w:rPr>
            </w:pPr>
          </w:p>
        </w:tc>
        <w:tc>
          <w:tcPr>
            <w:tcW w:w="1260" w:type="dxa"/>
            <w:vAlign w:val="bottom"/>
            <w:tcBorders>
              <w:bottom w:val="single" w:sz="8" w:color="auto"/>
              <w:right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3200" w:type="dxa"/>
            <w:vAlign w:val="bottom"/>
            <w:tcBorders>
              <w:top w:val="single" w:sz="8" w:color="auto"/>
              <w:bottom w:val="single" w:sz="8" w:color="auto"/>
            </w:tcBorders>
          </w:tcPr>
          <w:p>
            <w:pPr>
              <w:spacing w:after="0"/>
              <w:rPr>
                <w:sz w:val="4"/>
                <w:szCs w:val="4"/>
                <w:color w:val="auto"/>
              </w:rPr>
            </w:pPr>
          </w:p>
        </w:tc>
        <w:tc>
          <w:tcPr>
            <w:tcW w:w="260" w:type="dxa"/>
            <w:vAlign w:val="bottom"/>
            <w:tcBorders>
              <w:bottom w:val="single" w:sz="8" w:color="auto"/>
              <w:right w:val="single" w:sz="8" w:color="auto"/>
            </w:tcBorders>
          </w:tcPr>
          <w:p>
            <w:pPr>
              <w:spacing w:after="0"/>
              <w:rPr>
                <w:sz w:val="4"/>
                <w:szCs w:val="4"/>
                <w:color w:val="auto"/>
              </w:rPr>
            </w:pPr>
          </w:p>
        </w:tc>
      </w:tr>
      <w:tr>
        <w:trPr>
          <w:trHeight w:val="215"/>
        </w:trPr>
        <w:tc>
          <w:tcPr>
            <w:tcW w:w="3700" w:type="dxa"/>
            <w:vAlign w:val="bottom"/>
            <w:tcBorders>
              <w:left w:val="single" w:sz="8" w:color="auto"/>
              <w:bottom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0"/>
              </w:rPr>
              <w:t>Common Stock, $0.001</w:t>
            </w:r>
          </w:p>
        </w:tc>
        <w:tc>
          <w:tcPr>
            <w:tcW w:w="1220" w:type="dxa"/>
            <w:vAlign w:val="bottom"/>
            <w:tcBorders>
              <w:bottom w:val="single" w:sz="8" w:color="auto"/>
            </w:tcBorders>
          </w:tcPr>
          <w:p>
            <w:pPr>
              <w:spacing w:after="0"/>
              <w:rPr>
                <w:sz w:val="18"/>
                <w:szCs w:val="18"/>
                <w:color w:val="auto"/>
              </w:rPr>
            </w:pPr>
          </w:p>
        </w:tc>
        <w:tc>
          <w:tcPr>
            <w:tcW w:w="2620" w:type="dxa"/>
            <w:vAlign w:val="bottom"/>
            <w:tcBorders>
              <w:bottom w:val="single" w:sz="8" w:color="auto"/>
              <w:right w:val="single" w:sz="8" w:color="auto"/>
            </w:tcBorders>
            <w:gridSpan w:val="2"/>
          </w:tcPr>
          <w:p>
            <w:pPr>
              <w:jc w:val="center"/>
              <w:ind w:right="1260"/>
              <w:spacing w:after="0"/>
              <w:rPr>
                <w:sz w:val="20"/>
                <w:szCs w:val="20"/>
                <w:color w:val="auto"/>
              </w:rPr>
            </w:pPr>
            <w:r>
              <w:rPr>
                <w:rFonts w:ascii="Arial" w:cs="Arial" w:eastAsia="Arial" w:hAnsi="Arial"/>
                <w:sz w:val="18"/>
                <w:szCs w:val="18"/>
                <w:color w:val="auto"/>
                <w:w w:val="95"/>
              </w:rPr>
              <w:t>CLRO</w:t>
            </w:r>
          </w:p>
        </w:tc>
        <w:tc>
          <w:tcPr>
            <w:tcW w:w="240" w:type="dxa"/>
            <w:vAlign w:val="bottom"/>
            <w:tcBorders>
              <w:bottom w:val="single" w:sz="8" w:color="auto"/>
            </w:tcBorders>
          </w:tcPr>
          <w:p>
            <w:pPr>
              <w:spacing w:after="0"/>
              <w:rPr>
                <w:sz w:val="18"/>
                <w:szCs w:val="18"/>
                <w:color w:val="auto"/>
              </w:rPr>
            </w:pPr>
          </w:p>
        </w:tc>
        <w:tc>
          <w:tcPr>
            <w:tcW w:w="3460" w:type="dxa"/>
            <w:vAlign w:val="bottom"/>
            <w:tcBorders>
              <w:bottom w:val="single" w:sz="8" w:color="auto"/>
              <w:right w:val="single" w:sz="8" w:color="auto"/>
            </w:tcBorders>
            <w:gridSpan w:val="2"/>
          </w:tcPr>
          <w:p>
            <w:pPr>
              <w:jc w:val="center"/>
              <w:ind w:right="260"/>
              <w:spacing w:after="0"/>
              <w:rPr>
                <w:sz w:val="20"/>
                <w:szCs w:val="20"/>
                <w:color w:val="auto"/>
              </w:rPr>
            </w:pPr>
            <w:r>
              <w:rPr>
                <w:rFonts w:ascii="Arial" w:cs="Arial" w:eastAsia="Arial" w:hAnsi="Arial"/>
                <w:sz w:val="18"/>
                <w:szCs w:val="18"/>
                <w:color w:val="auto"/>
                <w:w w:val="94"/>
              </w:rPr>
              <w:t>The NASDAQ Capital Market</w:t>
            </w:r>
          </w:p>
        </w:tc>
      </w:tr>
    </w:tbl>
    <w:p>
      <w:pPr>
        <w:spacing w:after="0" w:line="202" w:lineRule="exact"/>
        <w:rPr>
          <w:sz w:val="24"/>
          <w:szCs w:val="24"/>
          <w:color w:val="auto"/>
        </w:rPr>
      </w:pPr>
    </w:p>
    <w:p>
      <w:pPr>
        <w:jc w:val="both"/>
        <w:ind w:right="20"/>
        <w:spacing w:after="0" w:line="233" w:lineRule="exact"/>
        <w:rPr>
          <w:sz w:val="20"/>
          <w:szCs w:val="20"/>
          <w:color w:val="auto"/>
        </w:rPr>
      </w:pPr>
      <w:r>
        <w:rPr>
          <w:rFonts w:ascii="Arial" w:cs="Arial" w:eastAsia="Arial" w:hAnsi="Arial"/>
          <w:sz w:val="18"/>
          <w:szCs w:val="18"/>
          <w:color w:val="auto"/>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r>
        <w:rPr>
          <w:rFonts w:ascii="MS PGothic" w:cs="MS PGothic" w:eastAsia="MS PGothic" w:hAnsi="MS PGothic"/>
          <w:sz w:val="18"/>
          <w:szCs w:val="18"/>
          <w:color w:val="auto"/>
        </w:rPr>
        <w:t>☐</w:t>
      </w:r>
    </w:p>
    <w:p>
      <w:pPr>
        <w:spacing w:after="0" w:line="182" w:lineRule="exact"/>
        <w:rPr>
          <w:sz w:val="24"/>
          <w:szCs w:val="24"/>
          <w:color w:val="auto"/>
        </w:rPr>
      </w:pPr>
    </w:p>
    <w:p>
      <w:pPr>
        <w:jc w:val="both"/>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43815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On March 30, ClearOne, Inc. (the “Company”) issued a press release announcing its financial results for the three and twelve months ended December 31, 2020. The full text of the press release is attached as Exhibit 99.1.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2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Exhibit No.</w:t>
      </w:r>
      <w:r>
        <w:rPr>
          <w:sz w:val="20"/>
          <w:szCs w:val="20"/>
          <w:color w:val="auto"/>
        </w:rPr>
        <w:tab/>
      </w:r>
      <w:r>
        <w:rPr>
          <w:rFonts w:ascii="Arial" w:cs="Arial" w:eastAsia="Arial" w:hAnsi="Arial"/>
          <w:sz w:val="16"/>
          <w:szCs w:val="16"/>
          <w:b w:val="1"/>
          <w:bCs w:val="1"/>
          <w:color w:val="auto"/>
        </w:rPr>
        <w:t>Description</w:t>
      </w:r>
    </w:p>
    <w:p>
      <w:pPr>
        <w:spacing w:after="0" w:line="256" w:lineRule="exact"/>
        <w:rPr>
          <w:sz w:val="20"/>
          <w:szCs w:val="20"/>
          <w:color w:val="auto"/>
        </w:rPr>
      </w:pPr>
    </w:p>
    <w:p>
      <w:pPr>
        <w:spacing w:after="0"/>
        <w:tabs>
          <w:tab w:leader="none" w:pos="1120" w:val="left"/>
        </w:tabs>
        <w:rPr>
          <w:rFonts w:ascii="Arial" w:cs="Arial" w:eastAsia="Arial" w:hAnsi="Arial"/>
          <w:sz w:val="15"/>
          <w:szCs w:val="15"/>
          <w:u w:val="single" w:color="auto"/>
          <w:color w:val="0000FF"/>
        </w:rPr>
      </w:pPr>
      <w:r>
        <w:rPr>
          <w:rFonts w:ascii="Arial" w:cs="Arial" w:eastAsia="Arial" w:hAnsi="Arial"/>
          <w:sz w:val="18"/>
          <w:szCs w:val="18"/>
          <w:color w:val="auto"/>
        </w:rPr>
        <w:t>Exhibit 99.1</w:t>
      </w:r>
      <w:r>
        <w:rPr>
          <w:sz w:val="20"/>
          <w:szCs w:val="20"/>
          <w:color w:val="auto"/>
        </w:rPr>
        <w:tab/>
      </w:r>
      <w:hyperlink w:anchor="page4">
        <w:r>
          <w:rPr>
            <w:rFonts w:ascii="Arial" w:cs="Arial" w:eastAsia="Arial" w:hAnsi="Arial"/>
            <w:sz w:val="15"/>
            <w:szCs w:val="15"/>
            <w:u w:val="single" w:color="auto"/>
            <w:color w:val="0000FF"/>
          </w:rPr>
          <w:t>Press Release of ClearOne, Inc. dated March 30, 2021.</w:t>
        </w:r>
      </w:hyperlink>
    </w:p>
    <w:p>
      <w:pPr>
        <w:spacing w:after="0" w:line="23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information included in this Current Report on Form 8-K (including the exhibit hereto) is being furnished under Item 2.02, “Results of Operations and Financial Condition” and Item 9.01 “Financial Statements and Exhibits” of Form 8-K. As such, the information (including the exhibit) herein shall not be deemed to be “filed” for the purposes of Section 18 of the Securities Exchange Act of 1934, as amended (the “Exchange Act”), or otherwise subject to the liabilities of that Section, nor shall it be incorporated by reference into a filing under the Securities Act of 1933, as amended, or the Exchange Act, except as shall be expressly set forth by specific reference in such a filing. This Current Report (including the exhibit hereto) will not be deemed an admission as to the materiality of any information required to be disclosed solely to satisfy the requirements of Regulation FD.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340995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553" w:right="41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20" w:type="dxa"/>
            <w:vAlign w:val="bottom"/>
          </w:tcPr>
          <w:p>
            <w:pPr>
              <w:spacing w:after="0"/>
              <w:rPr>
                <w:sz w:val="20"/>
                <w:szCs w:val="20"/>
                <w:color w:val="auto"/>
              </w:rPr>
            </w:pPr>
          </w:p>
        </w:tc>
        <w:tc>
          <w:tcPr>
            <w:tcW w:w="7920" w:type="dxa"/>
            <w:vAlign w:val="bottom"/>
            <w:gridSpan w:val="2"/>
          </w:tcPr>
          <w:p>
            <w:pPr>
              <w:ind w:left="1720"/>
              <w:spacing w:after="0"/>
              <w:rPr>
                <w:sz w:val="20"/>
                <w:szCs w:val="20"/>
                <w:color w:val="auto"/>
              </w:rPr>
            </w:pPr>
            <w:r>
              <w:rPr>
                <w:rFonts w:ascii="Arial" w:cs="Arial" w:eastAsia="Arial" w:hAnsi="Arial"/>
                <w:sz w:val="18"/>
                <w:szCs w:val="18"/>
                <w:color w:val="auto"/>
              </w:rPr>
              <w:t>CLEARONE, INC.</w:t>
            </w:r>
          </w:p>
        </w:tc>
      </w:tr>
      <w:tr>
        <w:trPr>
          <w:trHeight w:val="459"/>
        </w:trPr>
        <w:tc>
          <w:tcPr>
            <w:tcW w:w="3320" w:type="dxa"/>
            <w:vAlign w:val="bottom"/>
          </w:tcPr>
          <w:p>
            <w:pPr>
              <w:spacing w:after="0"/>
              <w:rPr>
                <w:sz w:val="20"/>
                <w:szCs w:val="20"/>
                <w:color w:val="auto"/>
              </w:rPr>
            </w:pPr>
            <w:r>
              <w:rPr>
                <w:rFonts w:ascii="Arial" w:cs="Arial" w:eastAsia="Arial" w:hAnsi="Arial"/>
                <w:sz w:val="18"/>
                <w:szCs w:val="18"/>
                <w:color w:val="auto"/>
              </w:rPr>
              <w:t>Date: March 30, 2021</w:t>
            </w:r>
          </w:p>
        </w:tc>
        <w:tc>
          <w:tcPr>
            <w:tcW w:w="7920" w:type="dxa"/>
            <w:vAlign w:val="bottom"/>
            <w:gridSpan w:val="2"/>
          </w:tcPr>
          <w:p>
            <w:pPr>
              <w:ind w:left="1720"/>
              <w:spacing w:after="0"/>
              <w:rPr>
                <w:sz w:val="20"/>
                <w:szCs w:val="20"/>
                <w:color w:val="auto"/>
              </w:rPr>
            </w:pPr>
            <w:r>
              <w:rPr>
                <w:rFonts w:ascii="Arial" w:cs="Arial" w:eastAsia="Arial" w:hAnsi="Arial"/>
                <w:sz w:val="18"/>
                <w:szCs w:val="18"/>
                <w:color w:val="auto"/>
              </w:rPr>
              <w:t>By:</w:t>
            </w:r>
            <w:r>
              <w:rPr>
                <w:rFonts w:ascii="Arial" w:cs="Arial" w:eastAsia="Arial" w:hAnsi="Arial"/>
                <w:sz w:val="18"/>
                <w:szCs w:val="18"/>
                <w:i w:val="1"/>
                <w:iCs w:val="1"/>
                <w:color w:val="auto"/>
              </w:rPr>
              <w:t>/s/ Zeynep Hakimoglu</w:t>
            </w:r>
          </w:p>
        </w:tc>
      </w:tr>
      <w:tr>
        <w:trPr>
          <w:trHeight w:val="222"/>
        </w:trPr>
        <w:tc>
          <w:tcPr>
            <w:tcW w:w="332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59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Zeynep Hakimoglu</w:t>
            </w:r>
          </w:p>
        </w:tc>
      </w:tr>
      <w:tr>
        <w:trPr>
          <w:trHeight w:val="216"/>
        </w:trPr>
        <w:tc>
          <w:tcPr>
            <w:tcW w:w="33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5920" w:type="dxa"/>
            <w:vAlign w:val="bottom"/>
          </w:tcPr>
          <w:p>
            <w:pPr>
              <w:ind w:left="20"/>
              <w:spacing w:after="0"/>
              <w:rPr>
                <w:sz w:val="20"/>
                <w:szCs w:val="20"/>
                <w:color w:val="auto"/>
              </w:rPr>
            </w:pPr>
            <w:r>
              <w:rPr>
                <w:rFonts w:ascii="Arial" w:cs="Arial" w:eastAsia="Arial" w:hAnsi="Arial"/>
                <w:sz w:val="18"/>
                <w:szCs w:val="18"/>
                <w:color w:val="auto"/>
              </w:rPr>
              <w:t>Chief Executive Officer</w:t>
            </w:r>
          </w:p>
        </w:tc>
      </w:tr>
      <w:tr>
        <w:trPr>
          <w:trHeight w:val="230"/>
        </w:trPr>
        <w:tc>
          <w:tcPr>
            <w:tcW w:w="332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592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240"/>
          </w:cols>
          <w:pgMar w:left="320" w:top="553" w:right="339" w:bottom="1440" w:gutter="0" w:footer="0" w:header="0"/>
        </w:sectPr>
      </w:pPr>
    </w:p>
    <w:bookmarkStart w:id="3" w:name="page4"/>
    <w:bookmarkEnd w:id="3"/>
    <w:p>
      <w:pPr>
        <w:ind w:left="10000"/>
        <w:spacing w:after="0"/>
        <w:rPr>
          <w:sz w:val="20"/>
          <w:szCs w:val="20"/>
          <w:color w:val="auto"/>
        </w:rPr>
      </w:pPr>
      <w:r>
        <w:rPr>
          <w:rFonts w:ascii="Arial" w:cs="Arial" w:eastAsia="Arial" w:hAnsi="Arial"/>
          <w:sz w:val="21"/>
          <w:szCs w:val="21"/>
          <w:b w:val="1"/>
          <w:bCs w:val="1"/>
          <w:u w:val="single" w:color="auto"/>
          <w:color w:val="auto"/>
        </w:rPr>
        <w:t>Exhibit 99.1</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ClearOne Reports Fourth Quarter 2020 Financial Results</w:t>
      </w:r>
    </w:p>
    <w:p>
      <w:pPr>
        <w:spacing w:after="0" w:line="209" w:lineRule="exact"/>
        <w:rPr>
          <w:sz w:val="20"/>
          <w:szCs w:val="20"/>
          <w:color w:val="auto"/>
        </w:rPr>
      </w:pPr>
    </w:p>
    <w:p>
      <w:pPr>
        <w:ind w:left="340" w:hanging="331"/>
        <w:spacing w:after="0"/>
        <w:tabs>
          <w:tab w:leader="none" w:pos="340" w:val="left"/>
        </w:tabs>
        <w:numPr>
          <w:ilvl w:val="0"/>
          <w:numId w:val="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Q4 year-over-year overall revenue up by 35%</w:t>
      </w:r>
    </w:p>
    <w:p>
      <w:pPr>
        <w:spacing w:after="0" w:line="23" w:lineRule="exact"/>
        <w:rPr>
          <w:rFonts w:ascii="Arial" w:cs="Arial" w:eastAsia="Arial" w:hAnsi="Arial"/>
          <w:sz w:val="18"/>
          <w:szCs w:val="18"/>
          <w:b w:val="1"/>
          <w:bCs w:val="1"/>
          <w:i w:val="1"/>
          <w:iCs w:val="1"/>
          <w:color w:val="auto"/>
        </w:rPr>
      </w:pPr>
    </w:p>
    <w:p>
      <w:pPr>
        <w:ind w:left="340" w:hanging="331"/>
        <w:spacing w:after="0"/>
        <w:tabs>
          <w:tab w:leader="none" w:pos="340" w:val="left"/>
        </w:tabs>
        <w:numPr>
          <w:ilvl w:val="0"/>
          <w:numId w:val="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Q4 year-over-year video revenue up by 241%, microphones up by 17%</w:t>
      </w:r>
    </w:p>
    <w:p>
      <w:pPr>
        <w:spacing w:after="0" w:line="9" w:lineRule="exact"/>
        <w:rPr>
          <w:rFonts w:ascii="Arial" w:cs="Arial" w:eastAsia="Arial" w:hAnsi="Arial"/>
          <w:sz w:val="18"/>
          <w:szCs w:val="18"/>
          <w:b w:val="1"/>
          <w:bCs w:val="1"/>
          <w:i w:val="1"/>
          <w:iCs w:val="1"/>
          <w:color w:val="auto"/>
        </w:rPr>
      </w:pPr>
    </w:p>
    <w:p>
      <w:pPr>
        <w:ind w:left="340" w:hanging="331"/>
        <w:spacing w:after="0"/>
        <w:tabs>
          <w:tab w:leader="none" w:pos="340" w:val="left"/>
        </w:tabs>
        <w:numPr>
          <w:ilvl w:val="0"/>
          <w:numId w:val="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Net income dramatically increases for full year 2020 driven by one-time income tax refund of $7.1 million</w:t>
      </w:r>
    </w:p>
    <w:p>
      <w:pPr>
        <w:spacing w:after="0" w:line="170"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SALT LAKE CITY, UTAH – March 30, 2021 – ClearOne (NASDAQ: CLRO), a global provider of audio and visual communication solutions, reported financial results for the three and twelve- month periods ended December 31, 2020.</w:t>
      </w:r>
    </w:p>
    <w:p>
      <w:pPr>
        <w:spacing w:after="0" w:line="130" w:lineRule="exact"/>
        <w:rPr>
          <w:sz w:val="20"/>
          <w:szCs w:val="20"/>
          <w:color w:val="auto"/>
        </w:rPr>
      </w:pPr>
    </w:p>
    <w:p>
      <w:pPr>
        <w:ind w:right="340"/>
        <w:spacing w:after="0" w:line="270" w:lineRule="auto"/>
        <w:rPr>
          <w:sz w:val="20"/>
          <w:szCs w:val="20"/>
          <w:color w:val="auto"/>
        </w:rPr>
      </w:pPr>
      <w:r>
        <w:rPr>
          <w:rFonts w:ascii="Arial" w:cs="Arial" w:eastAsia="Arial" w:hAnsi="Arial"/>
          <w:sz w:val="17"/>
          <w:szCs w:val="17"/>
          <w:color w:val="auto"/>
        </w:rPr>
        <w:t>"We finished 2020 with sterling fourth quarter revenue performance. This follows comparable strong revenue growth we reported in the third quarter. While 2020 was a challenging year for most companies amid the COVID-19 pandemic, ClearOne benefitted from the changes the pandemic created as hybrid work and learn environments created demand for our broad line-up of audio and video solutions."</w:t>
      </w:r>
    </w:p>
    <w:p>
      <w:pPr>
        <w:spacing w:after="0" w:line="164" w:lineRule="exact"/>
        <w:rPr>
          <w:sz w:val="20"/>
          <w:szCs w:val="20"/>
          <w:color w:val="auto"/>
        </w:rPr>
      </w:pPr>
    </w:p>
    <w:p>
      <w:pPr>
        <w:ind w:right="120"/>
        <w:spacing w:after="0" w:line="243" w:lineRule="auto"/>
        <w:rPr>
          <w:sz w:val="20"/>
          <w:szCs w:val="20"/>
          <w:color w:val="auto"/>
        </w:rPr>
      </w:pPr>
      <w:r>
        <w:rPr>
          <w:rFonts w:ascii="Arial" w:cs="Arial" w:eastAsia="Arial" w:hAnsi="Arial"/>
          <w:sz w:val="18"/>
          <w:szCs w:val="18"/>
          <w:color w:val="auto"/>
        </w:rPr>
        <w:t>"During the fourth quarter, we introduced our ClearOne Aura™, a suite of pre-packaged professional audio and video home office solutions for remote working professionals to meet market needs. Also during the quarter, we upgraded our Convergence AV Network Manager Software which provides real-time, at-a-glance monitoring and control of ClearOne Professional AV products to support our new, technologically disruptive Ceiling Tile Beamforming Microphone Array, the BMA 360."</w:t>
      </w:r>
    </w:p>
    <w:p>
      <w:pPr>
        <w:spacing w:after="0" w:line="188" w:lineRule="exact"/>
        <w:rPr>
          <w:sz w:val="20"/>
          <w:szCs w:val="20"/>
          <w:color w:val="auto"/>
        </w:rPr>
      </w:pPr>
    </w:p>
    <w:p>
      <w:pPr>
        <w:spacing w:after="0" w:line="248" w:lineRule="auto"/>
        <w:rPr>
          <w:sz w:val="20"/>
          <w:szCs w:val="20"/>
          <w:color w:val="auto"/>
        </w:rPr>
      </w:pPr>
      <w:r>
        <w:rPr>
          <w:rFonts w:ascii="Arial" w:cs="Arial" w:eastAsia="Arial" w:hAnsi="Arial"/>
          <w:sz w:val="18"/>
          <w:szCs w:val="18"/>
          <w:color w:val="auto"/>
        </w:rPr>
        <w:t>"During the past year, market recognition and acceptance of the versatility, scalability, performance, and affordability of our recent audio and video product introductions, from large rooms requiring professional installations to plug-and-play solutions suited for work and learn in-home environments drove our revenue growth."</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"We reported net income for 2020 resulting from a one-time recognition of an income tax refund receivable of $7.1 million due to our ability to</w:t>
      </w:r>
    </w:p>
    <w:p>
      <w:pPr>
        <w:spacing w:after="0" w:line="12" w:lineRule="exact"/>
        <w:rPr>
          <w:sz w:val="20"/>
          <w:szCs w:val="20"/>
          <w:color w:val="auto"/>
        </w:rPr>
      </w:pPr>
    </w:p>
    <w:p>
      <w:pPr>
        <w:ind w:right="40"/>
        <w:spacing w:after="0" w:line="256" w:lineRule="auto"/>
        <w:rPr>
          <w:sz w:val="20"/>
          <w:szCs w:val="20"/>
          <w:color w:val="auto"/>
        </w:rPr>
      </w:pPr>
      <w:r>
        <w:rPr>
          <w:rFonts w:ascii="Arial" w:cs="Arial" w:eastAsia="Arial" w:hAnsi="Arial"/>
          <w:sz w:val="17"/>
          <w:szCs w:val="17"/>
          <w:color w:val="auto"/>
        </w:rPr>
        <w:t>carryback net operating losses to earlier profitable years, made possible by the CARES Act. This expected refund will further strengthen our cash position, enabling us to continue to focus on our strategic market imperatives and to continue to defend ClearOne from the harm inflicted on us by Shure’s infringement of our intellectual property. We achieved significant victories in our litigation against Shure in 2020, and we look forward to prevailing on our patent claims against Shure at trial, which has been delayed by the COVID-19 pandemic,” Hakimoglu concluded.</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Summary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 Company uses certain non-GAAP financial measures and reconciles those to GAAP measures in the attached tables.</w:t>
      </w:r>
    </w:p>
    <w:p>
      <w:pPr>
        <w:spacing w:after="0" w:line="225" w:lineRule="exact"/>
        <w:rPr>
          <w:sz w:val="20"/>
          <w:szCs w:val="20"/>
          <w:color w:val="auto"/>
        </w:rPr>
      </w:pPr>
    </w:p>
    <w:p>
      <w:pPr>
        <w:jc w:val="both"/>
        <w:ind w:left="400" w:hanging="388"/>
        <w:spacing w:after="0" w:line="294" w:lineRule="auto"/>
        <w:tabs>
          <w:tab w:leader="none" w:pos="400" w:val="left"/>
        </w:tabs>
        <w:numPr>
          <w:ilvl w:val="0"/>
          <w:numId w:val="3"/>
        </w:numPr>
        <w:rPr>
          <w:rFonts w:ascii="Arial" w:cs="Arial" w:eastAsia="Arial" w:hAnsi="Arial"/>
          <w:sz w:val="16"/>
          <w:szCs w:val="16"/>
          <w:color w:val="auto"/>
        </w:rPr>
      </w:pPr>
      <w:r>
        <w:rPr>
          <w:rFonts w:ascii="Arial" w:cs="Arial" w:eastAsia="Arial" w:hAnsi="Arial"/>
          <w:sz w:val="16"/>
          <w:szCs w:val="16"/>
          <w:color w:val="auto"/>
        </w:rPr>
        <w:t>Q4 2020 revenue was $8.6 million, compared to $6.3 million in Q4 2019 and $8.4 million in Q3 2020. The year-over-year increase was mainly due to the increase in revenue from video products, personal audio conferencing products and beamforming microphone array products. Despite this revenue growth in Q4 2020, revenue from audio conferencing products and microphones are far below the levels prior to infringement of our patents.</w:t>
      </w:r>
    </w:p>
    <w:p>
      <w:pPr>
        <w:spacing w:after="0" w:line="147" w:lineRule="exact"/>
        <w:rPr>
          <w:rFonts w:ascii="Arial" w:cs="Arial" w:eastAsia="Arial" w:hAnsi="Arial"/>
          <w:sz w:val="16"/>
          <w:szCs w:val="16"/>
          <w:color w:val="auto"/>
        </w:rPr>
      </w:pPr>
    </w:p>
    <w:p>
      <w:pPr>
        <w:ind w:left="400" w:right="60" w:hanging="388"/>
        <w:spacing w:after="0" w:line="243" w:lineRule="auto"/>
        <w:tabs>
          <w:tab w:leader="none" w:pos="400" w:val="left"/>
        </w:tabs>
        <w:numPr>
          <w:ilvl w:val="0"/>
          <w:numId w:val="3"/>
        </w:numPr>
        <w:rPr>
          <w:rFonts w:ascii="Arial" w:cs="Arial" w:eastAsia="Arial" w:hAnsi="Arial"/>
          <w:sz w:val="18"/>
          <w:szCs w:val="18"/>
          <w:color w:val="auto"/>
        </w:rPr>
      </w:pPr>
      <w:r>
        <w:rPr>
          <w:rFonts w:ascii="Arial" w:cs="Arial" w:eastAsia="Arial" w:hAnsi="Arial"/>
          <w:sz w:val="18"/>
          <w:szCs w:val="18"/>
          <w:color w:val="auto"/>
        </w:rPr>
        <w:t>GAAP gross profit in Q4 2020 was $3.6 million, compared to $3.0 million in Q4 2019 and $3.5 million in Q3 2020. GAAP gross profit margin was 42% in Q4 2020, compared to 48% in Q4 2019 and 42% in Q3 2020. Gross Profit margin decreased year over year mainly due to increase in share of lower margin products in the revenue mix, increased freight and tariff costs and increased inventory obsolescence costs, partially offset by increased deferral of overhead costs added to the inventory.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2" w:right="379" w:bottom="1440" w:gutter="0" w:footer="0" w:header="0"/>
        </w:sectPr>
      </w:pPr>
    </w:p>
    <w:bookmarkStart w:id="4" w:name="page5"/>
    <w:bookmarkEnd w:id="4"/>
    <w:p>
      <w:pPr>
        <w:ind w:left="400" w:right="60" w:hanging="388"/>
        <w:spacing w:after="0" w:line="279" w:lineRule="auto"/>
        <w:tabs>
          <w:tab w:leader="none" w:pos="400" w:val="left"/>
        </w:tabs>
        <w:numPr>
          <w:ilvl w:val="0"/>
          <w:numId w:val="4"/>
        </w:numPr>
        <w:rPr>
          <w:rFonts w:ascii="Arial" w:cs="Arial" w:eastAsia="Arial" w:hAnsi="Arial"/>
          <w:sz w:val="16"/>
          <w:szCs w:val="16"/>
          <w:color w:val="auto"/>
        </w:rPr>
      </w:pPr>
      <w:r>
        <w:rPr>
          <w:rFonts w:ascii="Arial" w:cs="Arial" w:eastAsia="Arial" w:hAnsi="Arial"/>
          <w:sz w:val="16"/>
          <w:szCs w:val="16"/>
          <w:color w:val="auto"/>
        </w:rPr>
        <w:t>Operating expenses in Q4 2020 were $4.4 million, compared to $5.0 million in Q4 2019 and $4.7 million in Q3 2020. Non-GAAP Operating expenses in Q4 2020 were $3.9 million, compared to $4.6 million in Q4 2019 and $4.2 million in Q3 2020. The year-over-year decrease in operating expenses was mainly due to reductions in sales tax expense, employee travel expenses and legal expenses partially offset by an increase in commissions paid to employees and independent reps. The sequential decrease in operating expenses was mainly due to reductions in sales tax expense, legal expenses and employee headcount costs partially offset by an increase in commissions paid to employees and independent reps.</w:t>
      </w:r>
    </w:p>
    <w:p>
      <w:pPr>
        <w:spacing w:after="0" w:line="159" w:lineRule="exact"/>
        <w:rPr>
          <w:rFonts w:ascii="Arial" w:cs="Arial" w:eastAsia="Arial" w:hAnsi="Arial"/>
          <w:sz w:val="16"/>
          <w:szCs w:val="16"/>
          <w:color w:val="auto"/>
        </w:rPr>
      </w:pPr>
    </w:p>
    <w:p>
      <w:pPr>
        <w:ind w:left="400" w:right="160" w:hanging="388"/>
        <w:spacing w:after="0" w:line="284" w:lineRule="auto"/>
        <w:tabs>
          <w:tab w:leader="none" w:pos="400" w:val="left"/>
        </w:tabs>
        <w:numPr>
          <w:ilvl w:val="0"/>
          <w:numId w:val="4"/>
        </w:numPr>
        <w:rPr>
          <w:rFonts w:ascii="Arial" w:cs="Arial" w:eastAsia="Arial" w:hAnsi="Arial"/>
          <w:sz w:val="16"/>
          <w:szCs w:val="16"/>
          <w:color w:val="auto"/>
        </w:rPr>
      </w:pPr>
      <w:r>
        <w:rPr>
          <w:rFonts w:ascii="Arial" w:cs="Arial" w:eastAsia="Arial" w:hAnsi="Arial"/>
          <w:sz w:val="16"/>
          <w:szCs w:val="16"/>
          <w:color w:val="auto"/>
        </w:rPr>
        <w:t>GAAP net income in Q4 2020 was $5.5 million, or $0.29 per share, compared to net loss of $2.0 million, or $0.12 per share, in Q4 2019 and net loss of $1.3 million, or $0.07 per share, in Q3 2020. The change from net losses in Q4 2019 and Q3 2020 to net income in Q4 2020 is primarily due to recognition of income tax refund receivable of approximately $7.1 million arising out of the carryback of net operating losses that became possible due to the enactment of the CARES Act, as well as an increase in gross profit due to increase in revenues and decrease in operating costs.</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 w:type="dxa"/>
            <w:vAlign w:val="bottom"/>
          </w:tcPr>
          <w:p>
            <w:pPr>
              <w:spacing w:after="0"/>
              <w:rPr>
                <w:sz w:val="18"/>
                <w:szCs w:val="18"/>
                <w:color w:val="auto"/>
              </w:rPr>
            </w:pPr>
          </w:p>
        </w:tc>
        <w:tc>
          <w:tcPr>
            <w:tcW w:w="3300" w:type="dxa"/>
            <w:vAlign w:val="bottom"/>
            <w:gridSpan w:val="3"/>
          </w:tcPr>
          <w:p>
            <w:pPr>
              <w:spacing w:after="0"/>
              <w:rPr>
                <w:sz w:val="20"/>
                <w:szCs w:val="20"/>
                <w:color w:val="auto"/>
              </w:rPr>
            </w:pPr>
            <w:r>
              <w:rPr>
                <w:rFonts w:ascii="Arial" w:cs="Arial" w:eastAsia="Arial" w:hAnsi="Arial"/>
                <w:sz w:val="16"/>
                <w:szCs w:val="16"/>
                <w:b w:val="1"/>
                <w:bCs w:val="1"/>
                <w:color w:val="auto"/>
              </w:rPr>
              <w:t>($ in 000, except per share)</w:t>
            </w:r>
          </w:p>
        </w:tc>
        <w:tc>
          <w:tcPr>
            <w:tcW w:w="480" w:type="dxa"/>
            <w:vAlign w:val="bottom"/>
          </w:tcPr>
          <w:p>
            <w:pPr>
              <w:spacing w:after="0"/>
              <w:rPr>
                <w:sz w:val="18"/>
                <w:szCs w:val="18"/>
                <w:color w:val="auto"/>
              </w:rPr>
            </w:pPr>
          </w:p>
        </w:tc>
        <w:tc>
          <w:tcPr>
            <w:tcW w:w="3580" w:type="dxa"/>
            <w:vAlign w:val="bottom"/>
            <w:gridSpan w:val="4"/>
          </w:tcPr>
          <w:p>
            <w:pPr>
              <w:jc w:val="right"/>
              <w:ind w:right="631"/>
              <w:spacing w:after="0"/>
              <w:rPr>
                <w:sz w:val="20"/>
                <w:szCs w:val="20"/>
                <w:color w:val="auto"/>
              </w:rPr>
            </w:pPr>
            <w:r>
              <w:rPr>
                <w:rFonts w:ascii="Arial" w:cs="Arial" w:eastAsia="Arial" w:hAnsi="Arial"/>
                <w:sz w:val="16"/>
                <w:szCs w:val="16"/>
                <w:b w:val="1"/>
                <w:bCs w:val="1"/>
                <w:color w:val="auto"/>
              </w:rPr>
              <w:t>Three months ended December 31,</w:t>
            </w:r>
          </w:p>
        </w:tc>
        <w:tc>
          <w:tcPr>
            <w:tcW w:w="360" w:type="dxa"/>
            <w:vAlign w:val="bottom"/>
          </w:tcPr>
          <w:p>
            <w:pPr>
              <w:spacing w:after="0"/>
              <w:rPr>
                <w:sz w:val="18"/>
                <w:szCs w:val="18"/>
                <w:color w:val="auto"/>
              </w:rPr>
            </w:pPr>
          </w:p>
        </w:tc>
        <w:tc>
          <w:tcPr>
            <w:tcW w:w="2520" w:type="dxa"/>
            <w:vAlign w:val="bottom"/>
            <w:gridSpan w:val="3"/>
          </w:tcPr>
          <w:p>
            <w:pPr>
              <w:jc w:val="right"/>
              <w:spacing w:after="0"/>
              <w:rPr>
                <w:sz w:val="20"/>
                <w:szCs w:val="20"/>
                <w:color w:val="auto"/>
              </w:rPr>
            </w:pPr>
            <w:r>
              <w:rPr>
                <w:rFonts w:ascii="Arial" w:cs="Arial" w:eastAsia="Arial" w:hAnsi="Arial"/>
                <w:sz w:val="16"/>
                <w:szCs w:val="16"/>
                <w:b w:val="1"/>
                <w:bCs w:val="1"/>
                <w:color w:val="auto"/>
              </w:rPr>
              <w:t>Year ended December 31,</w:t>
            </w: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jc w:val="right"/>
              <w:ind w:right="431"/>
              <w:spacing w:after="0"/>
              <w:rPr>
                <w:sz w:val="20"/>
                <w:szCs w:val="20"/>
                <w:color w:val="auto"/>
              </w:rPr>
            </w:pPr>
            <w:r>
              <w:rPr>
                <w:rFonts w:ascii="Arial" w:cs="Arial" w:eastAsia="Arial" w:hAnsi="Arial"/>
                <w:sz w:val="16"/>
                <w:szCs w:val="16"/>
                <w:b w:val="1"/>
                <w:bCs w:val="1"/>
                <w:color w:val="auto"/>
              </w:rPr>
              <w:t>2020</w:t>
            </w:r>
          </w:p>
        </w:tc>
        <w:tc>
          <w:tcPr>
            <w:tcW w:w="320" w:type="dxa"/>
            <w:vAlign w:val="bottom"/>
          </w:tcPr>
          <w:p>
            <w:pPr>
              <w:spacing w:after="0"/>
              <w:rPr>
                <w:sz w:val="19"/>
                <w:szCs w:val="19"/>
                <w:color w:val="auto"/>
              </w:rPr>
            </w:pPr>
          </w:p>
        </w:tc>
        <w:tc>
          <w:tcPr>
            <w:tcW w:w="1120" w:type="dxa"/>
            <w:vAlign w:val="bottom"/>
          </w:tcPr>
          <w:p>
            <w:pPr>
              <w:jc w:val="right"/>
              <w:ind w:right="491"/>
              <w:spacing w:after="0"/>
              <w:rPr>
                <w:sz w:val="20"/>
                <w:szCs w:val="20"/>
                <w:color w:val="auto"/>
              </w:rPr>
            </w:pPr>
            <w:r>
              <w:rPr>
                <w:rFonts w:ascii="Arial" w:cs="Arial" w:eastAsia="Arial" w:hAnsi="Arial"/>
                <w:sz w:val="16"/>
                <w:szCs w:val="16"/>
                <w:b w:val="1"/>
                <w:bCs w:val="1"/>
                <w:color w:val="auto"/>
              </w:rPr>
              <w:t>2019</w:t>
            </w:r>
          </w:p>
        </w:tc>
        <w:tc>
          <w:tcPr>
            <w:tcW w:w="1100" w:type="dxa"/>
            <w:vAlign w:val="bottom"/>
          </w:tcPr>
          <w:p>
            <w:pPr>
              <w:jc w:val="right"/>
              <w:ind w:right="191"/>
              <w:spacing w:after="0"/>
              <w:rPr>
                <w:sz w:val="20"/>
                <w:szCs w:val="20"/>
                <w:color w:val="auto"/>
              </w:rPr>
            </w:pPr>
            <w:r>
              <w:rPr>
                <w:rFonts w:ascii="Arial" w:cs="Arial" w:eastAsia="Arial" w:hAnsi="Arial"/>
                <w:sz w:val="16"/>
                <w:szCs w:val="16"/>
                <w:b w:val="1"/>
                <w:bCs w:val="1"/>
                <w:color w:val="auto"/>
              </w:rPr>
              <w:t>Change%</w:t>
            </w:r>
          </w:p>
        </w:tc>
        <w:tc>
          <w:tcPr>
            <w:tcW w:w="360" w:type="dxa"/>
            <w:vAlign w:val="bottom"/>
          </w:tcPr>
          <w:p>
            <w:pPr>
              <w:spacing w:after="0"/>
              <w:rPr>
                <w:sz w:val="19"/>
                <w:szCs w:val="19"/>
                <w:color w:val="auto"/>
              </w:rPr>
            </w:pPr>
          </w:p>
        </w:tc>
        <w:tc>
          <w:tcPr>
            <w:tcW w:w="1000" w:type="dxa"/>
            <w:vAlign w:val="bottom"/>
          </w:tcPr>
          <w:p>
            <w:pPr>
              <w:jc w:val="right"/>
              <w:ind w:right="391"/>
              <w:spacing w:after="0"/>
              <w:rPr>
                <w:sz w:val="20"/>
                <w:szCs w:val="20"/>
                <w:color w:val="auto"/>
              </w:rPr>
            </w:pPr>
            <w:r>
              <w:rPr>
                <w:rFonts w:ascii="Arial" w:cs="Arial" w:eastAsia="Arial" w:hAnsi="Arial"/>
                <w:sz w:val="16"/>
                <w:szCs w:val="16"/>
                <w:b w:val="1"/>
                <w:bCs w:val="1"/>
                <w:color w:val="auto"/>
              </w:rPr>
              <w:t>2020</w:t>
            </w:r>
          </w:p>
        </w:tc>
        <w:tc>
          <w:tcPr>
            <w:tcW w:w="340" w:type="dxa"/>
            <w:vAlign w:val="bottom"/>
          </w:tcPr>
          <w:p>
            <w:pPr>
              <w:spacing w:after="0"/>
              <w:rPr>
                <w:sz w:val="19"/>
                <w:szCs w:val="19"/>
                <w:color w:val="auto"/>
              </w:rPr>
            </w:pPr>
          </w:p>
        </w:tc>
        <w:tc>
          <w:tcPr>
            <w:tcW w:w="1180" w:type="dxa"/>
            <w:vAlign w:val="bottom"/>
          </w:tcPr>
          <w:p>
            <w:pPr>
              <w:jc w:val="right"/>
              <w:ind w:right="571"/>
              <w:spacing w:after="0"/>
              <w:rPr>
                <w:sz w:val="20"/>
                <w:szCs w:val="20"/>
                <w:color w:val="auto"/>
              </w:rPr>
            </w:pPr>
            <w:r>
              <w:rPr>
                <w:rFonts w:ascii="Arial" w:cs="Arial" w:eastAsia="Arial" w:hAnsi="Arial"/>
                <w:sz w:val="16"/>
                <w:szCs w:val="16"/>
                <w:b w:val="1"/>
                <w:bCs w:val="1"/>
                <w:color w:val="auto"/>
              </w:rPr>
              <w:t>2019</w:t>
            </w:r>
          </w:p>
        </w:tc>
        <w:tc>
          <w:tcPr>
            <w:tcW w:w="980" w:type="dxa"/>
            <w:vAlign w:val="bottom"/>
            <w:gridSpan w:val="2"/>
          </w:tcPr>
          <w:p>
            <w:pPr>
              <w:ind w:left="20"/>
              <w:spacing w:after="0"/>
              <w:rPr>
                <w:sz w:val="20"/>
                <w:szCs w:val="20"/>
                <w:color w:val="auto"/>
              </w:rPr>
            </w:pPr>
            <w:r>
              <w:rPr>
                <w:rFonts w:ascii="Arial" w:cs="Arial" w:eastAsia="Arial" w:hAnsi="Arial"/>
                <w:sz w:val="16"/>
                <w:szCs w:val="16"/>
                <w:b w:val="1"/>
                <w:bCs w:val="1"/>
                <w:color w:val="auto"/>
              </w:rPr>
              <w:t>Change %</w:t>
            </w:r>
          </w:p>
        </w:tc>
        <w:tc>
          <w:tcPr>
            <w:tcW w:w="0" w:type="dxa"/>
            <w:vAlign w:val="bottom"/>
          </w:tcPr>
          <w:p>
            <w:pPr>
              <w:spacing w:after="0"/>
              <w:rPr>
                <w:sz w:val="1"/>
                <w:szCs w:val="1"/>
                <w:color w:val="auto"/>
              </w:rPr>
            </w:pPr>
          </w:p>
        </w:tc>
      </w:tr>
      <w:tr>
        <w:trPr>
          <w:trHeight w:val="199"/>
        </w:trPr>
        <w:tc>
          <w:tcPr>
            <w:tcW w:w="4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spacing w:after="0" w:line="178" w:lineRule="exact"/>
              <w:rPr>
                <w:sz w:val="20"/>
                <w:szCs w:val="20"/>
                <w:color w:val="auto"/>
              </w:rPr>
            </w:pPr>
            <w:r>
              <w:rPr>
                <w:rFonts w:ascii="Arial" w:cs="Arial" w:eastAsia="Arial" w:hAnsi="Arial"/>
                <w:sz w:val="16"/>
                <w:szCs w:val="16"/>
                <w:b w:val="1"/>
                <w:bCs w:val="1"/>
                <w:color w:val="auto"/>
                <w:w w:val="95"/>
              </w:rPr>
              <w:t>GAAP</w:t>
            </w:r>
          </w:p>
        </w:tc>
        <w:tc>
          <w:tcPr>
            <w:tcW w:w="2840" w:type="dxa"/>
            <w:vAlign w:val="bottom"/>
            <w:tcBorders>
              <w:bottom w:val="single" w:sz="8" w:color="CCEEFF"/>
            </w:tcBorders>
            <w:gridSpan w:val="2"/>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3300" w:type="dxa"/>
            <w:vAlign w:val="bottom"/>
            <w:gridSpan w:val="3"/>
          </w:tcPr>
          <w:p>
            <w:pPr>
              <w:spacing w:after="0"/>
              <w:rPr>
                <w:sz w:val="20"/>
                <w:szCs w:val="20"/>
                <w:color w:val="auto"/>
              </w:rPr>
            </w:pPr>
            <w:r>
              <w:rPr>
                <w:rFonts w:ascii="Arial" w:cs="Arial" w:eastAsia="Arial" w:hAnsi="Arial"/>
                <w:sz w:val="18"/>
                <w:szCs w:val="18"/>
                <w:color w:val="auto"/>
              </w:rPr>
              <w:t>Revenue</w:t>
            </w:r>
          </w:p>
        </w:tc>
        <w:tc>
          <w:tcPr>
            <w:tcW w:w="4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8,566</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91"/>
              <w:spacing w:after="0"/>
              <w:rPr>
                <w:sz w:val="20"/>
                <w:szCs w:val="20"/>
                <w:color w:val="auto"/>
              </w:rPr>
            </w:pPr>
            <w:r>
              <w:rPr>
                <w:rFonts w:ascii="Arial" w:cs="Arial" w:eastAsia="Arial" w:hAnsi="Arial"/>
                <w:sz w:val="18"/>
                <w:szCs w:val="18"/>
                <w:color w:val="auto"/>
              </w:rPr>
              <w:t>6,325</w:t>
            </w:r>
          </w:p>
        </w:tc>
        <w:tc>
          <w:tcPr>
            <w:tcW w:w="1100" w:type="dxa"/>
            <w:vAlign w:val="bottom"/>
          </w:tcPr>
          <w:p>
            <w:pPr>
              <w:jc w:val="right"/>
              <w:spacing w:after="0"/>
              <w:rPr>
                <w:sz w:val="20"/>
                <w:szCs w:val="20"/>
                <w:color w:val="auto"/>
              </w:rPr>
            </w:pPr>
            <w:r>
              <w:rPr>
                <w:rFonts w:ascii="Arial" w:cs="Arial" w:eastAsia="Arial" w:hAnsi="Arial"/>
                <w:sz w:val="18"/>
                <w:szCs w:val="18"/>
                <w:color w:val="auto"/>
              </w:rPr>
              <w:t>35%</w:t>
            </w:r>
          </w:p>
        </w:tc>
        <w:tc>
          <w:tcPr>
            <w:tcW w:w="3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29,069</w:t>
            </w:r>
          </w:p>
        </w:tc>
        <w:tc>
          <w:tcPr>
            <w:tcW w:w="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71"/>
              <w:spacing w:after="0"/>
              <w:rPr>
                <w:sz w:val="20"/>
                <w:szCs w:val="20"/>
                <w:color w:val="auto"/>
              </w:rPr>
            </w:pPr>
            <w:r>
              <w:rPr>
                <w:rFonts w:ascii="Arial" w:cs="Arial" w:eastAsia="Arial" w:hAnsi="Arial"/>
                <w:sz w:val="18"/>
                <w:szCs w:val="18"/>
                <w:color w:val="auto"/>
              </w:rPr>
              <w:t>25,042</w:t>
            </w:r>
          </w:p>
        </w:tc>
        <w:tc>
          <w:tcPr>
            <w:tcW w:w="960" w:type="dxa"/>
            <w:vAlign w:val="bottom"/>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shd w:val="clear" w:color="auto" w:fill="CCEEFF"/>
          </w:tcPr>
          <w:p>
            <w:pPr>
              <w:spacing w:after="0"/>
              <w:rPr>
                <w:sz w:val="18"/>
                <w:szCs w:val="18"/>
                <w:color w:val="auto"/>
              </w:rPr>
            </w:pPr>
          </w:p>
        </w:tc>
        <w:tc>
          <w:tcPr>
            <w:tcW w:w="3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Gross profit</w:t>
            </w:r>
          </w:p>
        </w:tc>
        <w:tc>
          <w:tcPr>
            <w:tcW w:w="4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3,583</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3,013</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12,559</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11,193</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3300" w:type="dxa"/>
            <w:vAlign w:val="bottom"/>
            <w:gridSpan w:val="3"/>
          </w:tcPr>
          <w:p>
            <w:pPr>
              <w:spacing w:after="0"/>
              <w:rPr>
                <w:sz w:val="20"/>
                <w:szCs w:val="20"/>
                <w:color w:val="auto"/>
              </w:rPr>
            </w:pPr>
            <w:r>
              <w:rPr>
                <w:rFonts w:ascii="Arial" w:cs="Arial" w:eastAsia="Arial" w:hAnsi="Arial"/>
                <w:sz w:val="18"/>
                <w:szCs w:val="18"/>
                <w:color w:val="auto"/>
              </w:rPr>
              <w:t>Operating expenses</w:t>
            </w:r>
          </w:p>
        </w:tc>
        <w:tc>
          <w:tcPr>
            <w:tcW w:w="480" w:type="dxa"/>
            <w:vAlign w:val="bottom"/>
          </w:tcPr>
          <w:p>
            <w:pPr>
              <w:spacing w:after="0"/>
              <w:rPr>
                <w:sz w:val="18"/>
                <w:szCs w:val="18"/>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4,400</w:t>
            </w:r>
          </w:p>
        </w:tc>
        <w:tc>
          <w:tcPr>
            <w:tcW w:w="320" w:type="dxa"/>
            <w:vAlign w:val="bottom"/>
          </w:tcPr>
          <w:p>
            <w:pPr>
              <w:spacing w:after="0"/>
              <w:rPr>
                <w:sz w:val="18"/>
                <w:szCs w:val="18"/>
                <w:color w:val="auto"/>
              </w:rPr>
            </w:pPr>
          </w:p>
        </w:tc>
        <w:tc>
          <w:tcPr>
            <w:tcW w:w="1120" w:type="dxa"/>
            <w:vAlign w:val="bottom"/>
          </w:tcPr>
          <w:p>
            <w:pPr>
              <w:jc w:val="right"/>
              <w:ind w:right="91"/>
              <w:spacing w:after="0"/>
              <w:rPr>
                <w:sz w:val="20"/>
                <w:szCs w:val="20"/>
                <w:color w:val="auto"/>
              </w:rPr>
            </w:pPr>
            <w:r>
              <w:rPr>
                <w:rFonts w:ascii="Arial" w:cs="Arial" w:eastAsia="Arial" w:hAnsi="Arial"/>
                <w:sz w:val="18"/>
                <w:szCs w:val="18"/>
                <w:color w:val="auto"/>
              </w:rPr>
              <w:t>4,982</w:t>
            </w:r>
          </w:p>
        </w:tc>
        <w:tc>
          <w:tcPr>
            <w:tcW w:w="1100" w:type="dxa"/>
            <w:vAlign w:val="bottom"/>
          </w:tcPr>
          <w:p>
            <w:pPr>
              <w:jc w:val="right"/>
              <w:spacing w:after="0"/>
              <w:rPr>
                <w:sz w:val="20"/>
                <w:szCs w:val="20"/>
                <w:color w:val="auto"/>
              </w:rPr>
            </w:pPr>
            <w:r>
              <w:rPr>
                <w:rFonts w:ascii="Arial" w:cs="Arial" w:eastAsia="Arial" w:hAnsi="Arial"/>
                <w:sz w:val="18"/>
                <w:szCs w:val="18"/>
                <w:color w:val="auto"/>
              </w:rPr>
              <w:t>-12%</w:t>
            </w:r>
          </w:p>
        </w:tc>
        <w:tc>
          <w:tcPr>
            <w:tcW w:w="3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18,126</w:t>
            </w:r>
          </w:p>
        </w:tc>
        <w:tc>
          <w:tcPr>
            <w:tcW w:w="340" w:type="dxa"/>
            <w:vAlign w:val="bottom"/>
          </w:tcPr>
          <w:p>
            <w:pPr>
              <w:spacing w:after="0"/>
              <w:rPr>
                <w:sz w:val="18"/>
                <w:szCs w:val="18"/>
                <w:color w:val="auto"/>
              </w:rPr>
            </w:pPr>
          </w:p>
        </w:tc>
        <w:tc>
          <w:tcPr>
            <w:tcW w:w="1180" w:type="dxa"/>
            <w:vAlign w:val="bottom"/>
          </w:tcPr>
          <w:p>
            <w:pPr>
              <w:jc w:val="right"/>
              <w:ind w:right="171"/>
              <w:spacing w:after="0"/>
              <w:rPr>
                <w:sz w:val="20"/>
                <w:szCs w:val="20"/>
                <w:color w:val="auto"/>
              </w:rPr>
            </w:pPr>
            <w:r>
              <w:rPr>
                <w:rFonts w:ascii="Arial" w:cs="Arial" w:eastAsia="Arial" w:hAnsi="Arial"/>
                <w:sz w:val="18"/>
                <w:szCs w:val="18"/>
                <w:color w:val="auto"/>
              </w:rPr>
              <w:t>19,755</w:t>
            </w:r>
          </w:p>
        </w:tc>
        <w:tc>
          <w:tcPr>
            <w:tcW w:w="960" w:type="dxa"/>
            <w:vAlign w:val="bottom"/>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shd w:val="clear" w:color="auto" w:fill="CCEEFF"/>
          </w:tcPr>
          <w:p>
            <w:pPr>
              <w:spacing w:after="0"/>
              <w:rPr>
                <w:sz w:val="18"/>
                <w:szCs w:val="18"/>
                <w:color w:val="auto"/>
              </w:rPr>
            </w:pPr>
          </w:p>
        </w:tc>
        <w:tc>
          <w:tcPr>
            <w:tcW w:w="3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4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(817)</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(1,969)</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(5,567)</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(8,562)</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3300" w:type="dxa"/>
            <w:vAlign w:val="bottom"/>
            <w:gridSpan w:val="3"/>
          </w:tcPr>
          <w:p>
            <w:pPr>
              <w:spacing w:after="0"/>
              <w:rPr>
                <w:sz w:val="20"/>
                <w:szCs w:val="20"/>
                <w:color w:val="auto"/>
              </w:rPr>
            </w:pPr>
            <w:r>
              <w:rPr>
                <w:rFonts w:ascii="Arial" w:cs="Arial" w:eastAsia="Arial" w:hAnsi="Arial"/>
                <w:sz w:val="18"/>
                <w:szCs w:val="18"/>
                <w:color w:val="auto"/>
              </w:rPr>
              <w:t>Net income (loss)</w:t>
            </w:r>
          </w:p>
        </w:tc>
        <w:tc>
          <w:tcPr>
            <w:tcW w:w="480" w:type="dxa"/>
            <w:vAlign w:val="bottom"/>
          </w:tcPr>
          <w:p>
            <w:pPr>
              <w:spacing w:after="0"/>
              <w:rPr>
                <w:sz w:val="18"/>
                <w:szCs w:val="18"/>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5,549</w:t>
            </w:r>
          </w:p>
        </w:tc>
        <w:tc>
          <w:tcPr>
            <w:tcW w:w="320" w:type="dxa"/>
            <w:vAlign w:val="bottom"/>
          </w:tcPr>
          <w:p>
            <w:pPr>
              <w:spacing w:after="0"/>
              <w:rPr>
                <w:sz w:val="18"/>
                <w:szCs w:val="18"/>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(1,985)</w:t>
            </w:r>
          </w:p>
        </w:tc>
        <w:tc>
          <w:tcPr>
            <w:tcW w:w="1100" w:type="dxa"/>
            <w:vAlign w:val="bottom"/>
          </w:tcPr>
          <w:p>
            <w:pPr>
              <w:jc w:val="right"/>
              <w:spacing w:after="0"/>
              <w:rPr>
                <w:sz w:val="20"/>
                <w:szCs w:val="20"/>
                <w:color w:val="auto"/>
              </w:rPr>
            </w:pPr>
            <w:r>
              <w:rPr>
                <w:rFonts w:ascii="Arial" w:cs="Arial" w:eastAsia="Arial" w:hAnsi="Arial"/>
                <w:sz w:val="18"/>
                <w:szCs w:val="18"/>
                <w:color w:val="auto"/>
              </w:rPr>
              <w:t>380%</w:t>
            </w:r>
          </w:p>
        </w:tc>
        <w:tc>
          <w:tcPr>
            <w:tcW w:w="3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505</w:t>
            </w:r>
          </w:p>
        </w:tc>
        <w:tc>
          <w:tcPr>
            <w:tcW w:w="340" w:type="dxa"/>
            <w:vAlign w:val="bottom"/>
          </w:tcPr>
          <w:p>
            <w:pPr>
              <w:spacing w:after="0"/>
              <w:rPr>
                <w:sz w:val="18"/>
                <w:szCs w:val="18"/>
                <w:color w:val="auto"/>
              </w:rPr>
            </w:pPr>
          </w:p>
        </w:tc>
        <w:tc>
          <w:tcPr>
            <w:tcW w:w="1180" w:type="dxa"/>
            <w:vAlign w:val="bottom"/>
          </w:tcPr>
          <w:p>
            <w:pPr>
              <w:jc w:val="right"/>
              <w:ind w:right="111"/>
              <w:spacing w:after="0"/>
              <w:rPr>
                <w:sz w:val="20"/>
                <w:szCs w:val="20"/>
                <w:color w:val="auto"/>
              </w:rPr>
            </w:pPr>
            <w:r>
              <w:rPr>
                <w:rFonts w:ascii="Arial" w:cs="Arial" w:eastAsia="Arial" w:hAnsi="Arial"/>
                <w:sz w:val="18"/>
                <w:szCs w:val="18"/>
                <w:color w:val="auto"/>
              </w:rPr>
              <w:t>(8,408)</w:t>
            </w:r>
          </w:p>
        </w:tc>
        <w:tc>
          <w:tcPr>
            <w:tcW w:w="960" w:type="dxa"/>
            <w:vAlign w:val="bottom"/>
          </w:tcPr>
          <w:p>
            <w:pPr>
              <w:jc w:val="right"/>
              <w:spacing w:after="0"/>
              <w:rPr>
                <w:sz w:val="20"/>
                <w:szCs w:val="20"/>
                <w:color w:val="auto"/>
              </w:rPr>
            </w:pPr>
            <w:r>
              <w:rPr>
                <w:rFonts w:ascii="Arial" w:cs="Arial" w:eastAsia="Arial" w:hAnsi="Arial"/>
                <w:sz w:val="18"/>
                <w:szCs w:val="18"/>
                <w:color w:val="auto"/>
              </w:rPr>
              <w:t>106%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shd w:val="clear" w:color="auto" w:fill="CCEEFF"/>
          </w:tcPr>
          <w:p>
            <w:pPr>
              <w:spacing w:after="0"/>
              <w:rPr>
                <w:sz w:val="18"/>
                <w:szCs w:val="18"/>
                <w:color w:val="auto"/>
              </w:rPr>
            </w:pPr>
          </w:p>
        </w:tc>
        <w:tc>
          <w:tcPr>
            <w:tcW w:w="3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Diluted income (loss) per share</w:t>
            </w:r>
          </w:p>
        </w:tc>
        <w:tc>
          <w:tcPr>
            <w:tcW w:w="4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0.29</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(0.12)</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w:t>
            </w: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(0.51)</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3300" w:type="dxa"/>
            <w:vAlign w:val="bottom"/>
            <w:gridSpan w:val="3"/>
          </w:tcPr>
          <w:p>
            <w:pPr>
              <w:spacing w:after="0" w:line="176" w:lineRule="exact"/>
              <w:rPr>
                <w:sz w:val="20"/>
                <w:szCs w:val="20"/>
                <w:color w:val="auto"/>
              </w:rPr>
            </w:pPr>
            <w:r>
              <w:rPr>
                <w:rFonts w:ascii="Arial" w:cs="Arial" w:eastAsia="Arial" w:hAnsi="Arial"/>
                <w:sz w:val="18"/>
                <w:szCs w:val="18"/>
                <w:b w:val="1"/>
                <w:bCs w:val="1"/>
                <w:color w:val="auto"/>
              </w:rPr>
              <w:t>Non-GAAP</w:t>
            </w:r>
          </w:p>
        </w:tc>
        <w:tc>
          <w:tcPr>
            <w:tcW w:w="4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0" w:type="dxa"/>
            <w:vAlign w:val="bottom"/>
            <w:shd w:val="clear" w:color="auto" w:fill="CCEEFF"/>
          </w:tcPr>
          <w:p>
            <w:pPr>
              <w:spacing w:after="0"/>
              <w:rPr>
                <w:sz w:val="18"/>
                <w:szCs w:val="18"/>
                <w:color w:val="auto"/>
              </w:rPr>
            </w:pPr>
          </w:p>
        </w:tc>
        <w:tc>
          <w:tcPr>
            <w:tcW w:w="3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Non-GAAP gross profit</w:t>
            </w:r>
          </w:p>
        </w:tc>
        <w:tc>
          <w:tcPr>
            <w:tcW w:w="4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3,583</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3,015</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3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12,561</w:t>
            </w:r>
          </w:p>
        </w:tc>
        <w:tc>
          <w:tcPr>
            <w:tcW w:w="3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11,201</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3300" w:type="dxa"/>
            <w:vAlign w:val="bottom"/>
            <w:gridSpan w:val="3"/>
          </w:tcPr>
          <w:p>
            <w:pPr>
              <w:spacing w:after="0"/>
              <w:rPr>
                <w:sz w:val="20"/>
                <w:szCs w:val="20"/>
                <w:color w:val="auto"/>
              </w:rPr>
            </w:pPr>
            <w:r>
              <w:rPr>
                <w:rFonts w:ascii="Arial" w:cs="Arial" w:eastAsia="Arial" w:hAnsi="Arial"/>
                <w:sz w:val="18"/>
                <w:szCs w:val="18"/>
                <w:color w:val="auto"/>
              </w:rPr>
              <w:t>Non-GAAP operating expenses</w:t>
            </w:r>
          </w:p>
        </w:tc>
        <w:tc>
          <w:tcPr>
            <w:tcW w:w="480" w:type="dxa"/>
            <w:vAlign w:val="bottom"/>
          </w:tcPr>
          <w:p>
            <w:pPr>
              <w:spacing w:after="0"/>
              <w:rPr>
                <w:sz w:val="18"/>
                <w:szCs w:val="18"/>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3,919</w:t>
            </w:r>
          </w:p>
        </w:tc>
        <w:tc>
          <w:tcPr>
            <w:tcW w:w="320" w:type="dxa"/>
            <w:vAlign w:val="bottom"/>
          </w:tcPr>
          <w:p>
            <w:pPr>
              <w:spacing w:after="0"/>
              <w:rPr>
                <w:sz w:val="18"/>
                <w:szCs w:val="18"/>
                <w:color w:val="auto"/>
              </w:rPr>
            </w:pPr>
          </w:p>
        </w:tc>
        <w:tc>
          <w:tcPr>
            <w:tcW w:w="1120" w:type="dxa"/>
            <w:vAlign w:val="bottom"/>
          </w:tcPr>
          <w:p>
            <w:pPr>
              <w:jc w:val="right"/>
              <w:ind w:right="91"/>
              <w:spacing w:after="0"/>
              <w:rPr>
                <w:sz w:val="20"/>
                <w:szCs w:val="20"/>
                <w:color w:val="auto"/>
              </w:rPr>
            </w:pPr>
            <w:r>
              <w:rPr>
                <w:rFonts w:ascii="Arial" w:cs="Arial" w:eastAsia="Arial" w:hAnsi="Arial"/>
                <w:sz w:val="18"/>
                <w:szCs w:val="18"/>
                <w:color w:val="auto"/>
              </w:rPr>
              <w:t>4,595</w:t>
            </w:r>
          </w:p>
        </w:tc>
        <w:tc>
          <w:tcPr>
            <w:tcW w:w="1100" w:type="dxa"/>
            <w:vAlign w:val="bottom"/>
          </w:tcPr>
          <w:p>
            <w:pPr>
              <w:jc w:val="right"/>
              <w:spacing w:after="0"/>
              <w:rPr>
                <w:sz w:val="20"/>
                <w:szCs w:val="20"/>
                <w:color w:val="auto"/>
              </w:rPr>
            </w:pPr>
            <w:r>
              <w:rPr>
                <w:rFonts w:ascii="Arial" w:cs="Arial" w:eastAsia="Arial" w:hAnsi="Arial"/>
                <w:sz w:val="18"/>
                <w:szCs w:val="18"/>
                <w:color w:val="auto"/>
              </w:rPr>
              <w:t>-15%</w:t>
            </w:r>
          </w:p>
        </w:tc>
        <w:tc>
          <w:tcPr>
            <w:tcW w:w="3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16,369</w:t>
            </w:r>
          </w:p>
        </w:tc>
        <w:tc>
          <w:tcPr>
            <w:tcW w:w="340" w:type="dxa"/>
            <w:vAlign w:val="bottom"/>
          </w:tcPr>
          <w:p>
            <w:pPr>
              <w:spacing w:after="0"/>
              <w:rPr>
                <w:sz w:val="18"/>
                <w:szCs w:val="18"/>
                <w:color w:val="auto"/>
              </w:rPr>
            </w:pPr>
          </w:p>
        </w:tc>
        <w:tc>
          <w:tcPr>
            <w:tcW w:w="1180" w:type="dxa"/>
            <w:vAlign w:val="bottom"/>
          </w:tcPr>
          <w:p>
            <w:pPr>
              <w:jc w:val="right"/>
              <w:ind w:right="171"/>
              <w:spacing w:after="0"/>
              <w:rPr>
                <w:sz w:val="20"/>
                <w:szCs w:val="20"/>
                <w:color w:val="auto"/>
              </w:rPr>
            </w:pPr>
            <w:r>
              <w:rPr>
                <w:rFonts w:ascii="Arial" w:cs="Arial" w:eastAsia="Arial" w:hAnsi="Arial"/>
                <w:sz w:val="18"/>
                <w:szCs w:val="18"/>
                <w:color w:val="auto"/>
              </w:rPr>
              <w:t>18,136</w:t>
            </w:r>
          </w:p>
        </w:tc>
        <w:tc>
          <w:tcPr>
            <w:tcW w:w="960" w:type="dxa"/>
            <w:vAlign w:val="bottom"/>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shd w:val="clear" w:color="auto" w:fill="CCEEFF"/>
          </w:tcPr>
          <w:p>
            <w:pPr>
              <w:spacing w:after="0"/>
              <w:rPr>
                <w:sz w:val="18"/>
                <w:szCs w:val="18"/>
                <w:color w:val="auto"/>
              </w:rPr>
            </w:pPr>
          </w:p>
        </w:tc>
        <w:tc>
          <w:tcPr>
            <w:tcW w:w="3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Non-GAAP operating loss</w:t>
            </w:r>
          </w:p>
        </w:tc>
        <w:tc>
          <w:tcPr>
            <w:tcW w:w="4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(1,582)</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(3,810)</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(6,943)</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3300" w:type="dxa"/>
            <w:vAlign w:val="bottom"/>
            <w:gridSpan w:val="3"/>
          </w:tcPr>
          <w:p>
            <w:pPr>
              <w:spacing w:after="0"/>
              <w:rPr>
                <w:sz w:val="20"/>
                <w:szCs w:val="20"/>
                <w:color w:val="auto"/>
              </w:rPr>
            </w:pPr>
            <w:r>
              <w:rPr>
                <w:rFonts w:ascii="Arial" w:cs="Arial" w:eastAsia="Arial" w:hAnsi="Arial"/>
                <w:sz w:val="18"/>
                <w:szCs w:val="18"/>
                <w:color w:val="auto"/>
              </w:rPr>
              <w:t>Non-GAAP net income (loss)</w:t>
            </w:r>
          </w:p>
        </w:tc>
        <w:tc>
          <w:tcPr>
            <w:tcW w:w="480" w:type="dxa"/>
            <w:vAlign w:val="bottom"/>
          </w:tcPr>
          <w:p>
            <w:pPr>
              <w:spacing w:after="0"/>
              <w:rPr>
                <w:sz w:val="18"/>
                <w:szCs w:val="18"/>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6,030</w:t>
            </w:r>
          </w:p>
        </w:tc>
        <w:tc>
          <w:tcPr>
            <w:tcW w:w="320" w:type="dxa"/>
            <w:vAlign w:val="bottom"/>
          </w:tcPr>
          <w:p>
            <w:pPr>
              <w:spacing w:after="0"/>
              <w:rPr>
                <w:sz w:val="18"/>
                <w:szCs w:val="18"/>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(1,598)</w:t>
            </w:r>
          </w:p>
        </w:tc>
        <w:tc>
          <w:tcPr>
            <w:tcW w:w="1100" w:type="dxa"/>
            <w:vAlign w:val="bottom"/>
          </w:tcPr>
          <w:p>
            <w:pPr>
              <w:jc w:val="right"/>
              <w:spacing w:after="0"/>
              <w:rPr>
                <w:sz w:val="20"/>
                <w:szCs w:val="20"/>
                <w:color w:val="auto"/>
              </w:rPr>
            </w:pPr>
            <w:r>
              <w:rPr>
                <w:rFonts w:ascii="Arial" w:cs="Arial" w:eastAsia="Arial" w:hAnsi="Arial"/>
                <w:sz w:val="18"/>
                <w:szCs w:val="18"/>
                <w:color w:val="auto"/>
              </w:rPr>
              <w:t>477%</w:t>
            </w:r>
          </w:p>
        </w:tc>
        <w:tc>
          <w:tcPr>
            <w:tcW w:w="3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2,262</w:t>
            </w:r>
          </w:p>
        </w:tc>
        <w:tc>
          <w:tcPr>
            <w:tcW w:w="340" w:type="dxa"/>
            <w:vAlign w:val="bottom"/>
          </w:tcPr>
          <w:p>
            <w:pPr>
              <w:spacing w:after="0"/>
              <w:rPr>
                <w:sz w:val="18"/>
                <w:szCs w:val="18"/>
                <w:color w:val="auto"/>
              </w:rPr>
            </w:pPr>
          </w:p>
        </w:tc>
        <w:tc>
          <w:tcPr>
            <w:tcW w:w="1180" w:type="dxa"/>
            <w:vAlign w:val="bottom"/>
          </w:tcPr>
          <w:p>
            <w:pPr>
              <w:jc w:val="right"/>
              <w:ind w:right="111"/>
              <w:spacing w:after="0"/>
              <w:rPr>
                <w:sz w:val="20"/>
                <w:szCs w:val="20"/>
                <w:color w:val="auto"/>
              </w:rPr>
            </w:pPr>
            <w:r>
              <w:rPr>
                <w:rFonts w:ascii="Arial" w:cs="Arial" w:eastAsia="Arial" w:hAnsi="Arial"/>
                <w:sz w:val="18"/>
                <w:szCs w:val="18"/>
                <w:color w:val="auto"/>
              </w:rPr>
              <w:t>(6,789)</w:t>
            </w:r>
          </w:p>
        </w:tc>
        <w:tc>
          <w:tcPr>
            <w:tcW w:w="960" w:type="dxa"/>
            <w:vAlign w:val="bottom"/>
          </w:tcPr>
          <w:p>
            <w:pPr>
              <w:jc w:val="right"/>
              <w:spacing w:after="0"/>
              <w:rPr>
                <w:sz w:val="20"/>
                <w:szCs w:val="20"/>
                <w:color w:val="auto"/>
              </w:rPr>
            </w:pPr>
            <w:r>
              <w:rPr>
                <w:rFonts w:ascii="Arial" w:cs="Arial" w:eastAsia="Arial" w:hAnsi="Arial"/>
                <w:sz w:val="18"/>
                <w:szCs w:val="18"/>
                <w:color w:val="auto"/>
              </w:rPr>
              <w:t>133%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shd w:val="clear" w:color="auto" w:fill="CCEEFF"/>
          </w:tcPr>
          <w:p>
            <w:pPr>
              <w:spacing w:after="0"/>
              <w:rPr>
                <w:sz w:val="18"/>
                <w:szCs w:val="18"/>
                <w:color w:val="auto"/>
              </w:rPr>
            </w:pPr>
          </w:p>
        </w:tc>
        <w:tc>
          <w:tcPr>
            <w:tcW w:w="3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Non-GAAP Adjusted EBITDA</w:t>
            </w:r>
          </w:p>
        </w:tc>
        <w:tc>
          <w:tcPr>
            <w:tcW w:w="4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(1,471)</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(3,745)</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(6,221)</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3300" w:type="dxa"/>
            <w:vAlign w:val="bottom"/>
            <w:gridSpan w:val="3"/>
          </w:tcPr>
          <w:p>
            <w:pPr>
              <w:spacing w:after="0"/>
              <w:rPr>
                <w:sz w:val="20"/>
                <w:szCs w:val="20"/>
                <w:color w:val="auto"/>
              </w:rPr>
            </w:pPr>
            <w:r>
              <w:rPr>
                <w:rFonts w:ascii="Arial" w:cs="Arial" w:eastAsia="Arial" w:hAnsi="Arial"/>
                <w:sz w:val="18"/>
                <w:szCs w:val="18"/>
                <w:color w:val="auto"/>
                <w:w w:val="96"/>
              </w:rPr>
              <w:t>Non-GAAP diluted income (loss) per share</w:t>
            </w:r>
          </w:p>
        </w:tc>
        <w:tc>
          <w:tcPr>
            <w:tcW w:w="480" w:type="dxa"/>
            <w:vAlign w:val="bottom"/>
          </w:tcPr>
          <w:p>
            <w:pPr>
              <w:spacing w:after="0"/>
              <w:rPr>
                <w:sz w:val="20"/>
                <w:szCs w:val="20"/>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0.32</w:t>
            </w:r>
          </w:p>
        </w:tc>
        <w:tc>
          <w:tcPr>
            <w:tcW w:w="320" w:type="dxa"/>
            <w:vAlign w:val="bottom"/>
          </w:tcPr>
          <w:p>
            <w:pPr>
              <w:spacing w:after="0"/>
              <w:rPr>
                <w:sz w:val="20"/>
                <w:szCs w:val="20"/>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(0.10)</w:t>
            </w:r>
          </w:p>
        </w:tc>
        <w:tc>
          <w:tcPr>
            <w:tcW w:w="1100" w:type="dxa"/>
            <w:vAlign w:val="bottom"/>
          </w:tcPr>
          <w:p>
            <w:pPr>
              <w:jc w:val="right"/>
              <w:spacing w:after="0"/>
              <w:rPr>
                <w:sz w:val="20"/>
                <w:szCs w:val="20"/>
                <w:color w:val="auto"/>
              </w:rPr>
            </w:pPr>
            <w:r>
              <w:rPr>
                <w:rFonts w:ascii="Arial" w:cs="Arial" w:eastAsia="Arial" w:hAnsi="Arial"/>
                <w:sz w:val="18"/>
                <w:szCs w:val="18"/>
                <w:color w:val="auto"/>
              </w:rPr>
              <w:t>420%</w:t>
            </w:r>
          </w:p>
        </w:tc>
        <w:tc>
          <w:tcPr>
            <w:tcW w:w="3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0.13</w:t>
            </w:r>
          </w:p>
        </w:tc>
        <w:tc>
          <w:tcPr>
            <w:tcW w:w="340" w:type="dxa"/>
            <w:vAlign w:val="bottom"/>
          </w:tcPr>
          <w:p>
            <w:pPr>
              <w:spacing w:after="0"/>
              <w:rPr>
                <w:sz w:val="20"/>
                <w:szCs w:val="20"/>
                <w:color w:val="auto"/>
              </w:rPr>
            </w:pPr>
          </w:p>
        </w:tc>
        <w:tc>
          <w:tcPr>
            <w:tcW w:w="1180" w:type="dxa"/>
            <w:vAlign w:val="bottom"/>
          </w:tcPr>
          <w:p>
            <w:pPr>
              <w:jc w:val="right"/>
              <w:ind w:right="111"/>
              <w:spacing w:after="0"/>
              <w:rPr>
                <w:sz w:val="20"/>
                <w:szCs w:val="20"/>
                <w:color w:val="auto"/>
              </w:rPr>
            </w:pPr>
            <w:r>
              <w:rPr>
                <w:rFonts w:ascii="Arial" w:cs="Arial" w:eastAsia="Arial" w:hAnsi="Arial"/>
                <w:sz w:val="18"/>
                <w:szCs w:val="18"/>
                <w:color w:val="auto"/>
              </w:rPr>
              <w:t>(0.41)</w:t>
            </w:r>
          </w:p>
        </w:tc>
        <w:tc>
          <w:tcPr>
            <w:tcW w:w="960" w:type="dxa"/>
            <w:vAlign w:val="bottom"/>
          </w:tcPr>
          <w:p>
            <w:pPr>
              <w:jc w:val="right"/>
              <w:spacing w:after="0"/>
              <w:rPr>
                <w:sz w:val="20"/>
                <w:szCs w:val="20"/>
                <w:color w:val="auto"/>
              </w:rPr>
            </w:pPr>
            <w:r>
              <w:rPr>
                <w:rFonts w:ascii="Arial" w:cs="Arial" w:eastAsia="Arial" w:hAnsi="Arial"/>
                <w:sz w:val="18"/>
                <w:szCs w:val="18"/>
                <w:color w:val="auto"/>
              </w:rPr>
              <w:t>132%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Balance Sheet Highlights</w:t>
      </w:r>
    </w:p>
    <w:p>
      <w:pPr>
        <w:spacing w:after="0" w:line="148" w:lineRule="exact"/>
        <w:rPr>
          <w:sz w:val="20"/>
          <w:szCs w:val="20"/>
          <w:color w:val="auto"/>
        </w:rPr>
      </w:pPr>
    </w:p>
    <w:p>
      <w:pPr>
        <w:ind w:right="20"/>
        <w:spacing w:after="0" w:line="311" w:lineRule="auto"/>
        <w:rPr>
          <w:sz w:val="20"/>
          <w:szCs w:val="20"/>
          <w:color w:val="auto"/>
        </w:rPr>
      </w:pPr>
      <w:r>
        <w:rPr>
          <w:rFonts w:ascii="Arial" w:cs="Arial" w:eastAsia="Arial" w:hAnsi="Arial"/>
          <w:sz w:val="16"/>
          <w:szCs w:val="16"/>
          <w:color w:val="auto"/>
        </w:rPr>
        <w:t>At December 31, 2020, cash, cash equivalents and investments were $6.7 million, as compared with $8.6 million at December 31, 2019. The Company carries debt of $3.0 million on account of senior convertible notes issued in December 2019 and $1.5 million in Paycheck Protection Program (PPP) loan in April 2020. The Company intends to use the entire PPP loan amount for qualifying expenses and to apply for forgiveness of the PPP loan.</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ClearOne</w:t>
      </w:r>
    </w:p>
    <w:p>
      <w:pPr>
        <w:spacing w:after="0" w:line="148" w:lineRule="exact"/>
        <w:rPr>
          <w:sz w:val="20"/>
          <w:szCs w:val="20"/>
          <w:color w:val="auto"/>
        </w:rPr>
      </w:pPr>
    </w:p>
    <w:p>
      <w:pPr>
        <w:ind w:right="500"/>
        <w:spacing w:after="0" w:line="263" w:lineRule="auto"/>
        <w:rPr>
          <w:sz w:val="20"/>
          <w:szCs w:val="20"/>
          <w:color w:val="auto"/>
        </w:rPr>
      </w:pPr>
      <w:r>
        <w:rPr>
          <w:rFonts w:ascii="Arial" w:cs="Arial" w:eastAsia="Arial" w:hAnsi="Arial"/>
          <w:sz w:val="18"/>
          <w:szCs w:val="18"/>
          <w:color w:val="auto"/>
        </w:rPr>
        <w:t xml:space="preserve">ClearOne is a global company that designs, develops and sells conferencing, collaboration, and network streaming solutions for voice and visual communications. The performance and simplicity of its advanced comprehensive solutions offer unprecedented levels of functionality, reliability and scalability. Visit ClearOne at </w:t>
      </w:r>
      <w:r>
        <w:rPr>
          <w:rFonts w:ascii="Arial" w:cs="Arial" w:eastAsia="Arial" w:hAnsi="Arial"/>
          <w:sz w:val="18"/>
          <w:szCs w:val="18"/>
          <w:u w:val="single" w:color="auto"/>
          <w:color w:val="auto"/>
        </w:rPr>
        <w:t>www.clearone.com</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172720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Non-GAAP Financial Measures</w:t>
      </w:r>
    </w:p>
    <w:p>
      <w:pPr>
        <w:spacing w:after="0" w:line="148"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To supplement our consolidated financial statements presented on a GAAP basis, ClearOne uses non-GAAP measures of gross profit, operating income (loss), net income (loss), adjusted Earnings Before Interest, Taxes, Depreciation and Amortization (EBITDA) and net income (loss) per share, which are adjusted to exclude certain costs, expenses, gains and losses we believe appropriate to enhance an overall understanding of our past financial performance from period to period and also our prospects for the future. These adjustments to our current period GAAP results are made with the intent of providing both management and investors a more complete understanding of ClearOne’s underlying operational results and trends and our marketplace performance. The non-GAAP results are an indication of our baseline performance before certain gains, losses, or other charges that are considered by management to be outside of our core operating results. In addition, these adjusted non-GAAP results are among the primary indicators management uses as a basis for our planning and forecasting of future periods. The presentation of this additional non-GAAP financial information is not meant to be considered in isolation or as a substitute for gross profit, operating income (loss), net income (loss), income (loss) per share or other financial measures prepared in accordance with GAAP. There are limitations to the use of non-GAAP financial measures. Other companies, including companies in ClearOne’s industry, may calculate non-GAAP financial measures differently than ClearOne does, limiting the usefulness of those measures for comparative purposes. A detailed reconciliation of non-GAAP financial measures to the most directly comparable GAAP financial measures is included with this release below.</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148"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color w:val="auto"/>
        </w:rPr>
        <w:t>This release contains “forward-looking” statements that are based on present circumstances and on ClearOne’s predictions with respect to events that have not occurred, that may not occur, or that may occur with different consequences and timing than those now assumed or anticipated. Such forward-looking statements and any statements of the plans and objectives of management for future operations and forecasts of future growth and value and the possible outcomes of litigation, are not guarantees of future performance or results and involve risks and uncertainties that could cause actual events or results to differ materially from the events or results described in the forward-looking statements. Such forward-looking statements are made only as of the date of this release and ClearOne assumes no obligation to update forward-looking statements to reflect subsequent events or circumstances. Readers should not place undue reliance on these forward-looking statements. The information in this press release should be read in conjunction with, and is modified in its entirety by, the Annual Report on Form 10-K (the “10-K”) filed by the Company for the same period with the Securities and Exchange Commission (the “SEC”) and all of the Company’s other public filings with the SEC (the “Public Filings”).</w:t>
      </w:r>
    </w:p>
    <w:p>
      <w:pPr>
        <w:spacing w:after="0" w:line="166" w:lineRule="exact"/>
        <w:rPr>
          <w:sz w:val="20"/>
          <w:szCs w:val="20"/>
          <w:color w:val="auto"/>
        </w:rPr>
      </w:pPr>
    </w:p>
    <w:p>
      <w:pPr>
        <w:jc w:val="both"/>
        <w:ind w:right="80"/>
        <w:spacing w:after="0" w:line="311" w:lineRule="auto"/>
        <w:rPr>
          <w:sz w:val="20"/>
          <w:szCs w:val="20"/>
          <w:color w:val="auto"/>
        </w:rPr>
      </w:pPr>
      <w:r>
        <w:rPr>
          <w:rFonts w:ascii="Arial" w:cs="Arial" w:eastAsia="Arial" w:hAnsi="Arial"/>
          <w:sz w:val="16"/>
          <w:szCs w:val="16"/>
          <w:color w:val="auto"/>
        </w:rPr>
        <w:t>In particular, the financial information contained herein is subject to and qualified by reference to the financial statements contained in the 10-Q, including the footnotes thereto, as well as the Company’s annual report on Form 10-K for the year ended December 31, 2020 (the “10-K”), the footnotes thereto and the limitations set forth therein. Investors may not rely on the press release without reference to the 10-Q, the 10-K and the Public Filings.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801-975-7200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investor_relations@clearone.com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http://investors.clearone.com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6" w:name="page7"/>
    <w:bookmarkEnd w:id="6"/>
    <w:p>
      <w:pPr>
        <w:jc w:val="center"/>
        <w:ind w:right="120"/>
        <w:spacing w:after="0"/>
        <w:rPr>
          <w:sz w:val="20"/>
          <w:szCs w:val="20"/>
          <w:color w:val="auto"/>
        </w:rPr>
      </w:pPr>
      <w:r>
        <w:rPr>
          <w:rFonts w:ascii="Arial" w:cs="Arial" w:eastAsia="Arial" w:hAnsi="Arial"/>
          <w:sz w:val="18"/>
          <w:szCs w:val="18"/>
          <w:b w:val="1"/>
          <w:bCs w:val="1"/>
          <w:color w:val="auto"/>
        </w:rPr>
        <w:t>CLEARONE, INC</w:t>
      </w:r>
    </w:p>
    <w:p>
      <w:pPr>
        <w:spacing w:after="0" w:line="27" w:lineRule="exact"/>
        <w:rPr>
          <w:sz w:val="20"/>
          <w:szCs w:val="20"/>
          <w:color w:val="auto"/>
        </w:rPr>
      </w:pPr>
    </w:p>
    <w:p>
      <w:pPr>
        <w:jc w:val="center"/>
        <w:ind w:right="120"/>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(Dollars in thousands, except par value)</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w w:val="98"/>
              </w:rPr>
              <w:t>December 31, 2020</w:t>
            </w:r>
          </w:p>
        </w:tc>
        <w:tc>
          <w:tcPr>
            <w:tcW w:w="220" w:type="dxa"/>
            <w:vAlign w:val="bottom"/>
          </w:tcPr>
          <w:p>
            <w:pPr>
              <w:spacing w:after="0"/>
              <w:rPr>
                <w:sz w:val="18"/>
                <w:szCs w:val="18"/>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w w:val="99"/>
              </w:rPr>
              <w:t>December 31, 2019</w:t>
            </w:r>
          </w:p>
        </w:tc>
      </w:tr>
      <w:tr>
        <w:trPr>
          <w:trHeight w:val="213"/>
        </w:trPr>
        <w:tc>
          <w:tcPr>
            <w:tcW w:w="7560" w:type="dxa"/>
            <w:vAlign w:val="bottom"/>
            <w:tcBorders>
              <w:top w:val="single" w:sz="8" w:color="CCEEFF"/>
            </w:tcBorders>
            <w:shd w:val="clear" w:color="auto" w:fill="CCEEFF"/>
          </w:tcPr>
          <w:p>
            <w:pPr>
              <w:ind w:left="3320"/>
              <w:spacing w:after="0"/>
              <w:rPr>
                <w:sz w:val="20"/>
                <w:szCs w:val="20"/>
                <w:color w:val="auto"/>
              </w:rPr>
            </w:pPr>
            <w:r>
              <w:rPr>
                <w:rFonts w:ascii="Arial" w:cs="Arial" w:eastAsia="Arial" w:hAnsi="Arial"/>
                <w:sz w:val="18"/>
                <w:szCs w:val="18"/>
                <w:b w:val="1"/>
                <w:bCs w:val="1"/>
                <w:color w:val="auto"/>
              </w:rPr>
              <w:t>ASSETS</w:t>
            </w:r>
          </w:p>
        </w:tc>
        <w:tc>
          <w:tcPr>
            <w:tcW w:w="24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756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7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3,803</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4,064</w:t>
            </w:r>
          </w:p>
        </w:tc>
      </w:tr>
      <w:tr>
        <w:trPr>
          <w:trHeight w:val="229"/>
        </w:trPr>
        <w:tc>
          <w:tcPr>
            <w:tcW w:w="7560" w:type="dxa"/>
            <w:vAlign w:val="bottom"/>
          </w:tcPr>
          <w:p>
            <w:pPr>
              <w:ind w:left="40"/>
              <w:spacing w:after="0"/>
              <w:rPr>
                <w:sz w:val="20"/>
                <w:szCs w:val="20"/>
                <w:color w:val="auto"/>
              </w:rPr>
            </w:pPr>
            <w:r>
              <w:rPr>
                <w:rFonts w:ascii="Arial" w:cs="Arial" w:eastAsia="Arial" w:hAnsi="Arial"/>
                <w:sz w:val="18"/>
                <w:szCs w:val="18"/>
                <w:color w:val="auto"/>
              </w:rPr>
              <w:t>Marketable securities</w:t>
            </w:r>
          </w:p>
        </w:tc>
        <w:tc>
          <w:tcPr>
            <w:tcW w:w="240" w:type="dxa"/>
            <w:vAlign w:val="bottom"/>
          </w:tcPr>
          <w:p>
            <w:pPr>
              <w:spacing w:after="0"/>
              <w:rPr>
                <w:sz w:val="19"/>
                <w:szCs w:val="19"/>
                <w:color w:val="auto"/>
              </w:rPr>
            </w:pP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1,117</w:t>
            </w:r>
          </w:p>
        </w:tc>
        <w:tc>
          <w:tcPr>
            <w:tcW w:w="220" w:type="dxa"/>
            <w:vAlign w:val="bottom"/>
          </w:tcPr>
          <w:p>
            <w:pPr>
              <w:spacing w:after="0"/>
              <w:rPr>
                <w:sz w:val="19"/>
                <w:szCs w:val="19"/>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3,026</w:t>
            </w:r>
          </w:p>
        </w:tc>
      </w:tr>
      <w:tr>
        <w:trPr>
          <w:trHeight w:val="230"/>
        </w:trPr>
        <w:tc>
          <w:tcPr>
            <w:tcW w:w="7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Receivables, net of allowance for doubtful accounts of $506 and $424, respectively</w:t>
            </w:r>
          </w:p>
        </w:tc>
        <w:tc>
          <w:tcPr>
            <w:tcW w:w="24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5,194</w:t>
            </w:r>
          </w:p>
        </w:tc>
        <w:tc>
          <w:tcPr>
            <w:tcW w:w="22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5,468</w:t>
            </w:r>
          </w:p>
        </w:tc>
      </w:tr>
      <w:tr>
        <w:trPr>
          <w:trHeight w:val="229"/>
        </w:trPr>
        <w:tc>
          <w:tcPr>
            <w:tcW w:w="7560" w:type="dxa"/>
            <w:vAlign w:val="bottom"/>
          </w:tcPr>
          <w:p>
            <w:pPr>
              <w:ind w:left="40"/>
              <w:spacing w:after="0"/>
              <w:rPr>
                <w:sz w:val="20"/>
                <w:szCs w:val="20"/>
                <w:color w:val="auto"/>
              </w:rPr>
            </w:pPr>
            <w:r>
              <w:rPr>
                <w:rFonts w:ascii="Arial" w:cs="Arial" w:eastAsia="Arial" w:hAnsi="Arial"/>
                <w:sz w:val="18"/>
                <w:szCs w:val="18"/>
                <w:color w:val="auto"/>
              </w:rPr>
              <w:t>Inventories, net</w:t>
            </w:r>
          </w:p>
        </w:tc>
        <w:tc>
          <w:tcPr>
            <w:tcW w:w="240" w:type="dxa"/>
            <w:vAlign w:val="bottom"/>
          </w:tcPr>
          <w:p>
            <w:pPr>
              <w:spacing w:after="0"/>
              <w:rPr>
                <w:sz w:val="19"/>
                <w:szCs w:val="19"/>
                <w:color w:val="auto"/>
              </w:rPr>
            </w:pP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10,463</w:t>
            </w:r>
          </w:p>
        </w:tc>
        <w:tc>
          <w:tcPr>
            <w:tcW w:w="220" w:type="dxa"/>
            <w:vAlign w:val="bottom"/>
          </w:tcPr>
          <w:p>
            <w:pPr>
              <w:spacing w:after="0"/>
              <w:rPr>
                <w:sz w:val="19"/>
                <w:szCs w:val="19"/>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11,441</w:t>
            </w:r>
          </w:p>
        </w:tc>
      </w:tr>
      <w:tr>
        <w:trPr>
          <w:trHeight w:val="216"/>
        </w:trPr>
        <w:tc>
          <w:tcPr>
            <w:tcW w:w="7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Income tax receivable</w:t>
            </w:r>
          </w:p>
        </w:tc>
        <w:tc>
          <w:tcPr>
            <w:tcW w:w="24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7,169</w:t>
            </w:r>
          </w:p>
        </w:tc>
        <w:tc>
          <w:tcPr>
            <w:tcW w:w="2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w:t>
            </w:r>
          </w:p>
        </w:tc>
      </w:tr>
      <w:tr>
        <w:trPr>
          <w:trHeight w:val="230"/>
        </w:trPr>
        <w:tc>
          <w:tcPr>
            <w:tcW w:w="7560" w:type="dxa"/>
            <w:vAlign w:val="bottom"/>
          </w:tcPr>
          <w:p>
            <w:pPr>
              <w:ind w:left="40"/>
              <w:spacing w:after="0"/>
              <w:rPr>
                <w:sz w:val="20"/>
                <w:szCs w:val="20"/>
                <w:color w:val="auto"/>
              </w:rPr>
            </w:pPr>
            <w:r>
              <w:rPr>
                <w:rFonts w:ascii="Arial" w:cs="Arial" w:eastAsia="Arial" w:hAnsi="Arial"/>
                <w:sz w:val="18"/>
                <w:szCs w:val="18"/>
                <w:color w:val="auto"/>
              </w:rPr>
              <w:t>Prepaid expenses and other assets</w:t>
            </w:r>
          </w:p>
        </w:tc>
        <w:tc>
          <w:tcPr>
            <w:tcW w:w="240" w:type="dxa"/>
            <w:vAlign w:val="bottom"/>
          </w:tcPr>
          <w:p>
            <w:pPr>
              <w:spacing w:after="0"/>
              <w:rPr>
                <w:sz w:val="19"/>
                <w:szCs w:val="19"/>
                <w:color w:val="auto"/>
              </w:rPr>
            </w:pP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1,536</w:t>
            </w:r>
          </w:p>
        </w:tc>
        <w:tc>
          <w:tcPr>
            <w:tcW w:w="220" w:type="dxa"/>
            <w:vAlign w:val="bottom"/>
          </w:tcPr>
          <w:p>
            <w:pPr>
              <w:spacing w:after="0"/>
              <w:rPr>
                <w:sz w:val="19"/>
                <w:szCs w:val="19"/>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1,074</w:t>
            </w:r>
          </w:p>
        </w:tc>
      </w:tr>
      <w:tr>
        <w:trPr>
          <w:trHeight w:val="209"/>
        </w:trPr>
        <w:tc>
          <w:tcPr>
            <w:tcW w:w="7560" w:type="dxa"/>
            <w:vAlign w:val="bottom"/>
            <w:tcBorders>
              <w:top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 current assets</w:t>
            </w:r>
          </w:p>
        </w:tc>
        <w:tc>
          <w:tcPr>
            <w:tcW w:w="24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29,282</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25,183</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7560" w:type="dxa"/>
            <w:vAlign w:val="bottom"/>
          </w:tcPr>
          <w:p>
            <w:pPr>
              <w:ind w:left="40"/>
              <w:spacing w:after="0"/>
              <w:rPr>
                <w:sz w:val="20"/>
                <w:szCs w:val="20"/>
                <w:color w:val="auto"/>
              </w:rPr>
            </w:pPr>
            <w:r>
              <w:rPr>
                <w:rFonts w:ascii="Arial" w:cs="Arial" w:eastAsia="Arial" w:hAnsi="Arial"/>
                <w:sz w:val="18"/>
                <w:szCs w:val="18"/>
                <w:color w:val="auto"/>
              </w:rPr>
              <w:t>Long-term marketable securities</w:t>
            </w:r>
          </w:p>
        </w:tc>
        <w:tc>
          <w:tcPr>
            <w:tcW w:w="240" w:type="dxa"/>
            <w:vAlign w:val="bottom"/>
          </w:tcPr>
          <w:p>
            <w:pPr>
              <w:spacing w:after="0"/>
              <w:rPr>
                <w:sz w:val="19"/>
                <w:szCs w:val="19"/>
                <w:color w:val="auto"/>
              </w:rPr>
            </w:pP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1,762</w:t>
            </w:r>
          </w:p>
        </w:tc>
        <w:tc>
          <w:tcPr>
            <w:tcW w:w="220" w:type="dxa"/>
            <w:vAlign w:val="bottom"/>
          </w:tcPr>
          <w:p>
            <w:pPr>
              <w:spacing w:after="0"/>
              <w:rPr>
                <w:sz w:val="19"/>
                <w:szCs w:val="19"/>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1,517</w:t>
            </w:r>
          </w:p>
        </w:tc>
      </w:tr>
      <w:tr>
        <w:trPr>
          <w:trHeight w:val="229"/>
        </w:trPr>
        <w:tc>
          <w:tcPr>
            <w:tcW w:w="7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Long-term inventories, net</w:t>
            </w:r>
          </w:p>
        </w:tc>
        <w:tc>
          <w:tcPr>
            <w:tcW w:w="24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4,590</w:t>
            </w:r>
          </w:p>
        </w:tc>
        <w:tc>
          <w:tcPr>
            <w:tcW w:w="22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6,284</w:t>
            </w:r>
          </w:p>
        </w:tc>
      </w:tr>
      <w:tr>
        <w:trPr>
          <w:trHeight w:val="229"/>
        </w:trPr>
        <w:tc>
          <w:tcPr>
            <w:tcW w:w="7560" w:type="dxa"/>
            <w:vAlign w:val="bottom"/>
          </w:tcPr>
          <w:p>
            <w:pPr>
              <w:ind w:left="40"/>
              <w:spacing w:after="0"/>
              <w:rPr>
                <w:sz w:val="20"/>
                <w:szCs w:val="20"/>
                <w:color w:val="auto"/>
              </w:rPr>
            </w:pPr>
            <w:r>
              <w:rPr>
                <w:rFonts w:ascii="Arial" w:cs="Arial" w:eastAsia="Arial" w:hAnsi="Arial"/>
                <w:sz w:val="18"/>
                <w:szCs w:val="18"/>
                <w:color w:val="auto"/>
              </w:rPr>
              <w:t>Property and equipment, net</w:t>
            </w:r>
          </w:p>
        </w:tc>
        <w:tc>
          <w:tcPr>
            <w:tcW w:w="240" w:type="dxa"/>
            <w:vAlign w:val="bottom"/>
          </w:tcPr>
          <w:p>
            <w:pPr>
              <w:spacing w:after="0"/>
              <w:rPr>
                <w:sz w:val="19"/>
                <w:szCs w:val="19"/>
                <w:color w:val="auto"/>
              </w:rPr>
            </w:pP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906</w:t>
            </w:r>
          </w:p>
        </w:tc>
        <w:tc>
          <w:tcPr>
            <w:tcW w:w="220" w:type="dxa"/>
            <w:vAlign w:val="bottom"/>
          </w:tcPr>
          <w:p>
            <w:pPr>
              <w:spacing w:after="0"/>
              <w:rPr>
                <w:sz w:val="19"/>
                <w:szCs w:val="19"/>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1,044</w:t>
            </w:r>
          </w:p>
        </w:tc>
      </w:tr>
      <w:tr>
        <w:trPr>
          <w:trHeight w:val="230"/>
        </w:trPr>
        <w:tc>
          <w:tcPr>
            <w:tcW w:w="7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Operating lease - right of use assets, net</w:t>
            </w:r>
          </w:p>
        </w:tc>
        <w:tc>
          <w:tcPr>
            <w:tcW w:w="24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1,936</w:t>
            </w:r>
          </w:p>
        </w:tc>
        <w:tc>
          <w:tcPr>
            <w:tcW w:w="22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2,459</w:t>
            </w:r>
          </w:p>
        </w:tc>
      </w:tr>
      <w:tr>
        <w:trPr>
          <w:trHeight w:val="229"/>
        </w:trPr>
        <w:tc>
          <w:tcPr>
            <w:tcW w:w="7560" w:type="dxa"/>
            <w:vAlign w:val="bottom"/>
          </w:tcPr>
          <w:p>
            <w:pPr>
              <w:ind w:left="40"/>
              <w:spacing w:after="0"/>
              <w:rPr>
                <w:sz w:val="20"/>
                <w:szCs w:val="20"/>
                <w:color w:val="auto"/>
              </w:rPr>
            </w:pPr>
            <w:r>
              <w:rPr>
                <w:rFonts w:ascii="Arial" w:cs="Arial" w:eastAsia="Arial" w:hAnsi="Arial"/>
                <w:sz w:val="18"/>
                <w:szCs w:val="18"/>
                <w:color w:val="auto"/>
              </w:rPr>
              <w:t>Intangibles, net</w:t>
            </w:r>
          </w:p>
        </w:tc>
        <w:tc>
          <w:tcPr>
            <w:tcW w:w="240" w:type="dxa"/>
            <w:vAlign w:val="bottom"/>
          </w:tcPr>
          <w:p>
            <w:pPr>
              <w:spacing w:after="0"/>
              <w:rPr>
                <w:sz w:val="19"/>
                <w:szCs w:val="19"/>
                <w:color w:val="auto"/>
              </w:rPr>
            </w:pP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19,248</w:t>
            </w:r>
          </w:p>
        </w:tc>
        <w:tc>
          <w:tcPr>
            <w:tcW w:w="220" w:type="dxa"/>
            <w:vAlign w:val="bottom"/>
          </w:tcPr>
          <w:p>
            <w:pPr>
              <w:spacing w:after="0"/>
              <w:rPr>
                <w:sz w:val="19"/>
                <w:szCs w:val="19"/>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14,009</w:t>
            </w:r>
          </w:p>
        </w:tc>
      </w:tr>
      <w:tr>
        <w:trPr>
          <w:trHeight w:val="229"/>
        </w:trPr>
        <w:tc>
          <w:tcPr>
            <w:tcW w:w="7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24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4,599</w:t>
            </w:r>
          </w:p>
        </w:tc>
        <w:tc>
          <w:tcPr>
            <w:tcW w:w="22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4,614</w:t>
            </w:r>
          </w:p>
        </w:tc>
      </w:tr>
      <w:tr>
        <w:trPr>
          <w:trHeight w:val="250"/>
        </w:trPr>
        <w:tc>
          <w:tcPr>
            <w:tcW w:w="756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Total assets</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62,323</w:t>
            </w:r>
          </w:p>
        </w:tc>
        <w:tc>
          <w:tcPr>
            <w:tcW w:w="22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55,110</w:t>
            </w:r>
          </w:p>
        </w:tc>
        <w:tc>
          <w:tcPr>
            <w:tcW w:w="100" w:type="dxa"/>
            <w:vAlign w:val="bottom"/>
            <w:tcBorders>
              <w:bottom w:val="single" w:sz="8" w:color="CCEEFF"/>
            </w:tcBorders>
          </w:tcPr>
          <w:p>
            <w:pPr>
              <w:spacing w:after="0"/>
              <w:rPr>
                <w:sz w:val="21"/>
                <w:szCs w:val="21"/>
                <w:color w:val="auto"/>
              </w:rPr>
            </w:pPr>
          </w:p>
        </w:tc>
      </w:tr>
      <w:tr>
        <w:trPr>
          <w:trHeight w:val="197"/>
        </w:trPr>
        <w:tc>
          <w:tcPr>
            <w:tcW w:w="7560" w:type="dxa"/>
            <w:vAlign w:val="bottom"/>
            <w:shd w:val="clear" w:color="auto" w:fill="CCEEFF"/>
          </w:tcPr>
          <w:p>
            <w:pPr>
              <w:ind w:left="1700"/>
              <w:spacing w:after="0" w:line="196" w:lineRule="exact"/>
              <w:rPr>
                <w:sz w:val="20"/>
                <w:szCs w:val="20"/>
                <w:color w:val="auto"/>
              </w:rPr>
            </w:pPr>
            <w:r>
              <w:rPr>
                <w:rFonts w:ascii="Arial" w:cs="Arial" w:eastAsia="Arial" w:hAnsi="Arial"/>
                <w:sz w:val="18"/>
                <w:szCs w:val="18"/>
                <w:b w:val="1"/>
                <w:bCs w:val="1"/>
                <w:color w:val="auto"/>
              </w:rPr>
              <w:t>LIABILITIES AND SHAREHOLDERS' EQUITY</w:t>
            </w:r>
          </w:p>
        </w:tc>
        <w:tc>
          <w:tcPr>
            <w:tcW w:w="24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29"/>
        </w:trPr>
        <w:tc>
          <w:tcPr>
            <w:tcW w:w="756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2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7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Accounts payable</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3,950</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2,871</w:t>
            </w:r>
          </w:p>
        </w:tc>
      </w:tr>
      <w:tr>
        <w:trPr>
          <w:trHeight w:val="230"/>
        </w:trPr>
        <w:tc>
          <w:tcPr>
            <w:tcW w:w="7560" w:type="dxa"/>
            <w:vAlign w:val="bottom"/>
          </w:tcPr>
          <w:p>
            <w:pPr>
              <w:ind w:left="40"/>
              <w:spacing w:after="0"/>
              <w:rPr>
                <w:sz w:val="20"/>
                <w:szCs w:val="20"/>
                <w:color w:val="auto"/>
              </w:rPr>
            </w:pPr>
            <w:r>
              <w:rPr>
                <w:rFonts w:ascii="Arial" w:cs="Arial" w:eastAsia="Arial" w:hAnsi="Arial"/>
                <w:sz w:val="18"/>
                <w:szCs w:val="18"/>
                <w:color w:val="auto"/>
              </w:rPr>
              <w:t>Accrued liabilities</w:t>
            </w:r>
          </w:p>
        </w:tc>
        <w:tc>
          <w:tcPr>
            <w:tcW w:w="240" w:type="dxa"/>
            <w:vAlign w:val="bottom"/>
          </w:tcPr>
          <w:p>
            <w:pPr>
              <w:spacing w:after="0"/>
              <w:rPr>
                <w:sz w:val="19"/>
                <w:szCs w:val="19"/>
                <w:color w:val="auto"/>
              </w:rPr>
            </w:pP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2,352</w:t>
            </w:r>
          </w:p>
        </w:tc>
        <w:tc>
          <w:tcPr>
            <w:tcW w:w="220" w:type="dxa"/>
            <w:vAlign w:val="bottom"/>
          </w:tcPr>
          <w:p>
            <w:pPr>
              <w:spacing w:after="0"/>
              <w:rPr>
                <w:sz w:val="19"/>
                <w:szCs w:val="19"/>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3,205</w:t>
            </w:r>
          </w:p>
        </w:tc>
      </w:tr>
      <w:tr>
        <w:trPr>
          <w:trHeight w:val="216"/>
        </w:trPr>
        <w:tc>
          <w:tcPr>
            <w:tcW w:w="7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Deferred product revenue</w:t>
            </w:r>
          </w:p>
        </w:tc>
        <w:tc>
          <w:tcPr>
            <w:tcW w:w="24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123</w:t>
            </w:r>
          </w:p>
        </w:tc>
        <w:tc>
          <w:tcPr>
            <w:tcW w:w="2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w:t>
            </w:r>
          </w:p>
        </w:tc>
      </w:tr>
      <w:tr>
        <w:trPr>
          <w:trHeight w:val="230"/>
        </w:trPr>
        <w:tc>
          <w:tcPr>
            <w:tcW w:w="7560" w:type="dxa"/>
            <w:vAlign w:val="bottom"/>
          </w:tcPr>
          <w:p>
            <w:pPr>
              <w:ind w:left="40"/>
              <w:spacing w:after="0"/>
              <w:rPr>
                <w:sz w:val="20"/>
                <w:szCs w:val="20"/>
                <w:color w:val="auto"/>
              </w:rPr>
            </w:pPr>
            <w:r>
              <w:rPr>
                <w:rFonts w:ascii="Arial" w:cs="Arial" w:eastAsia="Arial" w:hAnsi="Arial"/>
                <w:sz w:val="18"/>
                <w:szCs w:val="18"/>
                <w:color w:val="auto"/>
              </w:rPr>
              <w:t>Short-term debt</w:t>
            </w:r>
          </w:p>
        </w:tc>
        <w:tc>
          <w:tcPr>
            <w:tcW w:w="240" w:type="dxa"/>
            <w:vAlign w:val="bottom"/>
          </w:tcPr>
          <w:p>
            <w:pPr>
              <w:spacing w:after="0"/>
              <w:rPr>
                <w:sz w:val="19"/>
                <w:szCs w:val="19"/>
                <w:color w:val="auto"/>
              </w:rPr>
            </w:pP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672</w:t>
            </w:r>
          </w:p>
        </w:tc>
        <w:tc>
          <w:tcPr>
            <w:tcW w:w="220" w:type="dxa"/>
            <w:vAlign w:val="bottom"/>
          </w:tcPr>
          <w:p>
            <w:pPr>
              <w:spacing w:after="0"/>
              <w:rPr>
                <w:sz w:val="19"/>
                <w:szCs w:val="19"/>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9"/>
        </w:trPr>
        <w:tc>
          <w:tcPr>
            <w:tcW w:w="7560" w:type="dxa"/>
            <w:vAlign w:val="bottom"/>
            <w:tcBorders>
              <w:top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 current liabilities</w:t>
            </w:r>
          </w:p>
        </w:tc>
        <w:tc>
          <w:tcPr>
            <w:tcW w:w="24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7,097</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6,249</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7560" w:type="dxa"/>
            <w:vAlign w:val="bottom"/>
          </w:tcPr>
          <w:p>
            <w:pPr>
              <w:ind w:left="40"/>
              <w:spacing w:after="0"/>
              <w:rPr>
                <w:sz w:val="20"/>
                <w:szCs w:val="20"/>
                <w:color w:val="auto"/>
              </w:rPr>
            </w:pPr>
            <w:r>
              <w:rPr>
                <w:rFonts w:ascii="Arial" w:cs="Arial" w:eastAsia="Arial" w:hAnsi="Arial"/>
                <w:sz w:val="18"/>
                <w:szCs w:val="18"/>
                <w:color w:val="auto"/>
              </w:rPr>
              <w:t>Long-term debt</w:t>
            </w:r>
          </w:p>
        </w:tc>
        <w:tc>
          <w:tcPr>
            <w:tcW w:w="240" w:type="dxa"/>
            <w:vAlign w:val="bottom"/>
          </w:tcPr>
          <w:p>
            <w:pPr>
              <w:spacing w:after="0"/>
              <w:rPr>
                <w:sz w:val="19"/>
                <w:szCs w:val="19"/>
                <w:color w:val="auto"/>
              </w:rPr>
            </w:pP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3,245</w:t>
            </w:r>
          </w:p>
        </w:tc>
        <w:tc>
          <w:tcPr>
            <w:tcW w:w="220" w:type="dxa"/>
            <w:vAlign w:val="bottom"/>
          </w:tcPr>
          <w:p>
            <w:pPr>
              <w:spacing w:after="0"/>
              <w:rPr>
                <w:sz w:val="19"/>
                <w:szCs w:val="19"/>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2,222</w:t>
            </w:r>
          </w:p>
        </w:tc>
      </w:tr>
      <w:tr>
        <w:trPr>
          <w:trHeight w:val="230"/>
        </w:trPr>
        <w:tc>
          <w:tcPr>
            <w:tcW w:w="7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Operating lease liability</w:t>
            </w:r>
          </w:p>
        </w:tc>
        <w:tc>
          <w:tcPr>
            <w:tcW w:w="24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1,489</w:t>
            </w:r>
          </w:p>
        </w:tc>
        <w:tc>
          <w:tcPr>
            <w:tcW w:w="22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2,021</w:t>
            </w:r>
          </w:p>
        </w:tc>
      </w:tr>
      <w:tr>
        <w:trPr>
          <w:trHeight w:val="230"/>
        </w:trPr>
        <w:tc>
          <w:tcPr>
            <w:tcW w:w="7560" w:type="dxa"/>
            <w:vAlign w:val="bottom"/>
          </w:tcPr>
          <w:p>
            <w:pPr>
              <w:ind w:left="40"/>
              <w:spacing w:after="0"/>
              <w:rPr>
                <w:sz w:val="20"/>
                <w:szCs w:val="20"/>
                <w:color w:val="auto"/>
              </w:rPr>
            </w:pPr>
            <w:r>
              <w:rPr>
                <w:rFonts w:ascii="Arial" w:cs="Arial" w:eastAsia="Arial" w:hAnsi="Arial"/>
                <w:sz w:val="18"/>
                <w:szCs w:val="18"/>
                <w:color w:val="auto"/>
              </w:rPr>
              <w:t>Other long-term liabilities</w:t>
            </w:r>
          </w:p>
        </w:tc>
        <w:tc>
          <w:tcPr>
            <w:tcW w:w="240" w:type="dxa"/>
            <w:vAlign w:val="bottom"/>
          </w:tcPr>
          <w:p>
            <w:pPr>
              <w:spacing w:after="0"/>
              <w:rPr>
                <w:sz w:val="19"/>
                <w:szCs w:val="19"/>
                <w:color w:val="auto"/>
              </w:rPr>
            </w:pP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678</w:t>
            </w:r>
          </w:p>
        </w:tc>
        <w:tc>
          <w:tcPr>
            <w:tcW w:w="220" w:type="dxa"/>
            <w:vAlign w:val="bottom"/>
          </w:tcPr>
          <w:p>
            <w:pPr>
              <w:spacing w:after="0"/>
              <w:rPr>
                <w:sz w:val="19"/>
                <w:szCs w:val="19"/>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140</w:t>
            </w:r>
          </w:p>
        </w:tc>
      </w:tr>
      <w:tr>
        <w:trPr>
          <w:trHeight w:val="209"/>
        </w:trPr>
        <w:tc>
          <w:tcPr>
            <w:tcW w:w="7560" w:type="dxa"/>
            <w:vAlign w:val="bottom"/>
            <w:tcBorders>
              <w:top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liabilities</w:t>
            </w: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12,509</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10,632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7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7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Shareholders' equity:</w:t>
            </w: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02"/>
        </w:trPr>
        <w:tc>
          <w:tcPr>
            <w:tcW w:w="7560" w:type="dxa"/>
            <w:vAlign w:val="bottom"/>
          </w:tcPr>
          <w:p>
            <w:pPr>
              <w:ind w:left="40"/>
              <w:spacing w:after="0" w:line="201" w:lineRule="exact"/>
              <w:rPr>
                <w:sz w:val="20"/>
                <w:szCs w:val="20"/>
                <w:color w:val="auto"/>
              </w:rPr>
            </w:pPr>
            <w:r>
              <w:rPr>
                <w:rFonts w:ascii="Arial" w:cs="Arial" w:eastAsia="Arial" w:hAnsi="Arial"/>
                <w:sz w:val="18"/>
                <w:szCs w:val="18"/>
                <w:color w:val="auto"/>
                <w:w w:val="93"/>
              </w:rPr>
              <w:t>Common stock, par value $0.001, 50,000,000 shares authorized, 18,775,773 and 16,650,725 shares</w:t>
            </w:r>
          </w:p>
        </w:tc>
        <w:tc>
          <w:tcPr>
            <w:tcW w:w="240" w:type="dxa"/>
            <w:vAlign w:val="bottom"/>
          </w:tcPr>
          <w:p>
            <w:pPr>
              <w:spacing w:after="0"/>
              <w:rPr>
                <w:sz w:val="17"/>
                <w:szCs w:val="17"/>
                <w:color w:val="auto"/>
              </w:rPr>
            </w:pPr>
          </w:p>
        </w:tc>
        <w:tc>
          <w:tcPr>
            <w:tcW w:w="1660" w:type="dxa"/>
            <w:vAlign w:val="bottom"/>
            <w:gridSpan w:val="2"/>
          </w:tcPr>
          <w:p>
            <w:pPr>
              <w:jc w:val="right"/>
              <w:ind w:right="220"/>
              <w:spacing w:after="0" w:line="201" w:lineRule="exact"/>
              <w:rPr>
                <w:sz w:val="20"/>
                <w:szCs w:val="20"/>
                <w:color w:val="auto"/>
              </w:rPr>
            </w:pPr>
            <w:r>
              <w:rPr>
                <w:rFonts w:ascii="Arial" w:cs="Arial" w:eastAsia="Arial" w:hAnsi="Arial"/>
                <w:sz w:val="18"/>
                <w:szCs w:val="18"/>
                <w:color w:val="auto"/>
              </w:rPr>
              <w:t>19</w:t>
            </w:r>
          </w:p>
        </w:tc>
        <w:tc>
          <w:tcPr>
            <w:tcW w:w="220" w:type="dxa"/>
            <w:vAlign w:val="bottom"/>
          </w:tcPr>
          <w:p>
            <w:pPr>
              <w:spacing w:after="0"/>
              <w:rPr>
                <w:sz w:val="17"/>
                <w:szCs w:val="17"/>
                <w:color w:val="auto"/>
              </w:rPr>
            </w:pPr>
          </w:p>
        </w:tc>
        <w:tc>
          <w:tcPr>
            <w:tcW w:w="1560" w:type="dxa"/>
            <w:vAlign w:val="bottom"/>
            <w:gridSpan w:val="2"/>
          </w:tcPr>
          <w:p>
            <w:pPr>
              <w:jc w:val="right"/>
              <w:ind w:right="100"/>
              <w:spacing w:after="0" w:line="201" w:lineRule="exact"/>
              <w:rPr>
                <w:sz w:val="20"/>
                <w:szCs w:val="20"/>
                <w:color w:val="auto"/>
              </w:rPr>
            </w:pPr>
            <w:r>
              <w:rPr>
                <w:rFonts w:ascii="Arial" w:cs="Arial" w:eastAsia="Arial" w:hAnsi="Arial"/>
                <w:sz w:val="18"/>
                <w:szCs w:val="18"/>
                <w:color w:val="auto"/>
              </w:rPr>
              <w:t>17</w:t>
            </w:r>
          </w:p>
        </w:tc>
      </w:tr>
      <w:tr>
        <w:trPr>
          <w:trHeight w:val="230"/>
        </w:trPr>
        <w:tc>
          <w:tcPr>
            <w:tcW w:w="7560" w:type="dxa"/>
            <w:vAlign w:val="bottom"/>
          </w:tcPr>
          <w:p>
            <w:pPr>
              <w:ind w:left="320"/>
              <w:spacing w:after="0"/>
              <w:rPr>
                <w:sz w:val="20"/>
                <w:szCs w:val="20"/>
                <w:color w:val="auto"/>
              </w:rPr>
            </w:pPr>
            <w:r>
              <w:rPr>
                <w:rFonts w:ascii="Arial" w:cs="Arial" w:eastAsia="Arial" w:hAnsi="Arial"/>
                <w:sz w:val="18"/>
                <w:szCs w:val="18"/>
                <w:color w:val="auto"/>
              </w:rPr>
              <w:t>issued and outstanding</w:t>
            </w:r>
          </w:p>
        </w:tc>
        <w:tc>
          <w:tcPr>
            <w:tcW w:w="2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29"/>
        </w:trPr>
        <w:tc>
          <w:tcPr>
            <w:tcW w:w="7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Additional paid-in capital</w:t>
            </w:r>
          </w:p>
        </w:tc>
        <w:tc>
          <w:tcPr>
            <w:tcW w:w="24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63,359</w:t>
            </w:r>
          </w:p>
        </w:tc>
        <w:tc>
          <w:tcPr>
            <w:tcW w:w="22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58,520</w:t>
            </w:r>
          </w:p>
        </w:tc>
      </w:tr>
      <w:tr>
        <w:trPr>
          <w:trHeight w:val="230"/>
        </w:trPr>
        <w:tc>
          <w:tcPr>
            <w:tcW w:w="7560" w:type="dxa"/>
            <w:vAlign w:val="bottom"/>
          </w:tcPr>
          <w:p>
            <w:pPr>
              <w:ind w:left="40"/>
              <w:spacing w:after="0"/>
              <w:rPr>
                <w:sz w:val="20"/>
                <w:szCs w:val="20"/>
                <w:color w:val="auto"/>
              </w:rPr>
            </w:pPr>
            <w:r>
              <w:rPr>
                <w:rFonts w:ascii="Arial" w:cs="Arial" w:eastAsia="Arial" w:hAnsi="Arial"/>
                <w:sz w:val="18"/>
                <w:szCs w:val="18"/>
                <w:color w:val="auto"/>
              </w:rPr>
              <w:t>Accumulated other comprehensive loss</w:t>
            </w:r>
          </w:p>
        </w:tc>
        <w:tc>
          <w:tcPr>
            <w:tcW w:w="240" w:type="dxa"/>
            <w:vAlign w:val="bottom"/>
          </w:tcPr>
          <w:p>
            <w:pPr>
              <w:spacing w:after="0"/>
              <w:rPr>
                <w:sz w:val="19"/>
                <w:szCs w:val="19"/>
                <w:color w:val="auto"/>
              </w:rPr>
            </w:pPr>
          </w:p>
        </w:tc>
        <w:tc>
          <w:tcPr>
            <w:tcW w:w="1660" w:type="dxa"/>
            <w:vAlign w:val="bottom"/>
            <w:gridSpan w:val="2"/>
          </w:tcPr>
          <w:p>
            <w:pPr>
              <w:jc w:val="right"/>
              <w:ind w:right="160"/>
              <w:spacing w:after="0"/>
              <w:rPr>
                <w:sz w:val="20"/>
                <w:szCs w:val="20"/>
                <w:color w:val="auto"/>
              </w:rPr>
            </w:pPr>
            <w:r>
              <w:rPr>
                <w:rFonts w:ascii="Arial" w:cs="Arial" w:eastAsia="Arial" w:hAnsi="Arial"/>
                <w:sz w:val="18"/>
                <w:szCs w:val="18"/>
                <w:color w:val="auto"/>
              </w:rPr>
              <w:t>(186)</w:t>
            </w:r>
          </w:p>
        </w:tc>
        <w:tc>
          <w:tcPr>
            <w:tcW w:w="220" w:type="dxa"/>
            <w:vAlign w:val="bottom"/>
          </w:tcPr>
          <w:p>
            <w:pPr>
              <w:spacing w:after="0"/>
              <w:rPr>
                <w:sz w:val="19"/>
                <w:szCs w:val="19"/>
                <w:color w:val="auto"/>
              </w:rPr>
            </w:pPr>
          </w:p>
        </w:tc>
        <w:tc>
          <w:tcPr>
            <w:tcW w:w="1560" w:type="dxa"/>
            <w:vAlign w:val="bottom"/>
            <w:gridSpan w:val="2"/>
          </w:tcPr>
          <w:p>
            <w:pPr>
              <w:jc w:val="right"/>
              <w:ind w:right="40"/>
              <w:spacing w:after="0"/>
              <w:rPr>
                <w:sz w:val="20"/>
                <w:szCs w:val="20"/>
                <w:color w:val="auto"/>
              </w:rPr>
            </w:pPr>
            <w:r>
              <w:rPr>
                <w:rFonts w:ascii="Arial" w:cs="Arial" w:eastAsia="Arial" w:hAnsi="Arial"/>
                <w:sz w:val="18"/>
                <w:szCs w:val="18"/>
                <w:color w:val="auto"/>
              </w:rPr>
              <w:t>(176)</w:t>
            </w:r>
          </w:p>
        </w:tc>
      </w:tr>
      <w:tr>
        <w:trPr>
          <w:trHeight w:val="230"/>
        </w:trPr>
        <w:tc>
          <w:tcPr>
            <w:tcW w:w="7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Accumulated deficit</w:t>
            </w:r>
          </w:p>
        </w:tc>
        <w:tc>
          <w:tcPr>
            <w:tcW w:w="24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(13,378)</w:t>
            </w:r>
          </w:p>
        </w:tc>
        <w:tc>
          <w:tcPr>
            <w:tcW w:w="22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(13,883)</w:t>
            </w:r>
          </w:p>
        </w:tc>
      </w:tr>
      <w:tr>
        <w:trPr>
          <w:trHeight w:val="210"/>
        </w:trPr>
        <w:tc>
          <w:tcPr>
            <w:tcW w:w="756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Total shareholders' equity</w:t>
            </w:r>
          </w:p>
        </w:tc>
        <w:tc>
          <w:tcPr>
            <w:tcW w:w="240" w:type="dxa"/>
            <w:vAlign w:val="bottom"/>
            <w:tcBorders>
              <w:top w:val="single" w:sz="8" w:color="auto"/>
              <w:bottom w:val="single" w:sz="8" w:color="auto"/>
            </w:tcBorders>
          </w:tcPr>
          <w:p>
            <w:pPr>
              <w:spacing w:after="0"/>
              <w:rPr>
                <w:sz w:val="18"/>
                <w:szCs w:val="18"/>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49,814</w:t>
            </w:r>
          </w:p>
        </w:tc>
        <w:tc>
          <w:tcPr>
            <w:tcW w:w="22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44,478</w:t>
            </w:r>
          </w:p>
        </w:tc>
        <w:tc>
          <w:tcPr>
            <w:tcW w:w="100" w:type="dxa"/>
            <w:vAlign w:val="bottom"/>
            <w:tcBorders>
              <w:bottom w:val="single" w:sz="8" w:color="CCEEFF"/>
            </w:tcBorders>
          </w:tcPr>
          <w:p>
            <w:pPr>
              <w:spacing w:after="0"/>
              <w:rPr>
                <w:sz w:val="18"/>
                <w:szCs w:val="18"/>
                <w:color w:val="auto"/>
              </w:rPr>
            </w:pPr>
          </w:p>
        </w:tc>
      </w:tr>
      <w:tr>
        <w:trPr>
          <w:trHeight w:val="209"/>
        </w:trPr>
        <w:tc>
          <w:tcPr>
            <w:tcW w:w="75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liabilities and shareholders' equity</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62,323</w:t>
            </w:r>
          </w:p>
        </w:tc>
        <w:tc>
          <w:tcPr>
            <w:tcW w:w="2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55,110</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
        </w:trPr>
        <w:tc>
          <w:tcPr>
            <w:tcW w:w="75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730"/>
        </w:trPr>
        <w:tc>
          <w:tcPr>
            <w:tcW w:w="75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7" w:name="page8"/>
    <w:bookmarkEnd w:id="7"/>
    <w:p>
      <w:pPr>
        <w:jc w:val="center"/>
        <w:ind w:right="120"/>
        <w:spacing w:after="0"/>
        <w:rPr>
          <w:sz w:val="20"/>
          <w:szCs w:val="20"/>
          <w:color w:val="auto"/>
        </w:rPr>
      </w:pPr>
      <w:r>
        <w:rPr>
          <w:rFonts w:ascii="Arial" w:cs="Arial" w:eastAsia="Arial" w:hAnsi="Arial"/>
          <w:sz w:val="18"/>
          <w:szCs w:val="18"/>
          <w:b w:val="1"/>
          <w:bCs w:val="1"/>
          <w:color w:val="auto"/>
        </w:rPr>
        <w:t>CLEARONE, INC.</w:t>
      </w:r>
    </w:p>
    <w:p>
      <w:pPr>
        <w:spacing w:after="0" w:line="27" w:lineRule="exact"/>
        <w:rPr>
          <w:sz w:val="20"/>
          <w:szCs w:val="20"/>
          <w:color w:val="auto"/>
        </w:rPr>
      </w:pPr>
    </w:p>
    <w:p>
      <w:pPr>
        <w:jc w:val="center"/>
        <w:ind w:right="120"/>
        <w:spacing w:after="0"/>
        <w:rPr>
          <w:sz w:val="20"/>
          <w:szCs w:val="20"/>
          <w:color w:val="auto"/>
        </w:rPr>
      </w:pPr>
      <w:r>
        <w:rPr>
          <w:rFonts w:ascii="Arial" w:cs="Arial" w:eastAsia="Arial" w:hAnsi="Arial"/>
          <w:sz w:val="18"/>
          <w:szCs w:val="18"/>
          <w:b w:val="1"/>
          <w:bCs w:val="1"/>
          <w:color w:val="auto"/>
        </w:rPr>
        <w:t>CONSOLIDATED STATEMENTS OF OPERATIONS AND COMPREHENSIVE INCOME (LOSS)</w:t>
      </w:r>
    </w:p>
    <w:p>
      <w:pPr>
        <w:spacing w:after="0" w:line="9"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(Dollars in thousands, except per share values)</w:t>
      </w: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gridSpan w:val="5"/>
          </w:tcPr>
          <w:p>
            <w:pPr>
              <w:jc w:val="right"/>
              <w:ind w:right="250"/>
              <w:spacing w:after="0"/>
              <w:rPr>
                <w:sz w:val="20"/>
                <w:szCs w:val="20"/>
                <w:color w:val="auto"/>
              </w:rPr>
            </w:pPr>
            <w:r>
              <w:rPr>
                <w:rFonts w:ascii="Arial" w:cs="Arial" w:eastAsia="Arial" w:hAnsi="Arial"/>
                <w:sz w:val="16"/>
                <w:szCs w:val="16"/>
                <w:b w:val="1"/>
                <w:bCs w:val="1"/>
                <w:color w:val="auto"/>
                <w:w w:val="90"/>
              </w:rPr>
              <w:t>Three months ended December 31,</w:t>
            </w:r>
          </w:p>
        </w:tc>
        <w:tc>
          <w:tcPr>
            <w:tcW w:w="260" w:type="dxa"/>
            <w:vAlign w:val="bottom"/>
          </w:tcPr>
          <w:p>
            <w:pPr>
              <w:spacing w:after="0"/>
              <w:rPr>
                <w:sz w:val="18"/>
                <w:szCs w:val="18"/>
                <w:color w:val="auto"/>
              </w:rPr>
            </w:pPr>
          </w:p>
        </w:tc>
        <w:tc>
          <w:tcPr>
            <w:tcW w:w="2500" w:type="dxa"/>
            <w:vAlign w:val="bottom"/>
            <w:gridSpan w:val="6"/>
          </w:tcPr>
          <w:p>
            <w:pPr>
              <w:jc w:val="right"/>
              <w:ind w:right="540"/>
              <w:spacing w:after="0"/>
              <w:rPr>
                <w:sz w:val="20"/>
                <w:szCs w:val="20"/>
                <w:color w:val="auto"/>
              </w:rPr>
            </w:pPr>
            <w:r>
              <w:rPr>
                <w:rFonts w:ascii="Arial" w:cs="Arial" w:eastAsia="Arial" w:hAnsi="Arial"/>
                <w:sz w:val="16"/>
                <w:szCs w:val="16"/>
                <w:b w:val="1"/>
                <w:bCs w:val="1"/>
                <w:color w:val="auto"/>
                <w:w w:val="99"/>
              </w:rPr>
              <w:t>Year ended December 31,</w:t>
            </w:r>
          </w:p>
        </w:tc>
      </w:tr>
      <w:tr>
        <w:trPr>
          <w:trHeight w:val="210"/>
        </w:trPr>
        <w:tc>
          <w:tcPr>
            <w:tcW w:w="5180" w:type="dxa"/>
            <w:vAlign w:val="bottom"/>
            <w:tcBorders>
              <w:bottom w:val="single" w:sz="8" w:color="CCEEFF"/>
            </w:tcBorders>
          </w:tcPr>
          <w:p>
            <w:pPr>
              <w:spacing w:after="0"/>
              <w:rPr>
                <w:sz w:val="18"/>
                <w:szCs w:val="18"/>
                <w:color w:val="auto"/>
              </w:rPr>
            </w:pPr>
          </w:p>
        </w:tc>
        <w:tc>
          <w:tcPr>
            <w:tcW w:w="44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371"/>
              <w:spacing w:after="0"/>
              <w:rPr>
                <w:sz w:val="20"/>
                <w:szCs w:val="20"/>
                <w:color w:val="auto"/>
              </w:rPr>
            </w:pPr>
            <w:r>
              <w:rPr>
                <w:rFonts w:ascii="Arial" w:cs="Arial" w:eastAsia="Arial" w:hAnsi="Arial"/>
                <w:sz w:val="16"/>
                <w:szCs w:val="16"/>
                <w:b w:val="1"/>
                <w:bCs w:val="1"/>
                <w:color w:val="auto"/>
              </w:rPr>
              <w:t>2020</w:t>
            </w:r>
          </w:p>
        </w:tc>
        <w:tc>
          <w:tcPr>
            <w:tcW w:w="220" w:type="dxa"/>
            <w:vAlign w:val="bottom"/>
            <w:tcBorders>
              <w:top w:val="single" w:sz="8" w:color="auto"/>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6"/>
                <w:szCs w:val="16"/>
                <w:b w:val="1"/>
                <w:bCs w:val="1"/>
                <w:color w:val="auto"/>
              </w:rPr>
              <w:t>2019</w:t>
            </w:r>
          </w:p>
        </w:tc>
        <w:tc>
          <w:tcPr>
            <w:tcW w:w="22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51"/>
              <w:spacing w:after="0"/>
              <w:rPr>
                <w:sz w:val="20"/>
                <w:szCs w:val="20"/>
                <w:color w:val="auto"/>
              </w:rPr>
            </w:pPr>
            <w:r>
              <w:rPr>
                <w:rFonts w:ascii="Arial" w:cs="Arial" w:eastAsia="Arial" w:hAnsi="Arial"/>
                <w:sz w:val="16"/>
                <w:szCs w:val="16"/>
                <w:b w:val="1"/>
                <w:bCs w:val="1"/>
                <w:color w:val="auto"/>
              </w:rPr>
              <w:t>2020</w:t>
            </w:r>
          </w:p>
        </w:tc>
        <w:tc>
          <w:tcPr>
            <w:tcW w:w="220" w:type="dxa"/>
            <w:vAlign w:val="bottom"/>
            <w:tcBorders>
              <w:top w:val="single" w:sz="8" w:color="auto"/>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6"/>
                <w:szCs w:val="16"/>
                <w:b w:val="1"/>
                <w:bCs w:val="1"/>
                <w:color w:val="auto"/>
              </w:rPr>
              <w:t>2019</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r>
      <w:tr>
        <w:trPr>
          <w:trHeight w:val="212"/>
        </w:trPr>
        <w:tc>
          <w:tcPr>
            <w:tcW w:w="518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8,566</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6,325</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29,069</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25,042</w:t>
            </w:r>
          </w:p>
        </w:tc>
        <w:tc>
          <w:tcPr>
            <w:tcW w:w="100" w:type="dxa"/>
            <w:vAlign w:val="bottom"/>
            <w:gridSpan w:val="2"/>
            <w:shd w:val="clear" w:color="auto" w:fill="CCEEFF"/>
          </w:tcPr>
          <w:p>
            <w:pPr>
              <w:spacing w:after="0"/>
              <w:rPr>
                <w:sz w:val="18"/>
                <w:szCs w:val="18"/>
                <w:color w:val="auto"/>
              </w:rPr>
            </w:pPr>
          </w:p>
        </w:tc>
      </w:tr>
      <w:tr>
        <w:trPr>
          <w:trHeight w:val="229"/>
        </w:trPr>
        <w:tc>
          <w:tcPr>
            <w:tcW w:w="5180" w:type="dxa"/>
            <w:vAlign w:val="bottom"/>
          </w:tcPr>
          <w:p>
            <w:pPr>
              <w:ind w:left="40"/>
              <w:spacing w:after="0"/>
              <w:rPr>
                <w:sz w:val="20"/>
                <w:szCs w:val="20"/>
                <w:color w:val="auto"/>
              </w:rPr>
            </w:pPr>
            <w:r>
              <w:rPr>
                <w:rFonts w:ascii="Arial" w:cs="Arial" w:eastAsia="Arial" w:hAnsi="Arial"/>
                <w:sz w:val="18"/>
                <w:szCs w:val="18"/>
                <w:color w:val="auto"/>
              </w:rPr>
              <w:t>Cost of goods sold</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4,983</w:t>
            </w:r>
          </w:p>
        </w:tc>
        <w:tc>
          <w:tcPr>
            <w:tcW w:w="240" w:type="dxa"/>
            <w:vAlign w:val="bottom"/>
          </w:tcPr>
          <w:p>
            <w:pPr>
              <w:spacing w:after="0"/>
              <w:rPr>
                <w:sz w:val="19"/>
                <w:szCs w:val="19"/>
                <w:color w:val="auto"/>
              </w:rPr>
            </w:pPr>
          </w:p>
        </w:tc>
        <w:tc>
          <w:tcPr>
            <w:tcW w:w="1180" w:type="dxa"/>
            <w:vAlign w:val="bottom"/>
            <w:gridSpan w:val="2"/>
          </w:tcPr>
          <w:p>
            <w:pPr>
              <w:jc w:val="right"/>
              <w:ind w:right="110"/>
              <w:spacing w:after="0"/>
              <w:rPr>
                <w:sz w:val="20"/>
                <w:szCs w:val="20"/>
                <w:color w:val="auto"/>
              </w:rPr>
            </w:pPr>
            <w:r>
              <w:rPr>
                <w:rFonts w:ascii="Arial" w:cs="Arial" w:eastAsia="Arial" w:hAnsi="Arial"/>
                <w:sz w:val="18"/>
                <w:szCs w:val="18"/>
                <w:color w:val="auto"/>
              </w:rPr>
              <w:t>3,312</w:t>
            </w:r>
          </w:p>
        </w:tc>
        <w:tc>
          <w:tcPr>
            <w:tcW w:w="26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16,510</w:t>
            </w:r>
          </w:p>
        </w:tc>
        <w:tc>
          <w:tcPr>
            <w:tcW w:w="240" w:type="dxa"/>
            <w:vAlign w:val="bottom"/>
          </w:tcPr>
          <w:p>
            <w:pPr>
              <w:spacing w:after="0"/>
              <w:rPr>
                <w:sz w:val="19"/>
                <w:szCs w:val="19"/>
                <w:color w:val="auto"/>
              </w:rPr>
            </w:pP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13,849</w:t>
            </w:r>
          </w:p>
        </w:tc>
      </w:tr>
      <w:tr>
        <w:trPr>
          <w:trHeight w:val="210"/>
        </w:trPr>
        <w:tc>
          <w:tcPr>
            <w:tcW w:w="51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4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3,583</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3,013</w:t>
            </w: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12,559</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11,193</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09"/>
        </w:trPr>
        <w:tc>
          <w:tcPr>
            <w:tcW w:w="5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518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r>
      <w:tr>
        <w:trPr>
          <w:trHeight w:val="229"/>
        </w:trPr>
        <w:tc>
          <w:tcPr>
            <w:tcW w:w="5180" w:type="dxa"/>
            <w:vAlign w:val="bottom"/>
          </w:tcPr>
          <w:p>
            <w:pPr>
              <w:ind w:left="40"/>
              <w:spacing w:after="0"/>
              <w:rPr>
                <w:sz w:val="20"/>
                <w:szCs w:val="20"/>
                <w:color w:val="auto"/>
              </w:rPr>
            </w:pPr>
            <w:r>
              <w:rPr>
                <w:rFonts w:ascii="Arial" w:cs="Arial" w:eastAsia="Arial" w:hAnsi="Arial"/>
                <w:sz w:val="18"/>
                <w:szCs w:val="18"/>
                <w:color w:val="auto"/>
              </w:rPr>
              <w:t>Sales and marketing</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1,796</w:t>
            </w:r>
          </w:p>
        </w:tc>
        <w:tc>
          <w:tcPr>
            <w:tcW w:w="240" w:type="dxa"/>
            <w:vAlign w:val="bottom"/>
          </w:tcPr>
          <w:p>
            <w:pPr>
              <w:spacing w:after="0"/>
              <w:rPr>
                <w:sz w:val="19"/>
                <w:szCs w:val="19"/>
                <w:color w:val="auto"/>
              </w:rPr>
            </w:pPr>
          </w:p>
        </w:tc>
        <w:tc>
          <w:tcPr>
            <w:tcW w:w="1180" w:type="dxa"/>
            <w:vAlign w:val="bottom"/>
            <w:gridSpan w:val="2"/>
          </w:tcPr>
          <w:p>
            <w:pPr>
              <w:jc w:val="right"/>
              <w:ind w:right="110"/>
              <w:spacing w:after="0"/>
              <w:rPr>
                <w:sz w:val="20"/>
                <w:szCs w:val="20"/>
                <w:color w:val="auto"/>
              </w:rPr>
            </w:pPr>
            <w:r>
              <w:rPr>
                <w:rFonts w:ascii="Arial" w:cs="Arial" w:eastAsia="Arial" w:hAnsi="Arial"/>
                <w:sz w:val="18"/>
                <w:szCs w:val="18"/>
                <w:color w:val="auto"/>
              </w:rPr>
              <w:t>1,814</w:t>
            </w:r>
          </w:p>
        </w:tc>
        <w:tc>
          <w:tcPr>
            <w:tcW w:w="26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6,728</w:t>
            </w:r>
          </w:p>
        </w:tc>
        <w:tc>
          <w:tcPr>
            <w:tcW w:w="24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7,935</w:t>
            </w:r>
          </w:p>
        </w:tc>
        <w:tc>
          <w:tcPr>
            <w:tcW w:w="80" w:type="dxa"/>
            <w:vAlign w:val="bottom"/>
          </w:tcPr>
          <w:p>
            <w:pPr>
              <w:spacing w:after="0"/>
              <w:rPr>
                <w:sz w:val="19"/>
                <w:szCs w:val="19"/>
                <w:color w:val="auto"/>
              </w:rPr>
            </w:pPr>
          </w:p>
        </w:tc>
      </w:tr>
      <w:tr>
        <w:trPr>
          <w:trHeight w:val="229"/>
        </w:trPr>
        <w:tc>
          <w:tcPr>
            <w:tcW w:w="518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Research and product development</w:t>
            </w: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1,193</w:t>
            </w:r>
          </w:p>
        </w:tc>
        <w:tc>
          <w:tcPr>
            <w:tcW w:w="2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1,453</w:t>
            </w:r>
          </w:p>
        </w:tc>
        <w:tc>
          <w:tcPr>
            <w:tcW w:w="2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5,512</w:t>
            </w: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5,775</w:t>
            </w:r>
          </w:p>
        </w:tc>
        <w:tc>
          <w:tcPr>
            <w:tcW w:w="80" w:type="dxa"/>
            <w:vAlign w:val="bottom"/>
            <w:shd w:val="clear" w:color="auto" w:fill="CCEEFF"/>
          </w:tcPr>
          <w:p>
            <w:pPr>
              <w:spacing w:after="0"/>
              <w:rPr>
                <w:sz w:val="19"/>
                <w:szCs w:val="19"/>
                <w:color w:val="auto"/>
              </w:rPr>
            </w:pPr>
          </w:p>
        </w:tc>
      </w:tr>
      <w:tr>
        <w:trPr>
          <w:trHeight w:val="230"/>
        </w:trPr>
        <w:tc>
          <w:tcPr>
            <w:tcW w:w="5180" w:type="dxa"/>
            <w:vAlign w:val="bottom"/>
          </w:tcPr>
          <w:p>
            <w:pPr>
              <w:ind w:left="40"/>
              <w:spacing w:after="0"/>
              <w:rPr>
                <w:sz w:val="20"/>
                <w:szCs w:val="20"/>
                <w:color w:val="auto"/>
              </w:rPr>
            </w:pPr>
            <w:r>
              <w:rPr>
                <w:rFonts w:ascii="Arial" w:cs="Arial" w:eastAsia="Arial" w:hAnsi="Arial"/>
                <w:sz w:val="18"/>
                <w:szCs w:val="18"/>
                <w:color w:val="auto"/>
              </w:rPr>
              <w:t>General and administrative</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1,411</w:t>
            </w:r>
          </w:p>
        </w:tc>
        <w:tc>
          <w:tcPr>
            <w:tcW w:w="240" w:type="dxa"/>
            <w:vAlign w:val="bottom"/>
          </w:tcPr>
          <w:p>
            <w:pPr>
              <w:spacing w:after="0"/>
              <w:rPr>
                <w:sz w:val="19"/>
                <w:szCs w:val="19"/>
                <w:color w:val="auto"/>
              </w:rPr>
            </w:pPr>
          </w:p>
        </w:tc>
        <w:tc>
          <w:tcPr>
            <w:tcW w:w="1180" w:type="dxa"/>
            <w:vAlign w:val="bottom"/>
            <w:gridSpan w:val="2"/>
          </w:tcPr>
          <w:p>
            <w:pPr>
              <w:jc w:val="right"/>
              <w:ind w:right="110"/>
              <w:spacing w:after="0"/>
              <w:rPr>
                <w:sz w:val="20"/>
                <w:szCs w:val="20"/>
                <w:color w:val="auto"/>
              </w:rPr>
            </w:pPr>
            <w:r>
              <w:rPr>
                <w:rFonts w:ascii="Arial" w:cs="Arial" w:eastAsia="Arial" w:hAnsi="Arial"/>
                <w:sz w:val="18"/>
                <w:szCs w:val="18"/>
                <w:color w:val="auto"/>
              </w:rPr>
              <w:t>1,715</w:t>
            </w:r>
          </w:p>
        </w:tc>
        <w:tc>
          <w:tcPr>
            <w:tcW w:w="26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5,886</w:t>
            </w:r>
          </w:p>
        </w:tc>
        <w:tc>
          <w:tcPr>
            <w:tcW w:w="24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6,045</w:t>
            </w:r>
          </w:p>
        </w:tc>
        <w:tc>
          <w:tcPr>
            <w:tcW w:w="80" w:type="dxa"/>
            <w:vAlign w:val="bottom"/>
          </w:tcPr>
          <w:p>
            <w:pPr>
              <w:spacing w:after="0"/>
              <w:rPr>
                <w:sz w:val="19"/>
                <w:szCs w:val="19"/>
                <w:color w:val="auto"/>
              </w:rPr>
            </w:pPr>
          </w:p>
        </w:tc>
      </w:tr>
      <w:tr>
        <w:trPr>
          <w:trHeight w:val="209"/>
        </w:trPr>
        <w:tc>
          <w:tcPr>
            <w:tcW w:w="51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operating expenses</w:t>
            </w:r>
          </w:p>
        </w:tc>
        <w:tc>
          <w:tcPr>
            <w:tcW w:w="4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4,400</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4,982</w:t>
            </w: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18,126</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19,755</w:t>
            </w:r>
          </w:p>
        </w:tc>
        <w:tc>
          <w:tcPr>
            <w:tcW w:w="100" w:type="dxa"/>
            <w:vAlign w:val="bottom"/>
            <w:tcBorders>
              <w:top w:val="single" w:sz="8" w:color="CCEEFF"/>
            </w:tcBorders>
            <w:gridSpan w:val="2"/>
            <w:shd w:val="clear" w:color="auto" w:fill="CCEEFF"/>
          </w:tcPr>
          <w:p>
            <w:pPr>
              <w:spacing w:after="0"/>
              <w:rPr>
                <w:sz w:val="18"/>
                <w:szCs w:val="18"/>
                <w:color w:val="auto"/>
              </w:rPr>
            </w:pPr>
          </w:p>
        </w:tc>
      </w:tr>
      <w:tr>
        <w:trPr>
          <w:trHeight w:val="210"/>
        </w:trPr>
        <w:tc>
          <w:tcPr>
            <w:tcW w:w="5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9"/>
        </w:trPr>
        <w:tc>
          <w:tcPr>
            <w:tcW w:w="518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Operating loss</w:t>
            </w: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(817)</w:t>
            </w:r>
          </w:p>
        </w:tc>
        <w:tc>
          <w:tcPr>
            <w:tcW w:w="2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(1,969)</w:t>
            </w:r>
          </w:p>
        </w:tc>
        <w:tc>
          <w:tcPr>
            <w:tcW w:w="2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(5,567)</w:t>
            </w:r>
          </w:p>
        </w:tc>
        <w:tc>
          <w:tcPr>
            <w:tcW w:w="240" w:type="dxa"/>
            <w:vAlign w:val="bottom"/>
            <w:shd w:val="clear" w:color="auto" w:fill="CCEEFF"/>
          </w:tcPr>
          <w:p>
            <w:pPr>
              <w:spacing w:after="0"/>
              <w:rPr>
                <w:sz w:val="19"/>
                <w:szCs w:val="19"/>
                <w:color w:val="auto"/>
              </w:rPr>
            </w:pP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(8,562)</w:t>
            </w:r>
          </w:p>
        </w:tc>
      </w:tr>
      <w:tr>
        <w:trPr>
          <w:trHeight w:val="229"/>
        </w:trPr>
        <w:tc>
          <w:tcPr>
            <w:tcW w:w="5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518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(111)</w:t>
            </w:r>
          </w:p>
        </w:tc>
        <w:tc>
          <w:tcPr>
            <w:tcW w:w="2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(26)</w:t>
            </w:r>
          </w:p>
        </w:tc>
        <w:tc>
          <w:tcPr>
            <w:tcW w:w="2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(436)</w:t>
            </w:r>
          </w:p>
        </w:tc>
        <w:tc>
          <w:tcPr>
            <w:tcW w:w="240" w:type="dxa"/>
            <w:vAlign w:val="bottom"/>
            <w:shd w:val="clear" w:color="auto" w:fill="CCEEFF"/>
          </w:tcPr>
          <w:p>
            <w:pPr>
              <w:spacing w:after="0"/>
              <w:rPr>
                <w:sz w:val="19"/>
                <w:szCs w:val="19"/>
                <w:color w:val="auto"/>
              </w:rPr>
            </w:pP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(26)</w:t>
            </w:r>
          </w:p>
        </w:tc>
      </w:tr>
      <w:tr>
        <w:trPr>
          <w:trHeight w:val="229"/>
        </w:trPr>
        <w:tc>
          <w:tcPr>
            <w:tcW w:w="5180" w:type="dxa"/>
            <w:vAlign w:val="bottom"/>
          </w:tcPr>
          <w:p>
            <w:pPr>
              <w:ind w:left="40"/>
              <w:spacing w:after="0"/>
              <w:rPr>
                <w:sz w:val="20"/>
                <w:szCs w:val="20"/>
                <w:color w:val="auto"/>
              </w:rPr>
            </w:pPr>
            <w:r>
              <w:rPr>
                <w:rFonts w:ascii="Arial" w:cs="Arial" w:eastAsia="Arial" w:hAnsi="Arial"/>
                <w:sz w:val="18"/>
                <w:szCs w:val="18"/>
                <w:color w:val="auto"/>
              </w:rPr>
              <w:t>Other income, net</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9</w:t>
            </w:r>
          </w:p>
        </w:tc>
        <w:tc>
          <w:tcPr>
            <w:tcW w:w="240" w:type="dxa"/>
            <w:vAlign w:val="bottom"/>
          </w:tcPr>
          <w:p>
            <w:pPr>
              <w:spacing w:after="0"/>
              <w:rPr>
                <w:sz w:val="19"/>
                <w:szCs w:val="19"/>
                <w:color w:val="auto"/>
              </w:rPr>
            </w:pPr>
          </w:p>
        </w:tc>
        <w:tc>
          <w:tcPr>
            <w:tcW w:w="1180" w:type="dxa"/>
            <w:vAlign w:val="bottom"/>
            <w:gridSpan w:val="2"/>
          </w:tcPr>
          <w:p>
            <w:pPr>
              <w:jc w:val="right"/>
              <w:ind w:right="110"/>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79</w:t>
            </w:r>
          </w:p>
        </w:tc>
        <w:tc>
          <w:tcPr>
            <w:tcW w:w="240" w:type="dxa"/>
            <w:vAlign w:val="bottom"/>
          </w:tcPr>
          <w:p>
            <w:pPr>
              <w:spacing w:after="0"/>
              <w:rPr>
                <w:sz w:val="19"/>
                <w:szCs w:val="19"/>
                <w:color w:val="auto"/>
              </w:rPr>
            </w:pP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236</w:t>
            </w:r>
          </w:p>
        </w:tc>
      </w:tr>
      <w:tr>
        <w:trPr>
          <w:trHeight w:val="209"/>
        </w:trPr>
        <w:tc>
          <w:tcPr>
            <w:tcW w:w="51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30"/>
        </w:trPr>
        <w:tc>
          <w:tcPr>
            <w:tcW w:w="5180" w:type="dxa"/>
            <w:vAlign w:val="bottom"/>
          </w:tcPr>
          <w:p>
            <w:pPr>
              <w:ind w:left="40"/>
              <w:spacing w:after="0"/>
              <w:rPr>
                <w:sz w:val="20"/>
                <w:szCs w:val="20"/>
                <w:color w:val="auto"/>
              </w:rPr>
            </w:pPr>
            <w:r>
              <w:rPr>
                <w:rFonts w:ascii="Arial" w:cs="Arial" w:eastAsia="Arial" w:hAnsi="Arial"/>
                <w:sz w:val="18"/>
                <w:szCs w:val="18"/>
                <w:color w:val="auto"/>
              </w:rPr>
              <w:t>Loss before income taxes</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(919)</w:t>
            </w:r>
          </w:p>
        </w:tc>
        <w:tc>
          <w:tcPr>
            <w:tcW w:w="240" w:type="dxa"/>
            <w:vAlign w:val="bottom"/>
          </w:tcPr>
          <w:p>
            <w:pPr>
              <w:spacing w:after="0"/>
              <w:rPr>
                <w:sz w:val="19"/>
                <w:szCs w:val="19"/>
                <w:color w:val="auto"/>
              </w:rPr>
            </w:pPr>
          </w:p>
        </w:tc>
        <w:tc>
          <w:tcPr>
            <w:tcW w:w="1180" w:type="dxa"/>
            <w:vAlign w:val="bottom"/>
            <w:gridSpan w:val="2"/>
          </w:tcPr>
          <w:p>
            <w:pPr>
              <w:jc w:val="right"/>
              <w:ind w:right="50"/>
              <w:spacing w:after="0"/>
              <w:rPr>
                <w:sz w:val="20"/>
                <w:szCs w:val="20"/>
                <w:color w:val="auto"/>
              </w:rPr>
            </w:pPr>
            <w:r>
              <w:rPr>
                <w:rFonts w:ascii="Arial" w:cs="Arial" w:eastAsia="Arial" w:hAnsi="Arial"/>
                <w:sz w:val="18"/>
                <w:szCs w:val="18"/>
                <w:color w:val="auto"/>
              </w:rPr>
              <w:t>(1,994)</w:t>
            </w:r>
          </w:p>
        </w:tc>
        <w:tc>
          <w:tcPr>
            <w:tcW w:w="26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(5,924)</w:t>
            </w:r>
          </w:p>
        </w:tc>
        <w:tc>
          <w:tcPr>
            <w:tcW w:w="240" w:type="dxa"/>
            <w:vAlign w:val="bottom"/>
          </w:tcPr>
          <w:p>
            <w:pPr>
              <w:spacing w:after="0"/>
              <w:rPr>
                <w:sz w:val="19"/>
                <w:szCs w:val="19"/>
                <w:color w:val="auto"/>
              </w:rPr>
            </w:pP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(8,352)</w:t>
            </w:r>
          </w:p>
        </w:tc>
      </w:tr>
      <w:tr>
        <w:trPr>
          <w:trHeight w:val="229"/>
        </w:trPr>
        <w:tc>
          <w:tcPr>
            <w:tcW w:w="51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r>
      <w:tr>
        <w:trPr>
          <w:trHeight w:val="230"/>
        </w:trPr>
        <w:tc>
          <w:tcPr>
            <w:tcW w:w="5180" w:type="dxa"/>
            <w:vAlign w:val="bottom"/>
          </w:tcPr>
          <w:p>
            <w:pPr>
              <w:ind w:left="40"/>
              <w:spacing w:after="0"/>
              <w:rPr>
                <w:sz w:val="20"/>
                <w:szCs w:val="20"/>
                <w:color w:val="auto"/>
              </w:rPr>
            </w:pPr>
            <w:r>
              <w:rPr>
                <w:rFonts w:ascii="Arial" w:cs="Arial" w:eastAsia="Arial" w:hAnsi="Arial"/>
                <w:sz w:val="18"/>
                <w:szCs w:val="18"/>
                <w:color w:val="auto"/>
              </w:rPr>
              <w:t>Provision for (benefit from) income taxes</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(6,468)</w:t>
            </w:r>
          </w:p>
        </w:tc>
        <w:tc>
          <w:tcPr>
            <w:tcW w:w="240" w:type="dxa"/>
            <w:vAlign w:val="bottom"/>
          </w:tcPr>
          <w:p>
            <w:pPr>
              <w:spacing w:after="0"/>
              <w:rPr>
                <w:sz w:val="19"/>
                <w:szCs w:val="19"/>
                <w:color w:val="auto"/>
              </w:rPr>
            </w:pPr>
          </w:p>
        </w:tc>
        <w:tc>
          <w:tcPr>
            <w:tcW w:w="1180" w:type="dxa"/>
            <w:vAlign w:val="bottom"/>
            <w:gridSpan w:val="2"/>
          </w:tcPr>
          <w:p>
            <w:pPr>
              <w:jc w:val="right"/>
              <w:ind w:right="50"/>
              <w:spacing w:after="0"/>
              <w:rPr>
                <w:sz w:val="20"/>
                <w:szCs w:val="20"/>
                <w:color w:val="auto"/>
              </w:rPr>
            </w:pPr>
            <w:r>
              <w:rPr>
                <w:rFonts w:ascii="Arial" w:cs="Arial" w:eastAsia="Arial" w:hAnsi="Arial"/>
                <w:sz w:val="18"/>
                <w:szCs w:val="18"/>
                <w:color w:val="auto"/>
              </w:rPr>
              <w:t>(9)</w:t>
            </w:r>
          </w:p>
        </w:tc>
        <w:tc>
          <w:tcPr>
            <w:tcW w:w="26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(6,429)</w:t>
            </w:r>
          </w:p>
        </w:tc>
        <w:tc>
          <w:tcPr>
            <w:tcW w:w="24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56</w:t>
            </w:r>
          </w:p>
        </w:tc>
        <w:tc>
          <w:tcPr>
            <w:tcW w:w="80" w:type="dxa"/>
            <w:vAlign w:val="bottom"/>
          </w:tcPr>
          <w:p>
            <w:pPr>
              <w:spacing w:after="0"/>
              <w:rPr>
                <w:sz w:val="19"/>
                <w:szCs w:val="19"/>
                <w:color w:val="auto"/>
              </w:rPr>
            </w:pPr>
          </w:p>
        </w:tc>
      </w:tr>
      <w:tr>
        <w:trPr>
          <w:trHeight w:val="229"/>
        </w:trPr>
        <w:tc>
          <w:tcPr>
            <w:tcW w:w="51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r>
      <w:tr>
        <w:trPr>
          <w:trHeight w:val="250"/>
        </w:trPr>
        <w:tc>
          <w:tcPr>
            <w:tcW w:w="51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income (loss)</w:t>
            </w:r>
          </w:p>
        </w:tc>
        <w:tc>
          <w:tcPr>
            <w:tcW w:w="44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5,549</w:t>
            </w:r>
          </w:p>
        </w:tc>
        <w:tc>
          <w:tcPr>
            <w:tcW w:w="2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(1,985</w:t>
            </w:r>
          </w:p>
        </w:tc>
        <w:tc>
          <w:tcPr>
            <w:tcW w:w="220" w:type="dxa"/>
            <w:vAlign w:val="bottom"/>
            <w:tcBorders>
              <w:bottom w:val="single" w:sz="8" w:color="CCEEFF"/>
            </w:tcBorders>
          </w:tcPr>
          <w:p>
            <w:pPr>
              <w:jc w:val="right"/>
              <w:ind w:right="50"/>
              <w:spacing w:after="0"/>
              <w:rPr>
                <w:sz w:val="20"/>
                <w:szCs w:val="20"/>
                <w:color w:val="auto"/>
              </w:rPr>
            </w:pPr>
            <w:r>
              <w:rPr>
                <w:rFonts w:ascii="Arial" w:cs="Arial" w:eastAsia="Arial" w:hAnsi="Arial"/>
                <w:sz w:val="18"/>
                <w:szCs w:val="18"/>
                <w:color w:val="auto"/>
                <w:w w:val="99"/>
              </w:rPr>
              <w:t>)</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505</w:t>
            </w:r>
          </w:p>
        </w:tc>
        <w:tc>
          <w:tcPr>
            <w:tcW w:w="2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(8,408</w:t>
            </w:r>
          </w:p>
        </w:tc>
        <w:tc>
          <w:tcPr>
            <w:tcW w:w="100" w:type="dxa"/>
            <w:vAlign w:val="bottom"/>
            <w:tcBorders>
              <w:bottom w:val="single" w:sz="8" w:color="CCEEFF"/>
            </w:tcBorders>
            <w:gridSpan w:val="2"/>
          </w:tcPr>
          <w:p>
            <w:pPr>
              <w:jc w:val="right"/>
              <w:ind w:right="40"/>
              <w:spacing w:after="0"/>
              <w:rPr>
                <w:sz w:val="20"/>
                <w:szCs w:val="20"/>
                <w:color w:val="auto"/>
              </w:rPr>
            </w:pPr>
            <w:r>
              <w:rPr>
                <w:rFonts w:ascii="Arial" w:cs="Arial" w:eastAsia="Arial" w:hAnsi="Arial"/>
                <w:sz w:val="16"/>
                <w:szCs w:val="16"/>
                <w:color w:val="auto"/>
                <w:w w:val="74"/>
              </w:rPr>
              <w:t>)</w:t>
            </w:r>
          </w:p>
        </w:tc>
      </w:tr>
      <w:tr>
        <w:trPr>
          <w:trHeight w:val="196"/>
        </w:trPr>
        <w:tc>
          <w:tcPr>
            <w:tcW w:w="51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43"/>
        </w:trPr>
        <w:tc>
          <w:tcPr>
            <w:tcW w:w="5180" w:type="dxa"/>
            <w:vAlign w:val="bottom"/>
          </w:tcPr>
          <w:p>
            <w:pPr>
              <w:ind w:left="40"/>
              <w:spacing w:after="0"/>
              <w:rPr>
                <w:sz w:val="20"/>
                <w:szCs w:val="20"/>
                <w:color w:val="auto"/>
              </w:rPr>
            </w:pPr>
            <w:r>
              <w:rPr>
                <w:rFonts w:ascii="Arial" w:cs="Arial" w:eastAsia="Arial" w:hAnsi="Arial"/>
                <w:sz w:val="18"/>
                <w:szCs w:val="18"/>
                <w:color w:val="auto"/>
              </w:rPr>
              <w:t>Basic weighted average shares outstanding</w:t>
            </w: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18,771,306</w:t>
            </w:r>
          </w:p>
        </w:tc>
        <w:tc>
          <w:tcPr>
            <w:tcW w:w="240" w:type="dxa"/>
            <w:vAlign w:val="bottom"/>
          </w:tcPr>
          <w:p>
            <w:pPr>
              <w:spacing w:after="0"/>
              <w:rPr>
                <w:sz w:val="21"/>
                <w:szCs w:val="21"/>
                <w:color w:val="auto"/>
              </w:rPr>
            </w:pPr>
          </w:p>
        </w:tc>
        <w:tc>
          <w:tcPr>
            <w:tcW w:w="1180" w:type="dxa"/>
            <w:vAlign w:val="bottom"/>
            <w:gridSpan w:val="2"/>
          </w:tcPr>
          <w:p>
            <w:pPr>
              <w:jc w:val="right"/>
              <w:ind w:right="110"/>
              <w:spacing w:after="0"/>
              <w:rPr>
                <w:sz w:val="20"/>
                <w:szCs w:val="20"/>
                <w:color w:val="auto"/>
              </w:rPr>
            </w:pPr>
            <w:r>
              <w:rPr>
                <w:rFonts w:ascii="Arial" w:cs="Arial" w:eastAsia="Arial" w:hAnsi="Arial"/>
                <w:sz w:val="18"/>
                <w:szCs w:val="18"/>
                <w:color w:val="auto"/>
              </w:rPr>
              <w:t>16,646,371</w:t>
            </w:r>
          </w:p>
        </w:tc>
        <w:tc>
          <w:tcPr>
            <w:tcW w:w="26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17,271,629</w:t>
            </w:r>
          </w:p>
        </w:tc>
        <w:tc>
          <w:tcPr>
            <w:tcW w:w="240" w:type="dxa"/>
            <w:vAlign w:val="bottom"/>
          </w:tcPr>
          <w:p>
            <w:pPr>
              <w:spacing w:after="0"/>
              <w:rPr>
                <w:sz w:val="21"/>
                <w:szCs w:val="21"/>
                <w:color w:val="auto"/>
              </w:rPr>
            </w:pP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16,638,580</w:t>
            </w:r>
          </w:p>
        </w:tc>
      </w:tr>
      <w:tr>
        <w:trPr>
          <w:trHeight w:val="270"/>
        </w:trPr>
        <w:tc>
          <w:tcPr>
            <w:tcW w:w="518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Diluted weighted average shares outstanding</w:t>
            </w:r>
          </w:p>
        </w:tc>
        <w:tc>
          <w:tcPr>
            <w:tcW w:w="4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18,829,341</w:t>
            </w:r>
          </w:p>
        </w:tc>
        <w:tc>
          <w:tcPr>
            <w:tcW w:w="24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16,646,371</w:t>
            </w:r>
          </w:p>
        </w:tc>
        <w:tc>
          <w:tcPr>
            <w:tcW w:w="26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17,325,351</w:t>
            </w:r>
          </w:p>
        </w:tc>
        <w:tc>
          <w:tcPr>
            <w:tcW w:w="240" w:type="dxa"/>
            <w:vAlign w:val="bottom"/>
            <w:shd w:val="clear" w:color="auto" w:fill="CCEEFF"/>
          </w:tcPr>
          <w:p>
            <w:pPr>
              <w:spacing w:after="0"/>
              <w:rPr>
                <w:sz w:val="23"/>
                <w:szCs w:val="23"/>
                <w:color w:val="auto"/>
              </w:rPr>
            </w:pP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16,638,580</w:t>
            </w:r>
          </w:p>
        </w:tc>
      </w:tr>
      <w:tr>
        <w:trPr>
          <w:trHeight w:val="230"/>
        </w:trPr>
        <w:tc>
          <w:tcPr>
            <w:tcW w:w="5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518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Basic income (loss) per share</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0.30</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(0.12)</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0.03</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(0.51)</w:t>
            </w:r>
          </w:p>
        </w:tc>
      </w:tr>
      <w:tr>
        <w:trPr>
          <w:trHeight w:val="230"/>
        </w:trPr>
        <w:tc>
          <w:tcPr>
            <w:tcW w:w="5180" w:type="dxa"/>
            <w:vAlign w:val="bottom"/>
          </w:tcPr>
          <w:p>
            <w:pPr>
              <w:ind w:left="40"/>
              <w:spacing w:after="0"/>
              <w:rPr>
                <w:sz w:val="20"/>
                <w:szCs w:val="20"/>
                <w:color w:val="auto"/>
              </w:rPr>
            </w:pPr>
            <w:r>
              <w:rPr>
                <w:rFonts w:ascii="Arial" w:cs="Arial" w:eastAsia="Arial" w:hAnsi="Arial"/>
                <w:sz w:val="18"/>
                <w:szCs w:val="18"/>
                <w:color w:val="auto"/>
              </w:rPr>
              <w:t>Diluted income (loss) per share</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0.29</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50"/>
              <w:spacing w:after="0"/>
              <w:rPr>
                <w:sz w:val="20"/>
                <w:szCs w:val="20"/>
                <w:color w:val="auto"/>
              </w:rPr>
            </w:pPr>
            <w:r>
              <w:rPr>
                <w:rFonts w:ascii="Arial" w:cs="Arial" w:eastAsia="Arial" w:hAnsi="Arial"/>
                <w:sz w:val="18"/>
                <w:szCs w:val="18"/>
                <w:color w:val="auto"/>
              </w:rPr>
              <w:t>(0.12)</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0.03</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(0.51)</w:t>
            </w:r>
          </w:p>
        </w:tc>
      </w:tr>
      <w:tr>
        <w:trPr>
          <w:trHeight w:val="229"/>
        </w:trPr>
        <w:tc>
          <w:tcPr>
            <w:tcW w:w="51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r>
      <w:tr>
        <w:trPr>
          <w:trHeight w:val="230"/>
        </w:trPr>
        <w:tc>
          <w:tcPr>
            <w:tcW w:w="5180" w:type="dxa"/>
            <w:vAlign w:val="bottom"/>
          </w:tcPr>
          <w:p>
            <w:pPr>
              <w:ind w:left="40"/>
              <w:spacing w:after="0"/>
              <w:rPr>
                <w:sz w:val="20"/>
                <w:szCs w:val="20"/>
                <w:color w:val="auto"/>
              </w:rPr>
            </w:pPr>
            <w:r>
              <w:rPr>
                <w:rFonts w:ascii="Arial" w:cs="Arial" w:eastAsia="Arial" w:hAnsi="Arial"/>
                <w:sz w:val="18"/>
                <w:szCs w:val="18"/>
                <w:color w:val="auto"/>
              </w:rPr>
              <w:t>Comprehensive income (loss):</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6"/>
        </w:trPr>
        <w:tc>
          <w:tcPr>
            <w:tcW w:w="5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income (loss)</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5549</w:t>
            </w: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(1,985)</w:t>
            </w: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505</w:t>
            </w:r>
          </w:p>
        </w:tc>
        <w:tc>
          <w:tcPr>
            <w:tcW w:w="24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(8,408)</w:t>
            </w:r>
          </w:p>
        </w:tc>
      </w:tr>
      <w:tr>
        <w:trPr>
          <w:trHeight w:val="270"/>
        </w:trPr>
        <w:tc>
          <w:tcPr>
            <w:tcW w:w="5180" w:type="dxa"/>
            <w:vAlign w:val="bottom"/>
          </w:tcPr>
          <w:p>
            <w:pPr>
              <w:ind w:left="160"/>
              <w:spacing w:after="0"/>
              <w:rPr>
                <w:sz w:val="20"/>
                <w:szCs w:val="20"/>
                <w:color w:val="auto"/>
              </w:rPr>
            </w:pPr>
            <w:r>
              <w:rPr>
                <w:rFonts w:ascii="Arial" w:cs="Arial" w:eastAsia="Arial" w:hAnsi="Arial"/>
                <w:sz w:val="18"/>
                <w:szCs w:val="18"/>
                <w:color w:val="auto"/>
                <w:w w:val="98"/>
              </w:rPr>
              <w:t>Unrealized gain (loss) on available-for-sale securities, net of tax</w:t>
            </w: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(8)</w:t>
            </w:r>
          </w:p>
        </w:tc>
        <w:tc>
          <w:tcPr>
            <w:tcW w:w="240" w:type="dxa"/>
            <w:vAlign w:val="bottom"/>
          </w:tcPr>
          <w:p>
            <w:pPr>
              <w:spacing w:after="0"/>
              <w:rPr>
                <w:sz w:val="23"/>
                <w:szCs w:val="23"/>
                <w:color w:val="auto"/>
              </w:rPr>
            </w:pPr>
          </w:p>
        </w:tc>
        <w:tc>
          <w:tcPr>
            <w:tcW w:w="1180" w:type="dxa"/>
            <w:vAlign w:val="bottom"/>
            <w:gridSpan w:val="2"/>
          </w:tcPr>
          <w:p>
            <w:pPr>
              <w:jc w:val="right"/>
              <w:ind w:right="50"/>
              <w:spacing w:after="0"/>
              <w:rPr>
                <w:sz w:val="20"/>
                <w:szCs w:val="20"/>
                <w:color w:val="auto"/>
              </w:rPr>
            </w:pPr>
            <w:r>
              <w:rPr>
                <w:rFonts w:ascii="Arial" w:cs="Arial" w:eastAsia="Arial" w:hAnsi="Arial"/>
                <w:sz w:val="18"/>
                <w:szCs w:val="18"/>
                <w:color w:val="auto"/>
              </w:rPr>
              <w:t>(8)</w:t>
            </w:r>
          </w:p>
        </w:tc>
        <w:tc>
          <w:tcPr>
            <w:tcW w:w="26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8</w:t>
            </w:r>
          </w:p>
        </w:tc>
        <w:tc>
          <w:tcPr>
            <w:tcW w:w="240" w:type="dxa"/>
            <w:vAlign w:val="bottom"/>
          </w:tcPr>
          <w:p>
            <w:pPr>
              <w:spacing w:after="0"/>
              <w:rPr>
                <w:sz w:val="23"/>
                <w:szCs w:val="23"/>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68</w:t>
            </w:r>
          </w:p>
        </w:tc>
        <w:tc>
          <w:tcPr>
            <w:tcW w:w="80" w:type="dxa"/>
            <w:vAlign w:val="bottom"/>
          </w:tcPr>
          <w:p>
            <w:pPr>
              <w:spacing w:after="0"/>
              <w:rPr>
                <w:sz w:val="23"/>
                <w:szCs w:val="23"/>
                <w:color w:val="auto"/>
              </w:rPr>
            </w:pPr>
          </w:p>
        </w:tc>
      </w:tr>
      <w:tr>
        <w:trPr>
          <w:trHeight w:val="230"/>
        </w:trPr>
        <w:tc>
          <w:tcPr>
            <w:tcW w:w="5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Change in foreign currency translation adjustment</w:t>
            </w: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w:t>
            </w:r>
          </w:p>
        </w:tc>
        <w:tc>
          <w:tcPr>
            <w:tcW w:w="2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5</w:t>
            </w:r>
          </w:p>
        </w:tc>
        <w:tc>
          <w:tcPr>
            <w:tcW w:w="2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w:t>
            </w:r>
          </w:p>
        </w:tc>
        <w:tc>
          <w:tcPr>
            <w:tcW w:w="240" w:type="dxa"/>
            <w:vAlign w:val="bottom"/>
            <w:shd w:val="clear" w:color="auto" w:fill="CCEEFF"/>
          </w:tcPr>
          <w:p>
            <w:pPr>
              <w:spacing w:after="0"/>
              <w:rPr>
                <w:sz w:val="19"/>
                <w:szCs w:val="19"/>
                <w:color w:val="auto"/>
              </w:rPr>
            </w:pP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(63)</w:t>
            </w:r>
          </w:p>
        </w:tc>
      </w:tr>
      <w:tr>
        <w:trPr>
          <w:trHeight w:val="210"/>
        </w:trPr>
        <w:tc>
          <w:tcPr>
            <w:tcW w:w="5180" w:type="dxa"/>
            <w:vAlign w:val="bottom"/>
          </w:tcPr>
          <w:p>
            <w:pPr>
              <w:ind w:left="40"/>
              <w:spacing w:after="0"/>
              <w:rPr>
                <w:sz w:val="20"/>
                <w:szCs w:val="20"/>
                <w:color w:val="auto"/>
              </w:rPr>
            </w:pPr>
            <w:r>
              <w:rPr>
                <w:rFonts w:ascii="Arial" w:cs="Arial" w:eastAsia="Arial" w:hAnsi="Arial"/>
                <w:sz w:val="18"/>
                <w:szCs w:val="18"/>
                <w:color w:val="auto"/>
              </w:rPr>
              <w:t>Comprehensive income (loss)</w:t>
            </w:r>
          </w:p>
        </w:tc>
        <w:tc>
          <w:tcPr>
            <w:tcW w:w="4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5,546</w:t>
            </w: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(1,988</w:t>
            </w:r>
          </w:p>
        </w:tc>
        <w:tc>
          <w:tcPr>
            <w:tcW w:w="22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2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495</w:t>
            </w: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(8,403</w:t>
            </w:r>
          </w:p>
        </w:tc>
        <w:tc>
          <w:tcPr>
            <w:tcW w:w="100" w:type="dxa"/>
            <w:vAlign w:val="bottom"/>
            <w:gridSpan w:val="2"/>
          </w:tcPr>
          <w:p>
            <w:pPr>
              <w:jc w:val="right"/>
              <w:ind w:right="40"/>
              <w:spacing w:after="0"/>
              <w:rPr>
                <w:sz w:val="20"/>
                <w:szCs w:val="20"/>
                <w:color w:val="auto"/>
              </w:rPr>
            </w:pPr>
            <w:r>
              <w:rPr>
                <w:rFonts w:ascii="Arial" w:cs="Arial" w:eastAsia="Arial" w:hAnsi="Arial"/>
                <w:sz w:val="16"/>
                <w:szCs w:val="16"/>
                <w:color w:val="auto"/>
                <w:w w:val="74"/>
              </w:rPr>
              <w:t>)</w:t>
            </w:r>
          </w:p>
        </w:tc>
      </w:tr>
      <w:tr>
        <w:trPr>
          <w:trHeight w:val="20"/>
        </w:trPr>
        <w:tc>
          <w:tcPr>
            <w:tcW w:w="5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730"/>
        </w:trPr>
        <w:tc>
          <w:tcPr>
            <w:tcW w:w="51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8" w:name="page9"/>
    <w:bookmarkEnd w:id="8"/>
    <w:p>
      <w:pPr>
        <w:jc w:val="center"/>
        <w:ind w:right="120"/>
        <w:spacing w:after="0"/>
        <w:rPr>
          <w:sz w:val="20"/>
          <w:szCs w:val="20"/>
          <w:color w:val="auto"/>
        </w:rPr>
      </w:pPr>
      <w:r>
        <w:rPr>
          <w:rFonts w:ascii="Arial" w:cs="Arial" w:eastAsia="Arial" w:hAnsi="Arial"/>
          <w:sz w:val="18"/>
          <w:szCs w:val="18"/>
          <w:b w:val="1"/>
          <w:bCs w:val="1"/>
          <w:color w:val="auto"/>
        </w:rPr>
        <w:t>CLEARONE, INC.</w:t>
      </w:r>
    </w:p>
    <w:p>
      <w:pPr>
        <w:spacing w:after="0" w:line="27" w:lineRule="exact"/>
        <w:rPr>
          <w:sz w:val="20"/>
          <w:szCs w:val="20"/>
          <w:color w:val="auto"/>
        </w:rPr>
      </w:pPr>
    </w:p>
    <w:p>
      <w:pPr>
        <w:jc w:val="center"/>
        <w:ind w:right="120"/>
        <w:spacing w:after="0"/>
        <w:rPr>
          <w:sz w:val="20"/>
          <w:szCs w:val="20"/>
          <w:color w:val="auto"/>
        </w:rPr>
      </w:pPr>
      <w:r>
        <w:rPr>
          <w:rFonts w:ascii="Arial" w:cs="Arial" w:eastAsia="Arial" w:hAnsi="Arial"/>
          <w:sz w:val="18"/>
          <w:szCs w:val="18"/>
          <w:b w:val="1"/>
          <w:bCs w:val="1"/>
          <w:color w:val="auto"/>
        </w:rPr>
        <w:t>UNAUDITED RECONCILIATION OF GAAP MEASURES TO NON-GAAP MEASURES</w:t>
      </w:r>
    </w:p>
    <w:p>
      <w:pPr>
        <w:spacing w:after="0" w:line="9"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(Dollars in thousands, except per share values)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6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2720" w:type="dxa"/>
            <w:vAlign w:val="bottom"/>
            <w:tcBorders>
              <w:bottom w:val="single" w:sz="8" w:color="auto"/>
            </w:tcBorders>
            <w:gridSpan w:val="6"/>
          </w:tcPr>
          <w:p>
            <w:pPr>
              <w:jc w:val="right"/>
              <w:ind w:right="79"/>
              <w:spacing w:after="0"/>
              <w:rPr>
                <w:sz w:val="20"/>
                <w:szCs w:val="20"/>
                <w:color w:val="auto"/>
              </w:rPr>
            </w:pPr>
            <w:r>
              <w:rPr>
                <w:rFonts w:ascii="Arial" w:cs="Arial" w:eastAsia="Arial" w:hAnsi="Arial"/>
                <w:sz w:val="16"/>
                <w:szCs w:val="16"/>
                <w:b w:val="1"/>
                <w:bCs w:val="1"/>
                <w:color w:val="auto"/>
                <w:w w:val="95"/>
              </w:rPr>
              <w:t>Three months ended December 31,</w:t>
            </w:r>
          </w:p>
        </w:tc>
        <w:tc>
          <w:tcPr>
            <w:tcW w:w="2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420" w:type="dxa"/>
            <w:vAlign w:val="bottom"/>
            <w:tcBorders>
              <w:bottom w:val="single" w:sz="8" w:color="auto"/>
            </w:tcBorders>
            <w:gridSpan w:val="4"/>
          </w:tcPr>
          <w:p>
            <w:pPr>
              <w:jc w:val="right"/>
              <w:ind w:right="379"/>
              <w:spacing w:after="0"/>
              <w:rPr>
                <w:sz w:val="20"/>
                <w:szCs w:val="20"/>
                <w:color w:val="auto"/>
              </w:rPr>
            </w:pPr>
            <w:r>
              <w:rPr>
                <w:rFonts w:ascii="Arial" w:cs="Arial" w:eastAsia="Arial" w:hAnsi="Arial"/>
                <w:sz w:val="16"/>
                <w:szCs w:val="16"/>
                <w:b w:val="1"/>
                <w:bCs w:val="1"/>
                <w:color w:val="auto"/>
                <w:w w:val="99"/>
              </w:rPr>
              <w:t>Year ended December 31,</w:t>
            </w:r>
          </w:p>
        </w:tc>
        <w:tc>
          <w:tcPr>
            <w:tcW w:w="100" w:type="dxa"/>
            <w:vAlign w:val="bottom"/>
          </w:tcPr>
          <w:p>
            <w:pPr>
              <w:spacing w:after="0"/>
              <w:rPr>
                <w:sz w:val="18"/>
                <w:szCs w:val="18"/>
                <w:color w:val="auto"/>
              </w:rPr>
            </w:pPr>
          </w:p>
        </w:tc>
      </w:tr>
      <w:tr>
        <w:trPr>
          <w:trHeight w:val="223"/>
        </w:trPr>
        <w:tc>
          <w:tcPr>
            <w:tcW w:w="3640" w:type="dxa"/>
            <w:vAlign w:val="bottom"/>
            <w:tcBorders>
              <w:bottom w:val="single" w:sz="8" w:color="CCEEFF"/>
            </w:tcBorders>
          </w:tcPr>
          <w:p>
            <w:pPr>
              <w:spacing w:after="0"/>
              <w:rPr>
                <w:sz w:val="19"/>
                <w:szCs w:val="19"/>
                <w:color w:val="auto"/>
              </w:rPr>
            </w:pPr>
          </w:p>
        </w:tc>
        <w:tc>
          <w:tcPr>
            <w:tcW w:w="188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42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2019</w:t>
            </w:r>
          </w:p>
        </w:tc>
        <w:tc>
          <w:tcPr>
            <w:tcW w:w="2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2020</w:t>
            </w:r>
          </w:p>
        </w:tc>
        <w:tc>
          <w:tcPr>
            <w:tcW w:w="2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19"/>
                <w:szCs w:val="19"/>
                <w:color w:val="auto"/>
              </w:rPr>
            </w:pPr>
          </w:p>
        </w:tc>
      </w:tr>
      <w:tr>
        <w:trPr>
          <w:trHeight w:val="226"/>
        </w:trPr>
        <w:tc>
          <w:tcPr>
            <w:tcW w:w="364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GAAP gross profit</w:t>
            </w:r>
          </w:p>
        </w:tc>
        <w:tc>
          <w:tcPr>
            <w:tcW w:w="188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659"/>
              <w:spacing w:after="0"/>
              <w:rPr>
                <w:sz w:val="20"/>
                <w:szCs w:val="20"/>
                <w:color w:val="auto"/>
              </w:rPr>
            </w:pPr>
            <w:r>
              <w:rPr>
                <w:rFonts w:ascii="Arial" w:cs="Arial" w:eastAsia="Arial" w:hAnsi="Arial"/>
                <w:sz w:val="16"/>
                <w:szCs w:val="16"/>
                <w:color w:val="auto"/>
                <w:w w:val="89"/>
              </w:rPr>
              <w:t>$</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w w:val="99"/>
              </w:rPr>
              <w:t>3,583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3,013</w:t>
            </w:r>
          </w:p>
        </w:tc>
        <w:tc>
          <w:tcPr>
            <w:tcW w:w="26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12,559</w:t>
            </w: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11,193</w:t>
            </w:r>
          </w:p>
        </w:tc>
      </w:tr>
      <w:tr>
        <w:trPr>
          <w:trHeight w:val="206"/>
        </w:trPr>
        <w:tc>
          <w:tcPr>
            <w:tcW w:w="3640" w:type="dxa"/>
            <w:vAlign w:val="bottom"/>
          </w:tcPr>
          <w:p>
            <w:pPr>
              <w:ind w:left="40"/>
              <w:spacing w:after="0"/>
              <w:rPr>
                <w:sz w:val="20"/>
                <w:szCs w:val="20"/>
                <w:color w:val="auto"/>
              </w:rPr>
            </w:pPr>
            <w:r>
              <w:rPr>
                <w:rFonts w:ascii="Arial" w:cs="Arial" w:eastAsia="Arial" w:hAnsi="Arial"/>
                <w:sz w:val="16"/>
                <w:szCs w:val="16"/>
                <w:color w:val="auto"/>
              </w:rPr>
              <w:t>Stock-based compensation</w:t>
            </w:r>
          </w:p>
        </w:tc>
        <w:tc>
          <w:tcPr>
            <w:tcW w:w="18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2</w:t>
            </w: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6"/>
                <w:szCs w:val="16"/>
                <w:color w:val="auto"/>
              </w:rPr>
              <w:t>8</w:t>
            </w:r>
          </w:p>
        </w:tc>
      </w:tr>
      <w:tr>
        <w:trPr>
          <w:trHeight w:val="37"/>
        </w:trPr>
        <w:tc>
          <w:tcPr>
            <w:tcW w:w="3640" w:type="dxa"/>
            <w:vAlign w:val="bottom"/>
            <w:tcBorders>
              <w:bottom w:val="single" w:sz="8" w:color="CCEEFF"/>
            </w:tcBorders>
          </w:tcPr>
          <w:p>
            <w:pPr>
              <w:spacing w:after="0"/>
              <w:rPr>
                <w:sz w:val="3"/>
                <w:szCs w:val="3"/>
                <w:color w:val="auto"/>
              </w:rPr>
            </w:pPr>
          </w:p>
        </w:tc>
        <w:tc>
          <w:tcPr>
            <w:tcW w:w="1880" w:type="dxa"/>
            <w:vAlign w:val="bottom"/>
            <w:tcBorders>
              <w:bottom w:val="single" w:sz="8" w:color="CCEEFF"/>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22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22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r>
      <w:tr>
        <w:trPr>
          <w:trHeight w:val="220"/>
        </w:trPr>
        <w:tc>
          <w:tcPr>
            <w:tcW w:w="364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Non-GAAP gross profit</w:t>
            </w:r>
          </w:p>
        </w:tc>
        <w:tc>
          <w:tcPr>
            <w:tcW w:w="188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659"/>
              <w:spacing w:after="0"/>
              <w:rPr>
                <w:sz w:val="20"/>
                <w:szCs w:val="20"/>
                <w:color w:val="auto"/>
              </w:rPr>
            </w:pPr>
            <w:r>
              <w:rPr>
                <w:rFonts w:ascii="Arial" w:cs="Arial" w:eastAsia="Arial" w:hAnsi="Arial"/>
                <w:sz w:val="16"/>
                <w:szCs w:val="16"/>
                <w:color w:val="auto"/>
                <w:w w:val="89"/>
              </w:rPr>
              <w:t>$</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w w:val="99"/>
              </w:rPr>
              <w:t>3,583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3,015</w:t>
            </w:r>
          </w:p>
        </w:tc>
        <w:tc>
          <w:tcPr>
            <w:tcW w:w="26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12,561</w:t>
            </w: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11,201</w:t>
            </w:r>
          </w:p>
        </w:tc>
      </w:tr>
      <w:tr>
        <w:trPr>
          <w:trHeight w:val="20"/>
        </w:trPr>
        <w:tc>
          <w:tcPr>
            <w:tcW w:w="364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918" w:right="339" w:bottom="1440" w:gutter="0" w:footer="0" w:header="0"/>
        </w:sectPr>
      </w:pPr>
    </w:p>
    <w:p>
      <w:pPr>
        <w:spacing w:after="0" w:line="15"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5480" w:type="dxa"/>
            <w:vAlign w:val="bottom"/>
          </w:tcPr>
          <w:p>
            <w:pPr>
              <w:spacing w:after="0"/>
              <w:rPr>
                <w:sz w:val="20"/>
                <w:szCs w:val="20"/>
                <w:color w:val="auto"/>
              </w:rPr>
            </w:pPr>
            <w:r>
              <w:rPr>
                <w:rFonts w:ascii="Arial" w:cs="Arial" w:eastAsia="Arial" w:hAnsi="Arial"/>
                <w:sz w:val="16"/>
                <w:szCs w:val="16"/>
                <w:b w:val="1"/>
                <w:bCs w:val="1"/>
                <w:color w:val="auto"/>
              </w:rPr>
              <w:t>GAAP operating loss</w:t>
            </w:r>
          </w:p>
        </w:tc>
        <w:tc>
          <w:tcPr>
            <w:tcW w:w="320" w:type="dxa"/>
            <w:vAlign w:val="bottom"/>
            <w:gridSpan w:val="2"/>
          </w:tcPr>
          <w:p>
            <w:pPr>
              <w:jc w:val="right"/>
              <w:ind w:right="144"/>
              <w:spacing w:after="0"/>
              <w:rPr>
                <w:sz w:val="20"/>
                <w:szCs w:val="20"/>
                <w:color w:val="auto"/>
              </w:rPr>
            </w:pPr>
            <w:r>
              <w:rPr>
                <w:rFonts w:ascii="Arial" w:cs="Arial" w:eastAsia="Arial" w:hAnsi="Arial"/>
                <w:sz w:val="16"/>
                <w:szCs w:val="16"/>
                <w:color w:val="auto"/>
                <w:w w:val="89"/>
              </w:rPr>
              <w:t>$</w:t>
            </w:r>
          </w:p>
        </w:tc>
        <w:tc>
          <w:tcPr>
            <w:tcW w:w="1080" w:type="dxa"/>
            <w:vAlign w:val="bottom"/>
            <w:gridSpan w:val="2"/>
          </w:tcPr>
          <w:p>
            <w:pPr>
              <w:jc w:val="right"/>
              <w:ind w:right="1"/>
              <w:spacing w:after="0"/>
              <w:rPr>
                <w:sz w:val="20"/>
                <w:szCs w:val="20"/>
                <w:color w:val="auto"/>
              </w:rPr>
            </w:pPr>
            <w:r>
              <w:rPr>
                <w:rFonts w:ascii="Arial" w:cs="Arial" w:eastAsia="Arial" w:hAnsi="Arial"/>
                <w:sz w:val="16"/>
                <w:szCs w:val="16"/>
                <w:color w:val="auto"/>
              </w:rPr>
              <w:t>(817</w:t>
            </w:r>
            <w:r>
              <w:rPr>
                <w:rFonts w:ascii="Arial" w:cs="Arial" w:eastAsia="Arial" w:hAnsi="Arial"/>
                <w:sz w:val="17"/>
                <w:szCs w:val="17"/>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4"/>
        </w:trPr>
        <w:tc>
          <w:tcPr>
            <w:tcW w:w="5480" w:type="dxa"/>
            <w:vAlign w:val="bottom"/>
          </w:tcPr>
          <w:p>
            <w:pPr>
              <w:spacing w:after="0"/>
              <w:rPr>
                <w:sz w:val="20"/>
                <w:szCs w:val="20"/>
                <w:color w:val="auto"/>
              </w:rPr>
            </w:pPr>
            <w:r>
              <w:rPr>
                <w:rFonts w:ascii="Arial" w:cs="Arial" w:eastAsia="Arial" w:hAnsi="Arial"/>
                <w:sz w:val="16"/>
                <w:szCs w:val="16"/>
                <w:color w:val="auto"/>
              </w:rPr>
              <w:t>Stock-based compensation</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480" w:type="dxa"/>
            <w:vAlign w:val="bottom"/>
          </w:tcPr>
          <w:p>
            <w:pPr>
              <w:spacing w:after="0"/>
              <w:rPr>
                <w:sz w:val="20"/>
                <w:szCs w:val="20"/>
                <w:color w:val="auto"/>
              </w:rPr>
            </w:pPr>
            <w:r>
              <w:rPr>
                <w:rFonts w:ascii="Arial" w:cs="Arial" w:eastAsia="Arial" w:hAnsi="Arial"/>
                <w:sz w:val="16"/>
                <w:szCs w:val="16"/>
                <w:color w:val="auto"/>
              </w:rPr>
              <w:t>Amortization of intangibles</w:t>
            </w: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474</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
        </w:trPr>
        <w:tc>
          <w:tcPr>
            <w:tcW w:w="5480" w:type="dxa"/>
            <w:vAlign w:val="bottom"/>
            <w:vMerge w:val="restart"/>
          </w:tcPr>
          <w:p>
            <w:pPr>
              <w:spacing w:after="0"/>
              <w:rPr>
                <w:sz w:val="20"/>
                <w:szCs w:val="20"/>
                <w:color w:val="auto"/>
              </w:rPr>
            </w:pPr>
            <w:r>
              <w:rPr>
                <w:rFonts w:ascii="Arial" w:cs="Arial" w:eastAsia="Arial" w:hAnsi="Arial"/>
                <w:sz w:val="16"/>
                <w:szCs w:val="16"/>
                <w:b w:val="1"/>
                <w:bCs w:val="1"/>
                <w:color w:val="auto"/>
              </w:rPr>
              <w:t>Non-GAAP operating loss</w:t>
            </w:r>
          </w:p>
        </w:tc>
        <w:tc>
          <w:tcPr>
            <w:tcW w:w="20" w:type="dxa"/>
            <w:vAlign w:val="bottom"/>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1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3"/>
        </w:trPr>
        <w:tc>
          <w:tcPr>
            <w:tcW w:w="548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jc w:val="right"/>
              <w:ind w:right="144"/>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
              <w:spacing w:after="0"/>
              <w:rPr>
                <w:sz w:val="20"/>
                <w:szCs w:val="20"/>
                <w:color w:val="auto"/>
              </w:rPr>
            </w:pPr>
            <w:r>
              <w:rPr>
                <w:rFonts w:ascii="Arial" w:cs="Arial" w:eastAsia="Arial" w:hAnsi="Arial"/>
                <w:sz w:val="16"/>
                <w:szCs w:val="16"/>
                <w:color w:val="auto"/>
              </w:rPr>
              <w:t>(336</w:t>
            </w:r>
            <w:r>
              <w:rPr>
                <w:rFonts w:ascii="Arial" w:cs="Arial" w:eastAsia="Arial" w:hAnsi="Arial"/>
                <w:sz w:val="17"/>
                <w:szCs w:val="17"/>
                <w:color w:val="auto"/>
              </w:rPr>
              <w:t>)</w:t>
            </w:r>
          </w:p>
        </w:tc>
        <w:tc>
          <w:tcPr>
            <w:tcW w:w="1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80" w:type="dxa"/>
            <w:vAlign w:val="bottom"/>
            <w:vMerge w:val="restart"/>
          </w:tcPr>
          <w:p>
            <w:pPr>
              <w:spacing w:after="0"/>
              <w:rPr>
                <w:sz w:val="20"/>
                <w:szCs w:val="20"/>
                <w:color w:val="auto"/>
              </w:rPr>
            </w:pPr>
            <w:r>
              <w:rPr>
                <w:rFonts w:ascii="Arial" w:cs="Arial" w:eastAsia="Arial" w:hAnsi="Arial"/>
                <w:sz w:val="16"/>
                <w:szCs w:val="16"/>
                <w:b w:val="1"/>
                <w:bCs w:val="1"/>
                <w:color w:val="auto"/>
              </w:rPr>
              <w:t>GAAP net income (loss)</w:t>
            </w:r>
          </w:p>
        </w:tc>
        <w:tc>
          <w:tcPr>
            <w:tcW w:w="2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7"/>
        </w:trPr>
        <w:tc>
          <w:tcPr>
            <w:tcW w:w="5480" w:type="dxa"/>
            <w:vAlign w:val="bottom"/>
            <w:vMerge w:val="continue"/>
          </w:tcPr>
          <w:p>
            <w:pPr>
              <w:spacing w:after="0"/>
              <w:rPr>
                <w:sz w:val="24"/>
                <w:szCs w:val="24"/>
                <w:color w:val="auto"/>
              </w:rPr>
            </w:pPr>
          </w:p>
        </w:tc>
        <w:tc>
          <w:tcPr>
            <w:tcW w:w="320" w:type="dxa"/>
            <w:vAlign w:val="bottom"/>
            <w:gridSpan w:val="2"/>
          </w:tcPr>
          <w:p>
            <w:pPr>
              <w:jc w:val="right"/>
              <w:ind w:right="144"/>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5,549</w:t>
            </w:r>
          </w:p>
        </w:tc>
        <w:tc>
          <w:tcPr>
            <w:tcW w:w="14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3"/>
        </w:trPr>
        <w:tc>
          <w:tcPr>
            <w:tcW w:w="5480" w:type="dxa"/>
            <w:vAlign w:val="bottom"/>
          </w:tcPr>
          <w:p>
            <w:pPr>
              <w:spacing w:after="0"/>
              <w:rPr>
                <w:sz w:val="20"/>
                <w:szCs w:val="20"/>
                <w:color w:val="auto"/>
              </w:rPr>
            </w:pPr>
            <w:r>
              <w:rPr>
                <w:rFonts w:ascii="Arial" w:cs="Arial" w:eastAsia="Arial" w:hAnsi="Arial"/>
                <w:sz w:val="16"/>
                <w:szCs w:val="16"/>
                <w:color w:val="auto"/>
              </w:rPr>
              <w:t>Stock-based compensation</w:t>
            </w: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480" w:type="dxa"/>
            <w:vAlign w:val="bottom"/>
          </w:tcPr>
          <w:p>
            <w:pPr>
              <w:spacing w:after="0"/>
              <w:rPr>
                <w:sz w:val="20"/>
                <w:szCs w:val="20"/>
                <w:color w:val="auto"/>
              </w:rPr>
            </w:pPr>
            <w:r>
              <w:rPr>
                <w:rFonts w:ascii="Arial" w:cs="Arial" w:eastAsia="Arial" w:hAnsi="Arial"/>
                <w:sz w:val="16"/>
                <w:szCs w:val="16"/>
                <w:color w:val="auto"/>
              </w:rPr>
              <w:t>Amortization of intangibles</w:t>
            </w: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474</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
        </w:trPr>
        <w:tc>
          <w:tcPr>
            <w:tcW w:w="5480" w:type="dxa"/>
            <w:vAlign w:val="bottom"/>
            <w:vMerge w:val="restart"/>
          </w:tcPr>
          <w:p>
            <w:pPr>
              <w:spacing w:after="0"/>
              <w:rPr>
                <w:sz w:val="20"/>
                <w:szCs w:val="20"/>
                <w:color w:val="auto"/>
              </w:rPr>
            </w:pPr>
            <w:r>
              <w:rPr>
                <w:rFonts w:ascii="Arial" w:cs="Arial" w:eastAsia="Arial" w:hAnsi="Arial"/>
                <w:sz w:val="16"/>
                <w:szCs w:val="16"/>
                <w:b w:val="1"/>
                <w:bCs w:val="1"/>
                <w:color w:val="auto"/>
              </w:rPr>
              <w:t>Non-GAAP net income (loss)</w:t>
            </w:r>
          </w:p>
        </w:tc>
        <w:tc>
          <w:tcPr>
            <w:tcW w:w="320" w:type="dxa"/>
            <w:vAlign w:val="bottom"/>
            <w:gridSpan w:val="2"/>
          </w:tcPr>
          <w:p>
            <w:pPr>
              <w:spacing w:after="0"/>
              <w:rPr>
                <w:sz w:val="4"/>
                <w:szCs w:val="4"/>
                <w:color w:val="auto"/>
              </w:rPr>
            </w:pPr>
          </w:p>
        </w:tc>
        <w:tc>
          <w:tcPr>
            <w:tcW w:w="9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5480" w:type="dxa"/>
            <w:vAlign w:val="bottom"/>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jc w:val="right"/>
              <w:ind w:right="144"/>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6,030</w:t>
            </w:r>
          </w:p>
        </w:tc>
        <w:tc>
          <w:tcPr>
            <w:tcW w:w="140" w:type="dxa"/>
            <w:vAlign w:val="bottom"/>
          </w:tcPr>
          <w:p>
            <w:pPr>
              <w:spacing w:after="0"/>
              <w:rPr>
                <w:sz w:val="18"/>
                <w:szCs w:val="18"/>
                <w:color w:val="auto"/>
              </w:rPr>
            </w:pPr>
          </w:p>
        </w:tc>
        <w:tc>
          <w:tcPr>
            <w:tcW w:w="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80" w:type="dxa"/>
            <w:vAlign w:val="bottom"/>
            <w:vMerge w:val="restart"/>
          </w:tcPr>
          <w:p>
            <w:pPr>
              <w:spacing w:after="0"/>
              <w:rPr>
                <w:sz w:val="20"/>
                <w:szCs w:val="20"/>
                <w:color w:val="auto"/>
              </w:rPr>
            </w:pPr>
            <w:r>
              <w:rPr>
                <w:rFonts w:ascii="Arial" w:cs="Arial" w:eastAsia="Arial" w:hAnsi="Arial"/>
                <w:sz w:val="16"/>
                <w:szCs w:val="16"/>
                <w:b w:val="1"/>
                <w:bCs w:val="1"/>
                <w:color w:val="auto"/>
              </w:rPr>
              <w:t>GAAP net income (loss)</w:t>
            </w: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9"/>
        </w:trPr>
        <w:tc>
          <w:tcPr>
            <w:tcW w:w="5480" w:type="dxa"/>
            <w:vAlign w:val="bottom"/>
            <w:vMerge w:val="continue"/>
          </w:tcPr>
          <w:p>
            <w:pPr>
              <w:spacing w:after="0"/>
              <w:rPr>
                <w:sz w:val="24"/>
                <w:szCs w:val="24"/>
                <w:color w:val="auto"/>
              </w:rPr>
            </w:pPr>
          </w:p>
        </w:tc>
        <w:tc>
          <w:tcPr>
            <w:tcW w:w="320" w:type="dxa"/>
            <w:vAlign w:val="bottom"/>
            <w:gridSpan w:val="2"/>
          </w:tcPr>
          <w:p>
            <w:pPr>
              <w:jc w:val="right"/>
              <w:ind w:right="144"/>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5,549</w:t>
            </w:r>
          </w:p>
        </w:tc>
        <w:tc>
          <w:tcPr>
            <w:tcW w:w="14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5480" w:type="dxa"/>
            <w:vAlign w:val="bottom"/>
          </w:tcPr>
          <w:p>
            <w:pPr>
              <w:spacing w:after="0"/>
              <w:rPr>
                <w:sz w:val="20"/>
                <w:szCs w:val="20"/>
                <w:color w:val="auto"/>
              </w:rPr>
            </w:pPr>
            <w:r>
              <w:rPr>
                <w:rFonts w:ascii="Arial" w:cs="Arial" w:eastAsia="Arial" w:hAnsi="Arial"/>
                <w:sz w:val="16"/>
                <w:szCs w:val="16"/>
                <w:color w:val="auto"/>
              </w:rPr>
              <w:t>Number of shares used in computing GAAP diluted income (loss) per share</w:t>
            </w: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18,829,341</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5480" w:type="dxa"/>
            <w:vAlign w:val="bottom"/>
          </w:tcPr>
          <w:p>
            <w:pPr>
              <w:spacing w:after="0"/>
              <w:rPr>
                <w:sz w:val="20"/>
                <w:szCs w:val="20"/>
                <w:color w:val="auto"/>
              </w:rPr>
            </w:pPr>
            <w:r>
              <w:rPr>
                <w:rFonts w:ascii="Arial" w:cs="Arial" w:eastAsia="Arial" w:hAnsi="Arial"/>
                <w:sz w:val="16"/>
                <w:szCs w:val="16"/>
                <w:b w:val="1"/>
                <w:bCs w:val="1"/>
                <w:color w:val="auto"/>
              </w:rPr>
              <w:t>GAAP diluted income (loss) per share</w:t>
            </w:r>
          </w:p>
        </w:tc>
        <w:tc>
          <w:tcPr>
            <w:tcW w:w="320" w:type="dxa"/>
            <w:vAlign w:val="bottom"/>
            <w:gridSpan w:val="2"/>
          </w:tcPr>
          <w:p>
            <w:pPr>
              <w:jc w:val="right"/>
              <w:ind w:right="144"/>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0.29</w:t>
            </w:r>
          </w:p>
        </w:tc>
        <w:tc>
          <w:tcPr>
            <w:tcW w:w="14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0"/>
        </w:trPr>
        <w:tc>
          <w:tcPr>
            <w:tcW w:w="5480" w:type="dxa"/>
            <w:vAlign w:val="bottom"/>
          </w:tcPr>
          <w:p>
            <w:pPr>
              <w:spacing w:after="0"/>
              <w:rPr>
                <w:sz w:val="20"/>
                <w:szCs w:val="20"/>
                <w:color w:val="auto"/>
              </w:rPr>
            </w:pPr>
            <w:r>
              <w:rPr>
                <w:rFonts w:ascii="Arial" w:cs="Arial" w:eastAsia="Arial" w:hAnsi="Arial"/>
                <w:sz w:val="16"/>
                <w:szCs w:val="16"/>
                <w:color w:val="auto"/>
              </w:rPr>
              <w:t>Non-GAAP net income (loss)</w:t>
            </w:r>
          </w:p>
        </w:tc>
        <w:tc>
          <w:tcPr>
            <w:tcW w:w="320" w:type="dxa"/>
            <w:vAlign w:val="bottom"/>
            <w:gridSpan w:val="2"/>
          </w:tcPr>
          <w:p>
            <w:pPr>
              <w:jc w:val="right"/>
              <w:ind w:right="144"/>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6,030</w:t>
            </w:r>
          </w:p>
        </w:tc>
        <w:tc>
          <w:tcPr>
            <w:tcW w:w="14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5480" w:type="dxa"/>
            <w:vAlign w:val="bottom"/>
          </w:tcPr>
          <w:p>
            <w:pPr>
              <w:spacing w:after="0"/>
              <w:rPr>
                <w:sz w:val="20"/>
                <w:szCs w:val="20"/>
                <w:color w:val="auto"/>
              </w:rPr>
            </w:pPr>
            <w:r>
              <w:rPr>
                <w:rFonts w:ascii="Arial" w:cs="Arial" w:eastAsia="Arial" w:hAnsi="Arial"/>
                <w:sz w:val="16"/>
                <w:szCs w:val="16"/>
                <w:color w:val="auto"/>
                <w:w w:val="96"/>
              </w:rPr>
              <w:t>Number of shares used in computing Non-GAAP diluted income (loss) per share</w:t>
            </w: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18,829,341</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5480" w:type="dxa"/>
            <w:vAlign w:val="bottom"/>
          </w:tcPr>
          <w:p>
            <w:pPr>
              <w:spacing w:after="0"/>
              <w:rPr>
                <w:sz w:val="20"/>
                <w:szCs w:val="20"/>
                <w:color w:val="auto"/>
              </w:rPr>
            </w:pPr>
            <w:r>
              <w:rPr>
                <w:rFonts w:ascii="Arial" w:cs="Arial" w:eastAsia="Arial" w:hAnsi="Arial"/>
                <w:sz w:val="16"/>
                <w:szCs w:val="16"/>
                <w:b w:val="1"/>
                <w:bCs w:val="1"/>
                <w:color w:val="auto"/>
              </w:rPr>
              <w:t>Non-GAAP diluted income (loss) per share</w:t>
            </w:r>
          </w:p>
        </w:tc>
        <w:tc>
          <w:tcPr>
            <w:tcW w:w="320" w:type="dxa"/>
            <w:vAlign w:val="bottom"/>
            <w:gridSpan w:val="2"/>
          </w:tcPr>
          <w:p>
            <w:pPr>
              <w:jc w:val="right"/>
              <w:ind w:right="144"/>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0.32</w:t>
            </w:r>
          </w:p>
        </w:tc>
        <w:tc>
          <w:tcPr>
            <w:tcW w:w="14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455"/>
        </w:trPr>
        <w:tc>
          <w:tcPr>
            <w:tcW w:w="5480" w:type="dxa"/>
            <w:vAlign w:val="bottom"/>
          </w:tcPr>
          <w:p>
            <w:pPr>
              <w:spacing w:after="0"/>
              <w:rPr>
                <w:sz w:val="20"/>
                <w:szCs w:val="20"/>
                <w:color w:val="auto"/>
              </w:rPr>
            </w:pPr>
            <w:r>
              <w:rPr>
                <w:rFonts w:ascii="Arial" w:cs="Arial" w:eastAsia="Arial" w:hAnsi="Arial"/>
                <w:sz w:val="16"/>
                <w:szCs w:val="16"/>
                <w:b w:val="1"/>
                <w:bCs w:val="1"/>
                <w:color w:val="auto"/>
              </w:rPr>
              <w:t>GAAP net income (loss)</w:t>
            </w:r>
          </w:p>
        </w:tc>
        <w:tc>
          <w:tcPr>
            <w:tcW w:w="320" w:type="dxa"/>
            <w:vAlign w:val="bottom"/>
            <w:gridSpan w:val="2"/>
          </w:tcPr>
          <w:p>
            <w:pPr>
              <w:jc w:val="right"/>
              <w:ind w:right="144"/>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5,549</w:t>
            </w:r>
          </w:p>
        </w:tc>
        <w:tc>
          <w:tcPr>
            <w:tcW w:w="14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5480" w:type="dxa"/>
            <w:vAlign w:val="bottom"/>
          </w:tcPr>
          <w:p>
            <w:pPr>
              <w:spacing w:after="0"/>
              <w:rPr>
                <w:sz w:val="20"/>
                <w:szCs w:val="20"/>
                <w:color w:val="auto"/>
              </w:rPr>
            </w:pPr>
            <w:r>
              <w:rPr>
                <w:rFonts w:ascii="Arial" w:cs="Arial" w:eastAsia="Arial" w:hAnsi="Arial"/>
                <w:sz w:val="16"/>
                <w:szCs w:val="16"/>
                <w:color w:val="auto"/>
              </w:rPr>
              <w:t>Stock-based compensation</w:t>
            </w: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480" w:type="dxa"/>
            <w:vAlign w:val="bottom"/>
          </w:tcPr>
          <w:p>
            <w:pPr>
              <w:spacing w:after="0"/>
              <w:rPr>
                <w:sz w:val="20"/>
                <w:szCs w:val="20"/>
                <w:color w:val="auto"/>
              </w:rPr>
            </w:pPr>
            <w:r>
              <w:rPr>
                <w:rFonts w:ascii="Arial" w:cs="Arial" w:eastAsia="Arial" w:hAnsi="Arial"/>
                <w:sz w:val="16"/>
                <w:szCs w:val="16"/>
                <w:color w:val="auto"/>
              </w:rPr>
              <w:t>Depreciation</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107</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80" w:type="dxa"/>
            <w:vAlign w:val="bottom"/>
          </w:tcPr>
          <w:p>
            <w:pPr>
              <w:spacing w:after="0"/>
              <w:rPr>
                <w:sz w:val="20"/>
                <w:szCs w:val="20"/>
                <w:color w:val="auto"/>
              </w:rPr>
            </w:pPr>
            <w:r>
              <w:rPr>
                <w:rFonts w:ascii="Arial" w:cs="Arial" w:eastAsia="Arial" w:hAnsi="Arial"/>
                <w:sz w:val="16"/>
                <w:szCs w:val="16"/>
                <w:color w:val="auto"/>
              </w:rPr>
              <w:t>Amortization of intangibles</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474</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5480" w:type="dxa"/>
            <w:vAlign w:val="bottom"/>
          </w:tcPr>
          <w:p>
            <w:pPr>
              <w:spacing w:after="0"/>
              <w:rPr>
                <w:sz w:val="20"/>
                <w:szCs w:val="20"/>
                <w:color w:val="auto"/>
              </w:rPr>
            </w:pPr>
            <w:r>
              <w:rPr>
                <w:rFonts w:ascii="Arial" w:cs="Arial" w:eastAsia="Arial" w:hAnsi="Arial"/>
                <w:sz w:val="16"/>
                <w:szCs w:val="16"/>
                <w:color w:val="auto"/>
              </w:rPr>
              <w:t>Provision for (benefit from) income taxes</w:t>
            </w: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80" w:type="dxa"/>
            <w:vAlign w:val="bottom"/>
            <w:gridSpan w:val="2"/>
          </w:tcPr>
          <w:p>
            <w:pPr>
              <w:jc w:val="right"/>
              <w:ind w:right="1"/>
              <w:spacing w:after="0"/>
              <w:rPr>
                <w:sz w:val="20"/>
                <w:szCs w:val="20"/>
                <w:color w:val="auto"/>
              </w:rPr>
            </w:pPr>
            <w:r>
              <w:rPr>
                <w:rFonts w:ascii="Arial" w:cs="Arial" w:eastAsia="Arial" w:hAnsi="Arial"/>
                <w:sz w:val="16"/>
                <w:szCs w:val="16"/>
                <w:color w:val="auto"/>
              </w:rPr>
              <w:t>(6,468</w:t>
            </w:r>
            <w:r>
              <w:rPr>
                <w:rFonts w:ascii="Arial" w:cs="Arial" w:eastAsia="Arial" w:hAnsi="Arial"/>
                <w:sz w:val="17"/>
                <w:szCs w:val="17"/>
                <w:color w:val="auto"/>
              </w:rPr>
              <w:t>)</w:t>
            </w: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5480" w:type="dxa"/>
            <w:vAlign w:val="bottom"/>
          </w:tcPr>
          <w:p>
            <w:pPr>
              <w:spacing w:after="0"/>
              <w:rPr>
                <w:sz w:val="20"/>
                <w:szCs w:val="20"/>
                <w:color w:val="auto"/>
              </w:rPr>
            </w:pPr>
            <w:r>
              <w:rPr>
                <w:rFonts w:ascii="Arial" w:cs="Arial" w:eastAsia="Arial" w:hAnsi="Arial"/>
                <w:sz w:val="16"/>
                <w:szCs w:val="16"/>
                <w:b w:val="1"/>
                <w:bCs w:val="1"/>
                <w:color w:val="auto"/>
              </w:rPr>
              <w:t>Non-GAAP Adjusted EBITDA</w:t>
            </w:r>
          </w:p>
        </w:tc>
        <w:tc>
          <w:tcPr>
            <w:tcW w:w="20" w:type="dxa"/>
            <w:vAlign w:val="bottom"/>
            <w:tcBorders>
              <w:bottom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jc w:val="right"/>
              <w:ind w:right="144"/>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(331</w:t>
            </w:r>
          </w:p>
        </w:tc>
        <w:tc>
          <w:tcPr>
            <w:tcW w:w="140" w:type="dxa"/>
            <w:vAlign w:val="bottom"/>
          </w:tcPr>
          <w:p>
            <w:pPr>
              <w:jc w:val="right"/>
              <w:ind w:right="1"/>
              <w:spacing w:after="0"/>
              <w:rPr>
                <w:sz w:val="20"/>
                <w:szCs w:val="20"/>
                <w:color w:val="auto"/>
              </w:rPr>
            </w:pPr>
            <w:r>
              <w:rPr>
                <w:rFonts w:ascii="Arial" w:cs="Arial" w:eastAsia="Arial" w:hAnsi="Arial"/>
                <w:sz w:val="16"/>
                <w:szCs w:val="16"/>
                <w:color w:val="auto"/>
                <w:w w:val="74"/>
              </w:rPr>
              <w: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-3505200</wp:posOffset>
            </wp:positionV>
            <wp:extent cx="7132320" cy="1543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-3196590</wp:posOffset>
            </wp:positionV>
            <wp:extent cx="7132320" cy="1543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-2562225</wp:posOffset>
            </wp:positionV>
            <wp:extent cx="7132320" cy="1543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-1928495</wp:posOffset>
            </wp:positionV>
            <wp:extent cx="7132320" cy="1543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-1628140</wp:posOffset>
            </wp:positionV>
            <wp:extent cx="7132320" cy="1460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-1336675</wp:posOffset>
            </wp:positionV>
            <wp:extent cx="7132320" cy="1460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-1045210</wp:posOffset>
            </wp:positionV>
            <wp:extent cx="7132320" cy="1460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-753745</wp:posOffset>
            </wp:positionV>
            <wp:extent cx="7132320" cy="1460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-462280</wp:posOffset>
            </wp:positionV>
            <wp:extent cx="7132320" cy="1460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-170815</wp:posOffset>
            </wp:positionV>
            <wp:extent cx="7132320" cy="1543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-2253615</wp:posOffset>
            </wp:positionV>
            <wp:extent cx="7132320" cy="1631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-2879725</wp:posOffset>
            </wp:positionV>
            <wp:extent cx="7132320" cy="1631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right"/>
        <w:spacing w:after="0"/>
        <w:tabs>
          <w:tab w:leader="none" w:pos="60" w:val="left"/>
        </w:tabs>
        <w:rPr>
          <w:sz w:val="20"/>
          <w:szCs w:val="20"/>
          <w:color w:val="auto"/>
        </w:rPr>
      </w:pPr>
      <w:r>
        <w:rPr>
          <w:rFonts w:ascii="Arial" w:cs="Arial" w:eastAsia="Arial" w:hAnsi="Arial"/>
          <w:sz w:val="16"/>
          <w:szCs w:val="16"/>
          <w:color w:val="auto"/>
        </w:rPr>
        <w:t>(1,969</w:t>
      </w:r>
      <w:r>
        <w:rPr>
          <w:rFonts w:ascii="Arial" w:cs="Arial" w:eastAsia="Arial" w:hAnsi="Arial"/>
          <w:sz w:val="17"/>
          <w:szCs w:val="17"/>
          <w:color w:val="auto"/>
        </w:rPr>
        <w:t>)</w:t>
      </w:r>
      <w:r>
        <w:rPr>
          <w:sz w:val="20"/>
          <w:szCs w:val="20"/>
          <w:color w:val="auto"/>
        </w:rPr>
        <w:tab/>
      </w:r>
      <w:r>
        <w:rPr>
          <w:rFonts w:ascii="Arial" w:cs="Arial" w:eastAsia="Arial" w:hAnsi="Arial"/>
          <w:sz w:val="14"/>
          <w:szCs w:val="14"/>
          <w:color w:val="auto"/>
        </w:rPr>
        <w:t>$</w:t>
      </w:r>
    </w:p>
    <w:p>
      <w:pPr>
        <w:spacing w:after="0" w:line="5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40</w:t>
      </w:r>
    </w:p>
    <w:p>
      <w:pPr>
        <w:spacing w:after="0" w:line="59" w:lineRule="exact"/>
        <w:rPr>
          <w:sz w:val="20"/>
          <w:szCs w:val="20"/>
          <w:color w:val="auto"/>
        </w:rPr>
      </w:pPr>
    </w:p>
    <w:p>
      <w:pPr>
        <w:ind w:left="480"/>
        <w:spacing w:after="0"/>
        <w:rPr>
          <w:sz w:val="20"/>
          <w:szCs w:val="20"/>
          <w:color w:val="auto"/>
        </w:rPr>
      </w:pPr>
      <w:r>
        <w:rPr>
          <w:rFonts w:ascii="Arial" w:cs="Arial" w:eastAsia="Arial" w:hAnsi="Arial"/>
          <w:sz w:val="16"/>
          <w:szCs w:val="16"/>
          <w:color w:val="auto"/>
        </w:rPr>
        <w:t>347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-320675</wp:posOffset>
            </wp:positionH>
            <wp:positionV relativeFrom="paragraph">
              <wp:posOffset>43815</wp:posOffset>
            </wp:positionV>
            <wp:extent cx="78041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80415" cy="8255"/>
                    </a:xfrm>
                    <a:prstGeom prst="rect">
                      <a:avLst/>
                    </a:prstGeom>
                    <a:noFill/>
                  </pic:spPr>
                </pic:pic>
              </a:graphicData>
            </a:graphic>
          </wp:anchor>
        </w:drawing>
      </w:r>
    </w:p>
    <w:p>
      <w:pPr>
        <w:spacing w:after="0" w:line="53" w:lineRule="exact"/>
        <w:rPr>
          <w:sz w:val="20"/>
          <w:szCs w:val="20"/>
          <w:color w:val="auto"/>
        </w:rPr>
      </w:pPr>
    </w:p>
    <w:p>
      <w:pPr>
        <w:jc w:val="right"/>
        <w:spacing w:after="0"/>
        <w:tabs>
          <w:tab w:leader="none" w:pos="60" w:val="left"/>
        </w:tabs>
        <w:rPr>
          <w:sz w:val="20"/>
          <w:szCs w:val="20"/>
          <w:color w:val="auto"/>
        </w:rPr>
      </w:pPr>
      <w:r>
        <w:rPr>
          <w:rFonts w:ascii="Arial" w:cs="Arial" w:eastAsia="Arial" w:hAnsi="Arial"/>
          <w:sz w:val="16"/>
          <w:szCs w:val="16"/>
          <w:color w:val="auto"/>
        </w:rPr>
        <w:t>(1,582</w:t>
      </w:r>
      <w:r>
        <w:rPr>
          <w:rFonts w:ascii="Arial" w:cs="Arial" w:eastAsia="Arial" w:hAnsi="Arial"/>
          <w:sz w:val="17"/>
          <w:szCs w:val="17"/>
          <w:color w:val="auto"/>
        </w:rPr>
        <w:t>)</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-320675</wp:posOffset>
            </wp:positionH>
            <wp:positionV relativeFrom="paragraph">
              <wp:posOffset>27940</wp:posOffset>
            </wp:positionV>
            <wp:extent cx="78041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80415" cy="8255"/>
                    </a:xfrm>
                    <a:prstGeom prst="rect">
                      <a:avLst/>
                    </a:prstGeom>
                    <a:noFill/>
                  </pic:spPr>
                </pic:pic>
              </a:graphicData>
            </a:graphic>
          </wp:anchor>
        </w:drawing>
      </w:r>
    </w:p>
    <w:p>
      <w:pPr>
        <w:spacing w:after="0" w:line="280" w:lineRule="exact"/>
        <w:rPr>
          <w:sz w:val="20"/>
          <w:szCs w:val="20"/>
          <w:color w:val="auto"/>
        </w:rPr>
      </w:pPr>
    </w:p>
    <w:p>
      <w:pPr>
        <w:jc w:val="right"/>
        <w:spacing w:after="0"/>
        <w:tabs>
          <w:tab w:leader="none" w:pos="60" w:val="left"/>
        </w:tabs>
        <w:rPr>
          <w:sz w:val="20"/>
          <w:szCs w:val="20"/>
          <w:color w:val="auto"/>
        </w:rPr>
      </w:pPr>
      <w:r>
        <w:rPr>
          <w:rFonts w:ascii="Arial" w:cs="Arial" w:eastAsia="Arial" w:hAnsi="Arial"/>
          <w:sz w:val="16"/>
          <w:szCs w:val="16"/>
          <w:color w:val="auto"/>
        </w:rPr>
        <w:t>(1,985</w:t>
      </w:r>
      <w:r>
        <w:rPr>
          <w:rFonts w:ascii="Arial" w:cs="Arial" w:eastAsia="Arial" w:hAnsi="Arial"/>
          <w:sz w:val="17"/>
          <w:szCs w:val="17"/>
          <w:color w:val="auto"/>
        </w:rPr>
        <w:t>)</w:t>
      </w:r>
      <w:r>
        <w:rPr>
          <w:sz w:val="20"/>
          <w:szCs w:val="20"/>
          <w:color w:val="auto"/>
        </w:rPr>
        <w:tab/>
      </w:r>
      <w:r>
        <w:rPr>
          <w:rFonts w:ascii="Arial" w:cs="Arial" w:eastAsia="Arial" w:hAnsi="Arial"/>
          <w:sz w:val="14"/>
          <w:szCs w:val="14"/>
          <w:color w:val="auto"/>
        </w:rPr>
        <w:t>$</w:t>
      </w:r>
    </w:p>
    <w:p>
      <w:pPr>
        <w:spacing w:after="0" w:line="5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40</w:t>
      </w:r>
    </w:p>
    <w:p>
      <w:pPr>
        <w:spacing w:after="0" w:line="59" w:lineRule="exact"/>
        <w:rPr>
          <w:sz w:val="20"/>
          <w:szCs w:val="20"/>
          <w:color w:val="auto"/>
        </w:rPr>
      </w:pPr>
    </w:p>
    <w:p>
      <w:pPr>
        <w:ind w:left="480"/>
        <w:spacing w:after="0"/>
        <w:rPr>
          <w:sz w:val="20"/>
          <w:szCs w:val="20"/>
          <w:color w:val="auto"/>
        </w:rPr>
      </w:pPr>
      <w:r>
        <w:rPr>
          <w:rFonts w:ascii="Arial" w:cs="Arial" w:eastAsia="Arial" w:hAnsi="Arial"/>
          <w:sz w:val="16"/>
          <w:szCs w:val="16"/>
          <w:color w:val="auto"/>
        </w:rPr>
        <w:t>347</w:t>
      </w:r>
    </w:p>
    <w:p>
      <w:pPr>
        <w:spacing w:after="0" w:line="73" w:lineRule="exact"/>
        <w:rPr>
          <w:sz w:val="20"/>
          <w:szCs w:val="20"/>
          <w:color w:val="auto"/>
        </w:rPr>
      </w:pPr>
    </w:p>
    <w:p>
      <w:pPr>
        <w:jc w:val="right"/>
        <w:spacing w:after="0"/>
        <w:tabs>
          <w:tab w:leader="none" w:pos="60" w:val="left"/>
        </w:tabs>
        <w:rPr>
          <w:sz w:val="20"/>
          <w:szCs w:val="20"/>
          <w:color w:val="auto"/>
        </w:rPr>
      </w:pPr>
      <w:r>
        <w:rPr>
          <w:rFonts w:ascii="Arial" w:cs="Arial" w:eastAsia="Arial" w:hAnsi="Arial"/>
          <w:sz w:val="16"/>
          <w:szCs w:val="16"/>
          <w:color w:val="auto"/>
        </w:rPr>
        <w:t>(1,598</w:t>
      </w:r>
      <w:r>
        <w:rPr>
          <w:rFonts w:ascii="Arial" w:cs="Arial" w:eastAsia="Arial" w:hAnsi="Arial"/>
          <w:sz w:val="17"/>
          <w:szCs w:val="17"/>
          <w:color w:val="auto"/>
        </w:rPr>
        <w:t>)</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-320675</wp:posOffset>
            </wp:positionH>
            <wp:positionV relativeFrom="paragraph">
              <wp:posOffset>45085</wp:posOffset>
            </wp:positionV>
            <wp:extent cx="78041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80415" cy="8255"/>
                    </a:xfrm>
                    <a:prstGeom prst="rect">
                      <a:avLst/>
                    </a:prstGeom>
                    <a:noFill/>
                  </pic:spPr>
                </pic:pic>
              </a:graphicData>
            </a:graphic>
          </wp:anchor>
        </w:drawing>
      </w:r>
    </w:p>
    <w:p>
      <w:pPr>
        <w:spacing w:after="0" w:line="284" w:lineRule="exact"/>
        <w:rPr>
          <w:sz w:val="20"/>
          <w:szCs w:val="20"/>
          <w:color w:val="auto"/>
        </w:rPr>
      </w:pPr>
    </w:p>
    <w:p>
      <w:pPr>
        <w:ind w:left="300"/>
        <w:spacing w:after="0"/>
        <w:tabs>
          <w:tab w:leader="none" w:pos="920" w:val="left"/>
        </w:tabs>
        <w:rPr>
          <w:sz w:val="20"/>
          <w:szCs w:val="20"/>
          <w:color w:val="auto"/>
        </w:rPr>
      </w:pPr>
      <w:r>
        <w:rPr>
          <w:rFonts w:ascii="Arial" w:cs="Arial" w:eastAsia="Arial" w:hAnsi="Arial"/>
          <w:sz w:val="16"/>
          <w:szCs w:val="16"/>
          <w:color w:val="auto"/>
        </w:rPr>
        <w:t>(1,985</w:t>
      </w:r>
      <w:r>
        <w:rPr>
          <w:rFonts w:ascii="Arial" w:cs="Arial" w:eastAsia="Arial" w:hAnsi="Arial"/>
          <w:sz w:val="17"/>
          <w:szCs w:val="17"/>
          <w:color w:val="auto"/>
        </w:rPr>
        <w:t>)</w:t>
      </w:r>
      <w:r>
        <w:rPr>
          <w:sz w:val="20"/>
          <w:szCs w:val="20"/>
          <w:color w:val="auto"/>
        </w:rPr>
        <w:tab/>
      </w:r>
      <w:r>
        <w:rPr>
          <w:rFonts w:ascii="Arial" w:cs="Arial" w:eastAsia="Arial" w:hAnsi="Arial"/>
          <w:sz w:val="21"/>
          <w:szCs w:val="21"/>
          <w:color w:val="auto"/>
          <w:vertAlign w:val="superscript"/>
        </w:rPr>
        <w:t>$</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16,646,371</w:t>
      </w:r>
    </w:p>
    <w:p>
      <w:pPr>
        <w:spacing w:after="0" w:line="32" w:lineRule="exact"/>
        <w:rPr>
          <w:sz w:val="20"/>
          <w:szCs w:val="20"/>
          <w:color w:val="auto"/>
        </w:rPr>
      </w:pPr>
    </w:p>
    <w:p>
      <w:pPr>
        <w:jc w:val="right"/>
        <w:spacing w:after="0"/>
        <w:tabs>
          <w:tab w:leader="none" w:pos="60" w:val="left"/>
        </w:tabs>
        <w:rPr>
          <w:sz w:val="20"/>
          <w:szCs w:val="20"/>
          <w:color w:val="auto"/>
        </w:rPr>
      </w:pPr>
      <w:r>
        <w:rPr>
          <w:rFonts w:ascii="Arial" w:cs="Arial" w:eastAsia="Arial" w:hAnsi="Arial"/>
          <w:sz w:val="16"/>
          <w:szCs w:val="16"/>
          <w:color w:val="auto"/>
        </w:rPr>
        <w:t>(0.12</w:t>
      </w:r>
      <w:r>
        <w:rPr>
          <w:rFonts w:ascii="Arial" w:cs="Arial" w:eastAsia="Arial" w:hAnsi="Arial"/>
          <w:sz w:val="17"/>
          <w:szCs w:val="17"/>
          <w:color w:val="auto"/>
        </w:rPr>
        <w:t>)</w:t>
      </w:r>
      <w:r>
        <w:rPr>
          <w:sz w:val="20"/>
          <w:szCs w:val="20"/>
          <w:color w:val="auto"/>
        </w:rPr>
        <w:tab/>
      </w:r>
      <w:r>
        <w:rPr>
          <w:rFonts w:ascii="Arial" w:cs="Arial" w:eastAsia="Arial" w:hAnsi="Arial"/>
          <w:sz w:val="14"/>
          <w:szCs w:val="14"/>
          <w:color w:val="auto"/>
        </w:rPr>
        <w:t>$</w:t>
      </w:r>
    </w:p>
    <w:p>
      <w:pPr>
        <w:spacing w:after="0" w:line="44" w:lineRule="exact"/>
        <w:rPr>
          <w:sz w:val="20"/>
          <w:szCs w:val="20"/>
          <w:color w:val="auto"/>
        </w:rPr>
      </w:pPr>
    </w:p>
    <w:p>
      <w:pPr>
        <w:jc w:val="right"/>
        <w:spacing w:after="0"/>
        <w:tabs>
          <w:tab w:leader="none" w:pos="60" w:val="left"/>
        </w:tabs>
        <w:rPr>
          <w:sz w:val="20"/>
          <w:szCs w:val="20"/>
          <w:color w:val="auto"/>
        </w:rPr>
      </w:pPr>
      <w:r>
        <w:rPr>
          <w:rFonts w:ascii="Arial" w:cs="Arial" w:eastAsia="Arial" w:hAnsi="Arial"/>
          <w:sz w:val="16"/>
          <w:szCs w:val="16"/>
          <w:color w:val="auto"/>
        </w:rPr>
        <w:t>(1,598</w:t>
      </w:r>
      <w:r>
        <w:rPr>
          <w:rFonts w:ascii="Arial" w:cs="Arial" w:eastAsia="Arial" w:hAnsi="Arial"/>
          <w:sz w:val="17"/>
          <w:szCs w:val="17"/>
          <w:color w:val="auto"/>
        </w:rPr>
        <w:t>)</w:t>
      </w:r>
      <w:r>
        <w:rPr>
          <w:sz w:val="20"/>
          <w:szCs w:val="20"/>
          <w:color w:val="auto"/>
        </w:rPr>
        <w:tab/>
      </w:r>
      <w:r>
        <w:rPr>
          <w:rFonts w:ascii="Arial" w:cs="Arial" w:eastAsia="Arial" w:hAnsi="Arial"/>
          <w:sz w:val="14"/>
          <w:szCs w:val="14"/>
          <w:color w:val="auto"/>
        </w:rPr>
        <w:t>$</w:t>
      </w: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auto"/>
        </w:rPr>
        <w:t>16,646,371</w:t>
      </w:r>
    </w:p>
    <w:p>
      <w:pPr>
        <w:spacing w:after="0" w:line="36" w:lineRule="exact"/>
        <w:rPr>
          <w:sz w:val="20"/>
          <w:szCs w:val="20"/>
          <w:color w:val="auto"/>
        </w:rPr>
      </w:pPr>
    </w:p>
    <w:p>
      <w:pPr>
        <w:jc w:val="right"/>
        <w:spacing w:after="0"/>
        <w:tabs>
          <w:tab w:leader="none" w:pos="60" w:val="left"/>
        </w:tabs>
        <w:rPr>
          <w:sz w:val="20"/>
          <w:szCs w:val="20"/>
          <w:color w:val="auto"/>
        </w:rPr>
      </w:pPr>
      <w:r>
        <w:rPr>
          <w:rFonts w:ascii="Arial" w:cs="Arial" w:eastAsia="Arial" w:hAnsi="Arial"/>
          <w:sz w:val="16"/>
          <w:szCs w:val="16"/>
          <w:color w:val="auto"/>
        </w:rPr>
        <w:t>(0.10</w:t>
      </w:r>
      <w:r>
        <w:rPr>
          <w:rFonts w:ascii="Arial" w:cs="Arial" w:eastAsia="Arial" w:hAnsi="Arial"/>
          <w:sz w:val="17"/>
          <w:szCs w:val="17"/>
          <w:color w:val="auto"/>
        </w:rPr>
        <w:t>)</w:t>
      </w:r>
      <w:r>
        <w:rPr>
          <w:sz w:val="20"/>
          <w:szCs w:val="20"/>
          <w:color w:val="auto"/>
        </w:rPr>
        <w:tab/>
      </w:r>
      <w:r>
        <w:rPr>
          <w:rFonts w:ascii="Arial" w:cs="Arial" w:eastAsia="Arial" w:hAnsi="Arial"/>
          <w:sz w:val="14"/>
          <w:szCs w:val="14"/>
          <w:color w:val="auto"/>
        </w:rPr>
        <w:t>$</w:t>
      </w:r>
    </w:p>
    <w:p>
      <w:pPr>
        <w:spacing w:after="0" w:line="264" w:lineRule="exact"/>
        <w:rPr>
          <w:sz w:val="20"/>
          <w:szCs w:val="20"/>
          <w:color w:val="auto"/>
        </w:rPr>
      </w:pPr>
    </w:p>
    <w:p>
      <w:pPr>
        <w:jc w:val="right"/>
        <w:spacing w:after="0"/>
        <w:tabs>
          <w:tab w:leader="none" w:pos="60" w:val="left"/>
        </w:tabs>
        <w:rPr>
          <w:sz w:val="20"/>
          <w:szCs w:val="20"/>
          <w:color w:val="auto"/>
        </w:rPr>
      </w:pPr>
      <w:r>
        <w:rPr>
          <w:rFonts w:ascii="Arial" w:cs="Arial" w:eastAsia="Arial" w:hAnsi="Arial"/>
          <w:sz w:val="16"/>
          <w:szCs w:val="16"/>
          <w:color w:val="auto"/>
        </w:rPr>
        <w:t>(1,985</w:t>
      </w:r>
      <w:r>
        <w:rPr>
          <w:rFonts w:ascii="Arial" w:cs="Arial" w:eastAsia="Arial" w:hAnsi="Arial"/>
          <w:sz w:val="17"/>
          <w:szCs w:val="17"/>
          <w:color w:val="auto"/>
        </w:rPr>
        <w:t>)</w:t>
      </w:r>
      <w:r>
        <w:rPr>
          <w:sz w:val="20"/>
          <w:szCs w:val="20"/>
          <w:color w:val="auto"/>
        </w:rPr>
        <w:tab/>
      </w:r>
      <w:r>
        <w:rPr>
          <w:rFonts w:ascii="Arial" w:cs="Arial" w:eastAsia="Arial" w:hAnsi="Arial"/>
          <w:sz w:val="14"/>
          <w:szCs w:val="14"/>
          <w:color w:val="auto"/>
        </w:rPr>
        <w:t>$</w:t>
      </w:r>
    </w:p>
    <w:p>
      <w:pPr>
        <w:spacing w:after="0" w:line="44" w:lineRule="exact"/>
        <w:rPr>
          <w:sz w:val="20"/>
          <w:szCs w:val="20"/>
          <w:color w:val="auto"/>
        </w:rPr>
      </w:pPr>
    </w:p>
    <w:p>
      <w:pPr>
        <w:ind w:left="560"/>
        <w:spacing w:after="0"/>
        <w:rPr>
          <w:sz w:val="20"/>
          <w:szCs w:val="20"/>
          <w:color w:val="auto"/>
        </w:rPr>
      </w:pPr>
      <w:r>
        <w:rPr>
          <w:rFonts w:ascii="Arial" w:cs="Arial" w:eastAsia="Arial" w:hAnsi="Arial"/>
          <w:sz w:val="16"/>
          <w:szCs w:val="16"/>
          <w:color w:val="auto"/>
        </w:rPr>
        <w:t>40</w:t>
      </w:r>
    </w:p>
    <w:p>
      <w:pPr>
        <w:spacing w:after="0" w:line="36" w:lineRule="exact"/>
        <w:rPr>
          <w:sz w:val="20"/>
          <w:szCs w:val="20"/>
          <w:color w:val="auto"/>
        </w:rPr>
      </w:pPr>
    </w:p>
    <w:p>
      <w:pPr>
        <w:ind w:left="480"/>
        <w:spacing w:after="0"/>
        <w:rPr>
          <w:sz w:val="20"/>
          <w:szCs w:val="20"/>
          <w:color w:val="auto"/>
        </w:rPr>
      </w:pPr>
      <w:r>
        <w:rPr>
          <w:rFonts w:ascii="Arial" w:cs="Arial" w:eastAsia="Arial" w:hAnsi="Arial"/>
          <w:sz w:val="16"/>
          <w:szCs w:val="16"/>
          <w:color w:val="auto"/>
        </w:rPr>
        <w:t>136</w:t>
      </w:r>
    </w:p>
    <w:p>
      <w:pPr>
        <w:spacing w:after="0" w:line="46" w:lineRule="exact"/>
        <w:rPr>
          <w:sz w:val="20"/>
          <w:szCs w:val="20"/>
          <w:color w:val="auto"/>
        </w:rPr>
      </w:pPr>
    </w:p>
    <w:p>
      <w:pPr>
        <w:ind w:left="480"/>
        <w:spacing w:after="0"/>
        <w:rPr>
          <w:sz w:val="20"/>
          <w:szCs w:val="20"/>
          <w:color w:val="auto"/>
        </w:rPr>
      </w:pPr>
      <w:r>
        <w:rPr>
          <w:rFonts w:ascii="Arial" w:cs="Arial" w:eastAsia="Arial" w:hAnsi="Arial"/>
          <w:sz w:val="16"/>
          <w:szCs w:val="16"/>
          <w:color w:val="auto"/>
        </w:rPr>
        <w:t>347</w:t>
      </w:r>
    </w:p>
    <w:p>
      <w:pPr>
        <w:spacing w:after="0" w:line="46" w:lineRule="exact"/>
        <w:rPr>
          <w:sz w:val="20"/>
          <w:szCs w:val="20"/>
          <w:color w:val="auto"/>
        </w:rPr>
      </w:pPr>
    </w:p>
    <w:p>
      <w:pPr>
        <w:ind w:left="540"/>
        <w:spacing w:after="0"/>
        <w:rPr>
          <w:sz w:val="20"/>
          <w:szCs w:val="20"/>
          <w:color w:val="auto"/>
        </w:rPr>
      </w:pPr>
      <w:r>
        <w:rPr>
          <w:rFonts w:ascii="Arial" w:cs="Arial" w:eastAsia="Arial" w:hAnsi="Arial"/>
          <w:sz w:val="16"/>
          <w:szCs w:val="16"/>
          <w:color w:val="auto"/>
        </w:rPr>
        <w:t>(9)</w:t>
      </w:r>
    </w:p>
    <w:p>
      <w:pPr>
        <w:spacing w:after="0" w:line="59" w:lineRule="exact"/>
        <w:rPr>
          <w:sz w:val="20"/>
          <w:szCs w:val="20"/>
          <w:color w:val="auto"/>
        </w:rPr>
      </w:pPr>
    </w:p>
    <w:p>
      <w:pPr>
        <w:jc w:val="right"/>
        <w:spacing w:after="0"/>
        <w:tabs>
          <w:tab w:leader="none" w:pos="60" w:val="left"/>
        </w:tabs>
        <w:rPr>
          <w:sz w:val="20"/>
          <w:szCs w:val="20"/>
          <w:color w:val="auto"/>
        </w:rPr>
      </w:pPr>
      <w:r>
        <w:rPr>
          <w:rFonts w:ascii="Arial" w:cs="Arial" w:eastAsia="Arial" w:hAnsi="Arial"/>
          <w:sz w:val="16"/>
          <w:szCs w:val="16"/>
          <w:color w:val="auto"/>
        </w:rPr>
        <w:t>(1,471</w:t>
      </w:r>
      <w:r>
        <w:rPr>
          <w:rFonts w:ascii="Arial" w:cs="Arial" w:eastAsia="Arial" w:hAnsi="Arial"/>
          <w:sz w:val="17"/>
          <w:szCs w:val="17"/>
          <w:color w:val="auto"/>
        </w:rPr>
        <w:t>)</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-320675</wp:posOffset>
            </wp:positionH>
            <wp:positionV relativeFrom="paragraph">
              <wp:posOffset>36195</wp:posOffset>
            </wp:positionV>
            <wp:extent cx="78041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8041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right"/>
        <w:spacing w:after="0"/>
        <w:tabs>
          <w:tab w:leader="none" w:pos="60" w:val="left"/>
        </w:tabs>
        <w:rPr>
          <w:sz w:val="20"/>
          <w:szCs w:val="20"/>
          <w:color w:val="auto"/>
        </w:rPr>
      </w:pPr>
      <w:r>
        <w:rPr>
          <w:rFonts w:ascii="Arial" w:cs="Arial" w:eastAsia="Arial" w:hAnsi="Arial"/>
          <w:sz w:val="16"/>
          <w:szCs w:val="16"/>
          <w:color w:val="auto"/>
        </w:rPr>
        <w:t>(5,567</w:t>
      </w:r>
      <w:r>
        <w:rPr>
          <w:rFonts w:ascii="Arial" w:cs="Arial" w:eastAsia="Arial" w:hAnsi="Arial"/>
          <w:sz w:val="17"/>
          <w:szCs w:val="17"/>
          <w:color w:val="auto"/>
        </w:rPr>
        <w:t>)</w:t>
      </w:r>
      <w:r>
        <w:rPr>
          <w:sz w:val="20"/>
          <w:szCs w:val="20"/>
          <w:color w:val="auto"/>
        </w:rPr>
        <w:tab/>
      </w:r>
      <w:r>
        <w:rPr>
          <w:rFonts w:ascii="Arial" w:cs="Arial" w:eastAsia="Arial" w:hAnsi="Arial"/>
          <w:sz w:val="14"/>
          <w:szCs w:val="14"/>
          <w:color w:val="auto"/>
        </w:rPr>
        <w:t>$</w:t>
      </w:r>
    </w:p>
    <w:p>
      <w:pPr>
        <w:spacing w:after="0" w:line="5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63</w:t>
      </w:r>
    </w:p>
    <w:p>
      <w:pPr>
        <w:spacing w:after="0" w:line="5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1,694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-317500</wp:posOffset>
            </wp:positionH>
            <wp:positionV relativeFrom="paragraph">
              <wp:posOffset>43815</wp:posOffset>
            </wp:positionV>
            <wp:extent cx="7797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79780" cy="8255"/>
                    </a:xfrm>
                    <a:prstGeom prst="rect">
                      <a:avLst/>
                    </a:prstGeom>
                    <a:noFill/>
                  </pic:spPr>
                </pic:pic>
              </a:graphicData>
            </a:graphic>
          </wp:anchor>
        </w:drawing>
      </w:r>
    </w:p>
    <w:p>
      <w:pPr>
        <w:spacing w:after="0" w:line="53" w:lineRule="exact"/>
        <w:rPr>
          <w:sz w:val="20"/>
          <w:szCs w:val="20"/>
          <w:color w:val="auto"/>
        </w:rPr>
      </w:pPr>
    </w:p>
    <w:p>
      <w:pPr>
        <w:ind w:left="300"/>
        <w:spacing w:after="0"/>
        <w:tabs>
          <w:tab w:leader="none" w:pos="920" w:val="left"/>
        </w:tabs>
        <w:rPr>
          <w:sz w:val="20"/>
          <w:szCs w:val="20"/>
          <w:color w:val="auto"/>
        </w:rPr>
      </w:pPr>
      <w:r>
        <w:rPr>
          <w:rFonts w:ascii="Arial" w:cs="Arial" w:eastAsia="Arial" w:hAnsi="Arial"/>
          <w:sz w:val="16"/>
          <w:szCs w:val="16"/>
          <w:color w:val="auto"/>
        </w:rPr>
        <w:t>(3,810</w:t>
      </w:r>
      <w:r>
        <w:rPr>
          <w:rFonts w:ascii="Arial" w:cs="Arial" w:eastAsia="Arial" w:hAnsi="Arial"/>
          <w:sz w:val="17"/>
          <w:szCs w:val="17"/>
          <w:color w:val="auto"/>
        </w:rPr>
        <w:t>)</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-317500</wp:posOffset>
            </wp:positionH>
            <wp:positionV relativeFrom="paragraph">
              <wp:posOffset>27940</wp:posOffset>
            </wp:positionV>
            <wp:extent cx="7797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79780" cy="8255"/>
                    </a:xfrm>
                    <a:prstGeom prst="rect">
                      <a:avLst/>
                    </a:prstGeom>
                    <a:noFill/>
                  </pic:spPr>
                </pic:pic>
              </a:graphicData>
            </a:graphic>
          </wp:anchor>
        </w:drawing>
      </w:r>
    </w:p>
    <w:p>
      <w:pPr>
        <w:spacing w:after="0" w:line="284" w:lineRule="exact"/>
        <w:rPr>
          <w:sz w:val="20"/>
          <w:szCs w:val="20"/>
          <w:color w:val="auto"/>
        </w:rPr>
      </w:pPr>
    </w:p>
    <w:p>
      <w:pPr>
        <w:jc w:val="both"/>
        <w:ind w:left="480"/>
        <w:spacing w:after="0"/>
        <w:tabs>
          <w:tab w:leader="none" w:pos="920" w:val="left"/>
        </w:tabs>
        <w:rPr>
          <w:sz w:val="20"/>
          <w:szCs w:val="20"/>
          <w:color w:val="auto"/>
        </w:rPr>
      </w:pPr>
      <w:r>
        <w:rPr>
          <w:rFonts w:ascii="Arial" w:cs="Arial" w:eastAsia="Arial" w:hAnsi="Arial"/>
          <w:sz w:val="16"/>
          <w:szCs w:val="16"/>
          <w:color w:val="auto"/>
        </w:rPr>
        <w:t>505</w:t>
        <w:tab/>
        <w:t>$</w:t>
      </w:r>
    </w:p>
    <w:p>
      <w:pPr>
        <w:spacing w:after="0" w:line="59" w:lineRule="exact"/>
        <w:rPr>
          <w:sz w:val="20"/>
          <w:szCs w:val="20"/>
          <w:color w:val="auto"/>
        </w:rPr>
      </w:pPr>
    </w:p>
    <w:p>
      <w:pPr>
        <w:ind w:left="560"/>
        <w:spacing w:after="0"/>
        <w:rPr>
          <w:sz w:val="20"/>
          <w:szCs w:val="20"/>
          <w:color w:val="auto"/>
        </w:rPr>
      </w:pPr>
      <w:r>
        <w:rPr>
          <w:rFonts w:ascii="Arial" w:cs="Arial" w:eastAsia="Arial" w:hAnsi="Arial"/>
          <w:sz w:val="16"/>
          <w:szCs w:val="16"/>
          <w:color w:val="auto"/>
        </w:rPr>
        <w:t>63</w:t>
      </w:r>
    </w:p>
    <w:p>
      <w:pPr>
        <w:spacing w:after="0" w:line="5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1,694</w:t>
      </w:r>
    </w:p>
    <w:p>
      <w:pPr>
        <w:spacing w:after="0" w:line="73" w:lineRule="exact"/>
        <w:rPr>
          <w:sz w:val="20"/>
          <w:szCs w:val="20"/>
          <w:color w:val="auto"/>
        </w:rPr>
      </w:pPr>
    </w:p>
    <w:p>
      <w:pPr>
        <w:jc w:val="both"/>
        <w:ind w:left="360"/>
        <w:spacing w:after="0"/>
        <w:tabs>
          <w:tab w:leader="none" w:pos="920" w:val="left"/>
        </w:tabs>
        <w:rPr>
          <w:sz w:val="20"/>
          <w:szCs w:val="20"/>
          <w:color w:val="auto"/>
        </w:rPr>
      </w:pPr>
      <w:r>
        <w:rPr>
          <w:rFonts w:ascii="Arial" w:cs="Arial" w:eastAsia="Arial" w:hAnsi="Arial"/>
          <w:sz w:val="16"/>
          <w:szCs w:val="16"/>
          <w:color w:val="auto"/>
        </w:rPr>
        <w:t>2,262</w:t>
        <w:tab/>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-317500</wp:posOffset>
            </wp:positionH>
            <wp:positionV relativeFrom="paragraph">
              <wp:posOffset>52070</wp:posOffset>
            </wp:positionV>
            <wp:extent cx="7797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79780" cy="8255"/>
                    </a:xfrm>
                    <a:prstGeom prst="rect">
                      <a:avLst/>
                    </a:prstGeom>
                    <a:noFill/>
                  </pic:spPr>
                </pic:pic>
              </a:graphicData>
            </a:graphic>
          </wp:anchor>
        </w:drawing>
      </w:r>
    </w:p>
    <w:p>
      <w:pPr>
        <w:spacing w:after="0" w:line="296" w:lineRule="exact"/>
        <w:rPr>
          <w:sz w:val="20"/>
          <w:szCs w:val="20"/>
          <w:color w:val="auto"/>
        </w:rPr>
      </w:pPr>
    </w:p>
    <w:p>
      <w:pPr>
        <w:ind w:left="480"/>
        <w:spacing w:after="0"/>
        <w:tabs>
          <w:tab w:leader="none" w:pos="920" w:val="left"/>
        </w:tabs>
        <w:rPr>
          <w:sz w:val="20"/>
          <w:szCs w:val="20"/>
          <w:color w:val="auto"/>
        </w:rPr>
      </w:pPr>
      <w:r>
        <w:rPr>
          <w:rFonts w:ascii="Arial" w:cs="Arial" w:eastAsia="Arial" w:hAnsi="Arial"/>
          <w:sz w:val="12"/>
          <w:szCs w:val="12"/>
          <w:color w:val="auto"/>
        </w:rPr>
        <w:t>505</w:t>
      </w:r>
      <w:r>
        <w:rPr>
          <w:sz w:val="20"/>
          <w:szCs w:val="20"/>
          <w:color w:val="auto"/>
        </w:rPr>
        <w:tab/>
      </w:r>
      <w:r>
        <w:rPr>
          <w:rFonts w:ascii="Arial" w:cs="Arial" w:eastAsia="Arial" w:hAnsi="Arial"/>
          <w:sz w:val="21"/>
          <w:szCs w:val="21"/>
          <w:color w:val="auto"/>
          <w:vertAlign w:val="superscript"/>
        </w:rPr>
        <w:t>$</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17,325,351</w:t>
      </w:r>
    </w:p>
    <w:p>
      <w:pPr>
        <w:spacing w:after="0" w:line="32" w:lineRule="exact"/>
        <w:rPr>
          <w:sz w:val="20"/>
          <w:szCs w:val="20"/>
          <w:color w:val="auto"/>
        </w:rPr>
      </w:pPr>
    </w:p>
    <w:p>
      <w:pPr>
        <w:jc w:val="right"/>
        <w:spacing w:after="0"/>
        <w:tabs>
          <w:tab w:leader="none" w:pos="60" w:val="left"/>
        </w:tabs>
        <w:rPr>
          <w:sz w:val="20"/>
          <w:szCs w:val="20"/>
          <w:color w:val="auto"/>
        </w:rPr>
      </w:pPr>
      <w:r>
        <w:rPr>
          <w:rFonts w:ascii="Arial" w:cs="Arial" w:eastAsia="Arial" w:hAnsi="Arial"/>
          <w:sz w:val="16"/>
          <w:szCs w:val="16"/>
          <w:color w:val="auto"/>
        </w:rPr>
        <w:t>0.03</w:t>
      </w:r>
      <w:r>
        <w:rPr>
          <w:sz w:val="20"/>
          <w:szCs w:val="20"/>
          <w:color w:val="auto"/>
        </w:rPr>
        <w:tab/>
      </w:r>
      <w:r>
        <w:rPr>
          <w:rFonts w:ascii="Arial" w:cs="Arial" w:eastAsia="Arial" w:hAnsi="Arial"/>
          <w:sz w:val="14"/>
          <w:szCs w:val="14"/>
          <w:color w:val="auto"/>
        </w:rPr>
        <w:t>$</w:t>
      </w:r>
    </w:p>
    <w:p>
      <w:pPr>
        <w:spacing w:after="0" w:line="49" w:lineRule="exact"/>
        <w:rPr>
          <w:sz w:val="20"/>
          <w:szCs w:val="20"/>
          <w:color w:val="auto"/>
        </w:rPr>
      </w:pPr>
    </w:p>
    <w:p>
      <w:pPr>
        <w:jc w:val="both"/>
        <w:ind w:left="360"/>
        <w:spacing w:after="0"/>
        <w:tabs>
          <w:tab w:leader="none" w:pos="920" w:val="left"/>
        </w:tabs>
        <w:rPr>
          <w:sz w:val="20"/>
          <w:szCs w:val="20"/>
          <w:color w:val="auto"/>
        </w:rPr>
      </w:pPr>
      <w:r>
        <w:rPr>
          <w:rFonts w:ascii="Arial" w:cs="Arial" w:eastAsia="Arial" w:hAnsi="Arial"/>
          <w:sz w:val="16"/>
          <w:szCs w:val="16"/>
          <w:color w:val="auto"/>
        </w:rPr>
        <w:t>2,262</w:t>
        <w:tab/>
        <w:t>$</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17,325,351</w:t>
      </w:r>
    </w:p>
    <w:p>
      <w:pPr>
        <w:spacing w:after="0" w:line="42" w:lineRule="exact"/>
        <w:rPr>
          <w:sz w:val="20"/>
          <w:szCs w:val="20"/>
          <w:color w:val="auto"/>
        </w:rPr>
      </w:pPr>
    </w:p>
    <w:p>
      <w:pPr>
        <w:jc w:val="right"/>
        <w:spacing w:after="0"/>
        <w:tabs>
          <w:tab w:leader="none" w:pos="60" w:val="left"/>
        </w:tabs>
        <w:rPr>
          <w:sz w:val="20"/>
          <w:szCs w:val="20"/>
          <w:color w:val="auto"/>
        </w:rPr>
      </w:pPr>
      <w:r>
        <w:rPr>
          <w:rFonts w:ascii="Arial" w:cs="Arial" w:eastAsia="Arial" w:hAnsi="Arial"/>
          <w:sz w:val="16"/>
          <w:szCs w:val="16"/>
          <w:color w:val="auto"/>
        </w:rPr>
        <w:t>0.13</w:t>
      </w:r>
      <w:r>
        <w:rPr>
          <w:sz w:val="20"/>
          <w:szCs w:val="20"/>
          <w:color w:val="auto"/>
        </w:rPr>
        <w:tab/>
      </w:r>
      <w:r>
        <w:rPr>
          <w:rFonts w:ascii="Arial" w:cs="Arial" w:eastAsia="Arial" w:hAnsi="Arial"/>
          <w:sz w:val="14"/>
          <w:szCs w:val="14"/>
          <w:color w:val="auto"/>
        </w:rPr>
        <w:t>$</w:t>
      </w:r>
    </w:p>
    <w:p>
      <w:pPr>
        <w:spacing w:after="0" w:line="275" w:lineRule="exact"/>
        <w:rPr>
          <w:sz w:val="20"/>
          <w:szCs w:val="20"/>
          <w:color w:val="auto"/>
        </w:rPr>
      </w:pPr>
    </w:p>
    <w:p>
      <w:pPr>
        <w:jc w:val="both"/>
        <w:ind w:left="480"/>
        <w:spacing w:after="0"/>
        <w:tabs>
          <w:tab w:leader="none" w:pos="920" w:val="left"/>
        </w:tabs>
        <w:rPr>
          <w:sz w:val="20"/>
          <w:szCs w:val="20"/>
          <w:color w:val="auto"/>
        </w:rPr>
      </w:pPr>
      <w:r>
        <w:rPr>
          <w:rFonts w:ascii="Arial" w:cs="Arial" w:eastAsia="Arial" w:hAnsi="Arial"/>
          <w:sz w:val="16"/>
          <w:szCs w:val="16"/>
          <w:color w:val="auto"/>
        </w:rPr>
        <w:t>505</w:t>
        <w:tab/>
        <w:t>$</w:t>
      </w:r>
    </w:p>
    <w:p>
      <w:pPr>
        <w:spacing w:after="0" w:line="49" w:lineRule="exact"/>
        <w:rPr>
          <w:sz w:val="20"/>
          <w:szCs w:val="20"/>
          <w:color w:val="auto"/>
        </w:rPr>
      </w:pPr>
    </w:p>
    <w:p>
      <w:pPr>
        <w:ind w:left="560"/>
        <w:spacing w:after="0"/>
        <w:rPr>
          <w:sz w:val="20"/>
          <w:szCs w:val="20"/>
          <w:color w:val="auto"/>
        </w:rPr>
      </w:pPr>
      <w:r>
        <w:rPr>
          <w:rFonts w:ascii="Arial" w:cs="Arial" w:eastAsia="Arial" w:hAnsi="Arial"/>
          <w:sz w:val="16"/>
          <w:szCs w:val="16"/>
          <w:color w:val="auto"/>
        </w:rPr>
        <w:t>63</w:t>
      </w:r>
    </w:p>
    <w:p>
      <w:pPr>
        <w:spacing w:after="0" w:line="42" w:lineRule="exact"/>
        <w:rPr>
          <w:sz w:val="20"/>
          <w:szCs w:val="20"/>
          <w:color w:val="auto"/>
        </w:rPr>
      </w:pPr>
    </w:p>
    <w:p>
      <w:pPr>
        <w:ind w:left="480"/>
        <w:spacing w:after="0"/>
        <w:rPr>
          <w:sz w:val="20"/>
          <w:szCs w:val="20"/>
          <w:color w:val="auto"/>
        </w:rPr>
      </w:pPr>
      <w:r>
        <w:rPr>
          <w:rFonts w:ascii="Arial" w:cs="Arial" w:eastAsia="Arial" w:hAnsi="Arial"/>
          <w:sz w:val="16"/>
          <w:szCs w:val="16"/>
          <w:color w:val="auto"/>
        </w:rPr>
        <w:t>422</w:t>
      </w:r>
    </w:p>
    <w:p>
      <w:pPr>
        <w:spacing w:after="0" w:line="4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1,694</w:t>
      </w:r>
    </w:p>
    <w:p>
      <w:pPr>
        <w:spacing w:after="0" w:line="41" w:lineRule="exact"/>
        <w:rPr>
          <w:sz w:val="20"/>
          <w:szCs w:val="20"/>
          <w:color w:val="auto"/>
        </w:rPr>
      </w:pPr>
    </w:p>
    <w:p>
      <w:pPr>
        <w:ind w:left="300"/>
        <w:spacing w:after="0"/>
        <w:rPr>
          <w:sz w:val="20"/>
          <w:szCs w:val="20"/>
          <w:color w:val="auto"/>
        </w:rPr>
      </w:pPr>
      <w:r>
        <w:rPr>
          <w:rFonts w:ascii="Arial" w:cs="Arial" w:eastAsia="Arial" w:hAnsi="Arial"/>
          <w:sz w:val="16"/>
          <w:szCs w:val="16"/>
          <w:color w:val="auto"/>
        </w:rPr>
        <w:t>(6,429</w:t>
      </w:r>
      <w:r>
        <w:rPr>
          <w:rFonts w:ascii="Arial" w:cs="Arial" w:eastAsia="Arial" w:hAnsi="Arial"/>
          <w:sz w:val="17"/>
          <w:szCs w:val="17"/>
          <w:color w:val="auto"/>
        </w:rPr>
        <w:t>)</w:t>
      </w:r>
    </w:p>
    <w:p>
      <w:pPr>
        <w:spacing w:after="0" w:line="52" w:lineRule="exact"/>
        <w:rPr>
          <w:sz w:val="20"/>
          <w:szCs w:val="20"/>
          <w:color w:val="auto"/>
        </w:rPr>
      </w:pPr>
    </w:p>
    <w:p>
      <w:pPr>
        <w:ind w:left="300"/>
        <w:spacing w:after="0"/>
        <w:tabs>
          <w:tab w:leader="none" w:pos="920" w:val="left"/>
        </w:tabs>
        <w:rPr>
          <w:sz w:val="20"/>
          <w:szCs w:val="20"/>
          <w:color w:val="auto"/>
        </w:rPr>
      </w:pPr>
      <w:r>
        <w:rPr>
          <w:rFonts w:ascii="Arial" w:cs="Arial" w:eastAsia="Arial" w:hAnsi="Arial"/>
          <w:sz w:val="16"/>
          <w:szCs w:val="16"/>
          <w:color w:val="auto"/>
        </w:rPr>
        <w:t>(3,745</w:t>
      </w:r>
      <w:r>
        <w:rPr>
          <w:rFonts w:ascii="Arial" w:cs="Arial" w:eastAsia="Arial" w:hAnsi="Arial"/>
          <w:sz w:val="17"/>
          <w:szCs w:val="17"/>
          <w:color w:val="auto"/>
        </w:rPr>
        <w:t>)</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-317500</wp:posOffset>
            </wp:positionH>
            <wp:positionV relativeFrom="paragraph">
              <wp:posOffset>36195</wp:posOffset>
            </wp:positionV>
            <wp:extent cx="7797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7978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right"/>
        <w:ind w:right="40"/>
        <w:spacing w:after="0"/>
        <w:rPr>
          <w:sz w:val="20"/>
          <w:szCs w:val="20"/>
          <w:color w:val="auto"/>
        </w:rPr>
      </w:pPr>
      <w:r>
        <w:rPr>
          <w:rFonts w:ascii="Arial" w:cs="Arial" w:eastAsia="Arial" w:hAnsi="Arial"/>
          <w:sz w:val="16"/>
          <w:szCs w:val="16"/>
          <w:color w:val="auto"/>
        </w:rPr>
        <w:t>(8,562</w:t>
      </w:r>
      <w:r>
        <w:rPr>
          <w:rFonts w:ascii="Arial" w:cs="Arial" w:eastAsia="Arial" w:hAnsi="Arial"/>
          <w:sz w:val="17"/>
          <w:szCs w:val="17"/>
          <w:color w:val="auto"/>
        </w:rPr>
        <w:t>)</w:t>
      </w:r>
    </w:p>
    <w:p>
      <w:pPr>
        <w:spacing w:after="0" w:line="52" w:lineRule="exact"/>
        <w:rPr>
          <w:sz w:val="20"/>
          <w:szCs w:val="20"/>
          <w:color w:val="auto"/>
        </w:rPr>
      </w:pPr>
    </w:p>
    <w:p>
      <w:pPr>
        <w:jc w:val="right"/>
        <w:ind w:right="100"/>
        <w:spacing w:after="0"/>
        <w:rPr>
          <w:sz w:val="20"/>
          <w:szCs w:val="20"/>
          <w:color w:val="auto"/>
        </w:rPr>
      </w:pPr>
      <w:r>
        <w:rPr>
          <w:rFonts w:ascii="Arial" w:cs="Arial" w:eastAsia="Arial" w:hAnsi="Arial"/>
          <w:sz w:val="16"/>
          <w:szCs w:val="16"/>
          <w:color w:val="auto"/>
        </w:rPr>
        <w:t>217</w:t>
      </w:r>
    </w:p>
    <w:p>
      <w:pPr>
        <w:spacing w:after="0" w:line="5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1,402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-314960</wp:posOffset>
            </wp:positionH>
            <wp:positionV relativeFrom="paragraph">
              <wp:posOffset>43815</wp:posOffset>
            </wp:positionV>
            <wp:extent cx="7797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79780" cy="8255"/>
                    </a:xfrm>
                    <a:prstGeom prst="rect">
                      <a:avLst/>
                    </a:prstGeom>
                    <a:noFill/>
                  </pic:spPr>
                </pic:pic>
              </a:graphicData>
            </a:graphic>
          </wp:anchor>
        </w:drawing>
      </w:r>
    </w:p>
    <w:p>
      <w:pPr>
        <w:spacing w:after="0" w:line="75" w:lineRule="exact"/>
        <w:rPr>
          <w:sz w:val="20"/>
          <w:szCs w:val="20"/>
          <w:color w:val="auto"/>
        </w:rPr>
      </w:pPr>
    </w:p>
    <w:p>
      <w:pPr>
        <w:jc w:val="right"/>
        <w:ind w:right="40"/>
        <w:spacing w:after="0"/>
        <w:rPr>
          <w:sz w:val="20"/>
          <w:szCs w:val="20"/>
          <w:color w:val="auto"/>
        </w:rPr>
      </w:pPr>
      <w:r>
        <w:rPr>
          <w:rFonts w:ascii="Arial" w:cs="Arial" w:eastAsia="Arial" w:hAnsi="Arial"/>
          <w:sz w:val="16"/>
          <w:szCs w:val="16"/>
          <w:color w:val="auto"/>
        </w:rPr>
        <w:t>(6,943</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-314960</wp:posOffset>
            </wp:positionH>
            <wp:positionV relativeFrom="paragraph">
              <wp:posOffset>13335</wp:posOffset>
            </wp:positionV>
            <wp:extent cx="7797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79780" cy="8255"/>
                    </a:xfrm>
                    <a:prstGeom prst="rect">
                      <a:avLst/>
                    </a:prstGeom>
                    <a:noFill/>
                  </pic:spPr>
                </pic:pic>
              </a:graphicData>
            </a:graphic>
          </wp:anchor>
        </w:drawing>
      </w:r>
    </w:p>
    <w:p>
      <w:pPr>
        <w:spacing w:after="0" w:line="257" w:lineRule="exact"/>
        <w:rPr>
          <w:sz w:val="20"/>
          <w:szCs w:val="20"/>
          <w:color w:val="auto"/>
        </w:rPr>
      </w:pPr>
    </w:p>
    <w:p>
      <w:pPr>
        <w:jc w:val="right"/>
        <w:ind w:right="40"/>
        <w:spacing w:after="0"/>
        <w:rPr>
          <w:sz w:val="20"/>
          <w:szCs w:val="20"/>
          <w:color w:val="auto"/>
        </w:rPr>
      </w:pPr>
      <w:r>
        <w:rPr>
          <w:rFonts w:ascii="Arial" w:cs="Arial" w:eastAsia="Arial" w:hAnsi="Arial"/>
          <w:sz w:val="16"/>
          <w:szCs w:val="16"/>
          <w:color w:val="auto"/>
        </w:rPr>
        <w:t>(8,408</w:t>
      </w:r>
      <w:r>
        <w:rPr>
          <w:rFonts w:ascii="Arial" w:cs="Arial" w:eastAsia="Arial" w:hAnsi="Arial"/>
          <w:sz w:val="17"/>
          <w:szCs w:val="17"/>
          <w:color w:val="auto"/>
        </w:rPr>
        <w:t>)</w:t>
      </w:r>
    </w:p>
    <w:p>
      <w:pPr>
        <w:spacing w:after="0" w:line="52" w:lineRule="exact"/>
        <w:rPr>
          <w:sz w:val="20"/>
          <w:szCs w:val="20"/>
          <w:color w:val="auto"/>
        </w:rPr>
      </w:pPr>
    </w:p>
    <w:p>
      <w:pPr>
        <w:jc w:val="right"/>
        <w:ind w:right="100"/>
        <w:spacing w:after="0"/>
        <w:rPr>
          <w:sz w:val="20"/>
          <w:szCs w:val="20"/>
          <w:color w:val="auto"/>
        </w:rPr>
      </w:pPr>
      <w:r>
        <w:rPr>
          <w:rFonts w:ascii="Arial" w:cs="Arial" w:eastAsia="Arial" w:hAnsi="Arial"/>
          <w:sz w:val="16"/>
          <w:szCs w:val="16"/>
          <w:color w:val="auto"/>
        </w:rPr>
        <w:t>217</w:t>
      </w:r>
    </w:p>
    <w:p>
      <w:pPr>
        <w:spacing w:after="0" w:line="5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1,402</w:t>
      </w:r>
    </w:p>
    <w:p>
      <w:pPr>
        <w:spacing w:after="0" w:line="95" w:lineRule="exact"/>
        <w:rPr>
          <w:sz w:val="20"/>
          <w:szCs w:val="20"/>
          <w:color w:val="auto"/>
        </w:rPr>
      </w:pPr>
    </w:p>
    <w:p>
      <w:pPr>
        <w:jc w:val="right"/>
        <w:ind w:right="40"/>
        <w:spacing w:after="0"/>
        <w:rPr>
          <w:sz w:val="20"/>
          <w:szCs w:val="20"/>
          <w:color w:val="auto"/>
        </w:rPr>
      </w:pPr>
      <w:r>
        <w:rPr>
          <w:rFonts w:ascii="Arial" w:cs="Arial" w:eastAsia="Arial" w:hAnsi="Arial"/>
          <w:sz w:val="16"/>
          <w:szCs w:val="16"/>
          <w:color w:val="auto"/>
        </w:rPr>
        <w:t>(6,789</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-314960</wp:posOffset>
            </wp:positionH>
            <wp:positionV relativeFrom="paragraph">
              <wp:posOffset>30480</wp:posOffset>
            </wp:positionV>
            <wp:extent cx="7797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79780" cy="8255"/>
                    </a:xfrm>
                    <a:prstGeom prst="rect">
                      <a:avLst/>
                    </a:prstGeom>
                    <a:noFill/>
                  </pic:spPr>
                </pic:pic>
              </a:graphicData>
            </a:graphic>
          </wp:anchor>
        </w:drawing>
      </w:r>
    </w:p>
    <w:p>
      <w:pPr>
        <w:spacing w:after="0" w:line="284" w:lineRule="exact"/>
        <w:rPr>
          <w:sz w:val="20"/>
          <w:szCs w:val="20"/>
          <w:color w:val="auto"/>
        </w:rPr>
      </w:pPr>
    </w:p>
    <w:p>
      <w:pPr>
        <w:jc w:val="right"/>
        <w:ind w:right="40"/>
        <w:spacing w:after="0"/>
        <w:rPr>
          <w:sz w:val="20"/>
          <w:szCs w:val="20"/>
          <w:color w:val="auto"/>
        </w:rPr>
      </w:pPr>
      <w:r>
        <w:rPr>
          <w:rFonts w:ascii="Arial" w:cs="Arial" w:eastAsia="Arial" w:hAnsi="Arial"/>
          <w:sz w:val="16"/>
          <w:szCs w:val="16"/>
          <w:color w:val="auto"/>
        </w:rPr>
        <w:t>(8,408</w:t>
      </w:r>
      <w:r>
        <w:rPr>
          <w:rFonts w:ascii="Arial" w:cs="Arial" w:eastAsia="Arial" w:hAnsi="Arial"/>
          <w:sz w:val="17"/>
          <w:szCs w:val="17"/>
          <w:color w:val="auto"/>
        </w:rPr>
        <w:t>)</w:t>
      </w:r>
    </w:p>
    <w:p>
      <w:pPr>
        <w:spacing w:after="0" w:line="35" w:lineRule="exact"/>
        <w:rPr>
          <w:sz w:val="20"/>
          <w:szCs w:val="20"/>
          <w:color w:val="auto"/>
        </w:rPr>
      </w:pPr>
    </w:p>
    <w:p>
      <w:pPr>
        <w:spacing w:after="0"/>
        <w:rPr>
          <w:sz w:val="20"/>
          <w:szCs w:val="20"/>
          <w:color w:val="auto"/>
        </w:rPr>
      </w:pPr>
      <w:r>
        <w:rPr>
          <w:rFonts w:ascii="Arial" w:cs="Arial" w:eastAsia="Arial" w:hAnsi="Arial"/>
          <w:sz w:val="15"/>
          <w:szCs w:val="15"/>
          <w:color w:val="auto"/>
        </w:rPr>
        <w:t>16,638,580</w:t>
      </w:r>
    </w:p>
    <w:p>
      <w:pPr>
        <w:spacing w:after="0" w:line="56" w:lineRule="exact"/>
        <w:rPr>
          <w:sz w:val="20"/>
          <w:szCs w:val="20"/>
          <w:color w:val="auto"/>
        </w:rPr>
      </w:pPr>
    </w:p>
    <w:p>
      <w:pPr>
        <w:jc w:val="right"/>
        <w:ind w:right="40"/>
        <w:spacing w:after="0"/>
        <w:rPr>
          <w:sz w:val="20"/>
          <w:szCs w:val="20"/>
          <w:color w:val="auto"/>
        </w:rPr>
      </w:pPr>
      <w:r>
        <w:rPr>
          <w:rFonts w:ascii="Arial" w:cs="Arial" w:eastAsia="Arial" w:hAnsi="Arial"/>
          <w:sz w:val="16"/>
          <w:szCs w:val="16"/>
          <w:color w:val="auto"/>
        </w:rPr>
        <w:t>(0.51</w:t>
      </w:r>
      <w:r>
        <w:rPr>
          <w:rFonts w:ascii="Arial" w:cs="Arial" w:eastAsia="Arial" w:hAnsi="Arial"/>
          <w:sz w:val="17"/>
          <w:szCs w:val="17"/>
          <w:color w:val="auto"/>
        </w:rPr>
        <w:t>)</w:t>
      </w:r>
    </w:p>
    <w:p>
      <w:pPr>
        <w:spacing w:after="0" w:line="35" w:lineRule="exact"/>
        <w:rPr>
          <w:sz w:val="20"/>
          <w:szCs w:val="20"/>
          <w:color w:val="auto"/>
        </w:rPr>
      </w:pPr>
    </w:p>
    <w:p>
      <w:pPr>
        <w:jc w:val="right"/>
        <w:ind w:right="40"/>
        <w:spacing w:after="0"/>
        <w:rPr>
          <w:sz w:val="20"/>
          <w:szCs w:val="20"/>
          <w:color w:val="auto"/>
        </w:rPr>
      </w:pPr>
      <w:r>
        <w:rPr>
          <w:rFonts w:ascii="Arial" w:cs="Arial" w:eastAsia="Arial" w:hAnsi="Arial"/>
          <w:sz w:val="16"/>
          <w:szCs w:val="16"/>
          <w:color w:val="auto"/>
        </w:rPr>
        <w:t>(6,789</w:t>
      </w:r>
      <w:r>
        <w:rPr>
          <w:rFonts w:ascii="Arial" w:cs="Arial" w:eastAsia="Arial" w:hAnsi="Arial"/>
          <w:sz w:val="17"/>
          <w:szCs w:val="17"/>
          <w:color w:val="auto"/>
        </w:rPr>
        <w:t>)</w:t>
      </w:r>
    </w:p>
    <w:p>
      <w:pPr>
        <w:spacing w:after="0" w:line="34" w:lineRule="exact"/>
        <w:rPr>
          <w:sz w:val="20"/>
          <w:szCs w:val="20"/>
          <w:color w:val="auto"/>
        </w:rPr>
      </w:pPr>
    </w:p>
    <w:p>
      <w:pPr>
        <w:jc w:val="right"/>
        <w:ind w:right="100"/>
        <w:spacing w:after="0"/>
        <w:rPr>
          <w:sz w:val="20"/>
          <w:szCs w:val="20"/>
          <w:color w:val="auto"/>
        </w:rPr>
      </w:pPr>
      <w:r>
        <w:rPr>
          <w:rFonts w:ascii="Arial" w:cs="Arial" w:eastAsia="Arial" w:hAnsi="Arial"/>
          <w:sz w:val="14"/>
          <w:szCs w:val="14"/>
          <w:color w:val="auto"/>
        </w:rPr>
        <w:t>16,638,580</w:t>
      </w:r>
    </w:p>
    <w:p>
      <w:pPr>
        <w:spacing w:after="0" w:line="84" w:lineRule="exact"/>
        <w:rPr>
          <w:sz w:val="20"/>
          <w:szCs w:val="20"/>
          <w:color w:val="auto"/>
        </w:rPr>
      </w:pPr>
    </w:p>
    <w:p>
      <w:pPr>
        <w:jc w:val="right"/>
        <w:ind w:right="40"/>
        <w:spacing w:after="0"/>
        <w:rPr>
          <w:sz w:val="20"/>
          <w:szCs w:val="20"/>
          <w:color w:val="auto"/>
        </w:rPr>
      </w:pPr>
      <w:r>
        <w:rPr>
          <w:rFonts w:ascii="Arial" w:cs="Arial" w:eastAsia="Arial" w:hAnsi="Arial"/>
          <w:sz w:val="16"/>
          <w:szCs w:val="16"/>
          <w:color w:val="auto"/>
        </w:rPr>
        <w:t>(0.41</w:t>
      </w:r>
      <w:r>
        <w:rPr>
          <w:rFonts w:ascii="Arial" w:cs="Arial" w:eastAsia="Arial" w:hAnsi="Arial"/>
          <w:sz w:val="17"/>
          <w:szCs w:val="17"/>
          <w:color w:val="auto"/>
        </w:rPr>
        <w:t>)</w:t>
      </w:r>
    </w:p>
    <w:p>
      <w:pPr>
        <w:spacing w:after="0" w:line="248" w:lineRule="exact"/>
        <w:rPr>
          <w:sz w:val="20"/>
          <w:szCs w:val="20"/>
          <w:color w:val="auto"/>
        </w:rPr>
      </w:pPr>
    </w:p>
    <w:p>
      <w:pPr>
        <w:jc w:val="right"/>
        <w:ind w:right="40"/>
        <w:spacing w:after="0"/>
        <w:rPr>
          <w:sz w:val="20"/>
          <w:szCs w:val="20"/>
          <w:color w:val="auto"/>
        </w:rPr>
      </w:pPr>
      <w:r>
        <w:rPr>
          <w:rFonts w:ascii="Arial" w:cs="Arial" w:eastAsia="Arial" w:hAnsi="Arial"/>
          <w:sz w:val="16"/>
          <w:szCs w:val="16"/>
          <w:color w:val="auto"/>
        </w:rPr>
        <w:t>(8,408</w:t>
      </w:r>
      <w:r>
        <w:rPr>
          <w:rFonts w:ascii="Arial" w:cs="Arial" w:eastAsia="Arial" w:hAnsi="Arial"/>
          <w:sz w:val="17"/>
          <w:szCs w:val="17"/>
          <w:color w:val="auto"/>
        </w:rPr>
        <w:t>)</w:t>
      </w:r>
    </w:p>
    <w:p>
      <w:pPr>
        <w:spacing w:after="0" w:line="35" w:lineRule="exact"/>
        <w:rPr>
          <w:sz w:val="20"/>
          <w:szCs w:val="20"/>
          <w:color w:val="auto"/>
        </w:rPr>
      </w:pPr>
    </w:p>
    <w:p>
      <w:pPr>
        <w:jc w:val="right"/>
        <w:ind w:right="100"/>
        <w:spacing w:after="0"/>
        <w:rPr>
          <w:sz w:val="20"/>
          <w:szCs w:val="20"/>
          <w:color w:val="auto"/>
        </w:rPr>
      </w:pPr>
      <w:r>
        <w:rPr>
          <w:rFonts w:ascii="Arial" w:cs="Arial" w:eastAsia="Arial" w:hAnsi="Arial"/>
          <w:sz w:val="16"/>
          <w:szCs w:val="16"/>
          <w:color w:val="auto"/>
        </w:rPr>
        <w:t>217</w:t>
      </w:r>
    </w:p>
    <w:p>
      <w:pPr>
        <w:spacing w:after="0" w:line="36" w:lineRule="exact"/>
        <w:rPr>
          <w:sz w:val="20"/>
          <w:szCs w:val="20"/>
          <w:color w:val="auto"/>
        </w:rPr>
      </w:pPr>
    </w:p>
    <w:p>
      <w:pPr>
        <w:jc w:val="right"/>
        <w:ind w:right="100"/>
        <w:spacing w:after="0"/>
        <w:rPr>
          <w:sz w:val="20"/>
          <w:szCs w:val="20"/>
          <w:color w:val="auto"/>
        </w:rPr>
      </w:pPr>
      <w:r>
        <w:rPr>
          <w:rFonts w:ascii="Arial" w:cs="Arial" w:eastAsia="Arial" w:hAnsi="Arial"/>
          <w:sz w:val="16"/>
          <w:szCs w:val="16"/>
          <w:color w:val="auto"/>
        </w:rPr>
        <w:t>512</w:t>
      </w:r>
    </w:p>
    <w:p>
      <w:pPr>
        <w:spacing w:after="0" w:line="46" w:lineRule="exact"/>
        <w:rPr>
          <w:sz w:val="20"/>
          <w:szCs w:val="20"/>
          <w:color w:val="auto"/>
        </w:rPr>
      </w:pPr>
    </w:p>
    <w:p>
      <w:pPr>
        <w:jc w:val="right"/>
        <w:ind w:right="100"/>
        <w:spacing w:after="0"/>
        <w:rPr>
          <w:sz w:val="20"/>
          <w:szCs w:val="20"/>
          <w:color w:val="auto"/>
        </w:rPr>
      </w:pPr>
      <w:r>
        <w:rPr>
          <w:rFonts w:ascii="Arial" w:cs="Arial" w:eastAsia="Arial" w:hAnsi="Arial"/>
          <w:sz w:val="16"/>
          <w:szCs w:val="16"/>
          <w:color w:val="auto"/>
        </w:rPr>
        <w:t>1,402</w:t>
      </w:r>
    </w:p>
    <w:p>
      <w:pPr>
        <w:spacing w:after="0" w:line="46" w:lineRule="exact"/>
        <w:rPr>
          <w:sz w:val="20"/>
          <w:szCs w:val="20"/>
          <w:color w:val="auto"/>
        </w:rPr>
      </w:pPr>
    </w:p>
    <w:p>
      <w:pPr>
        <w:jc w:val="right"/>
        <w:ind w:right="100"/>
        <w:spacing w:after="0"/>
        <w:rPr>
          <w:sz w:val="20"/>
          <w:szCs w:val="20"/>
          <w:color w:val="auto"/>
        </w:rPr>
      </w:pPr>
      <w:r>
        <w:rPr>
          <w:rFonts w:ascii="Arial" w:cs="Arial" w:eastAsia="Arial" w:hAnsi="Arial"/>
          <w:sz w:val="16"/>
          <w:szCs w:val="16"/>
          <w:color w:val="auto"/>
        </w:rPr>
        <w:t>56</w:t>
      </w:r>
    </w:p>
    <w:p>
      <w:pPr>
        <w:spacing w:after="0" w:line="68" w:lineRule="exact"/>
        <w:rPr>
          <w:sz w:val="20"/>
          <w:szCs w:val="20"/>
          <w:color w:val="auto"/>
        </w:rPr>
      </w:pPr>
    </w:p>
    <w:p>
      <w:pPr>
        <w:jc w:val="right"/>
        <w:ind w:right="40"/>
        <w:spacing w:after="0"/>
        <w:rPr>
          <w:sz w:val="20"/>
          <w:szCs w:val="20"/>
          <w:color w:val="auto"/>
        </w:rPr>
      </w:pPr>
      <w:r>
        <w:rPr>
          <w:rFonts w:ascii="Arial" w:cs="Arial" w:eastAsia="Arial" w:hAnsi="Arial"/>
          <w:sz w:val="16"/>
          <w:szCs w:val="16"/>
          <w:color w:val="auto"/>
        </w:rPr>
        <w:t>(6,221</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-314960</wp:posOffset>
            </wp:positionH>
            <wp:positionV relativeFrom="paragraph">
              <wp:posOffset>30480</wp:posOffset>
            </wp:positionV>
            <wp:extent cx="7797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79780" cy="8255"/>
                    </a:xfrm>
                    <a:prstGeom prst="rect">
                      <a:avLst/>
                    </a:prstGeom>
                    <a:noFill/>
                  </pic:spPr>
                </pic:pic>
              </a:graphicData>
            </a:graphic>
          </wp:anchor>
        </w:drawing>
      </w:r>
    </w:p>
    <w:sectPr>
      <w:pgSz w:w="11900" w:h="16838" w:orient="portrait"/>
      <w:cols w:equalWidth="0" w:num="4">
        <w:col w:w="7100" w:space="420"/>
        <w:col w:w="1020" w:space="420"/>
        <w:col w:w="1020" w:space="420"/>
        <w:col w:w="840"/>
      </w:cols>
      <w:pgMar w:left="320" w:top="91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2021-03-30T12:21:08Z</dcterms:created>
  <dcterms:modified xsi:type="dcterms:W3CDTF">2021-03-30T12:21:08Z</dcterms:modified>
</cp:coreProperties>
</file>